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outlineLvl w:val="0"/>
        <w:rPr>
          <w:rFonts w:ascii="Times New Roman" w:hAnsi="Times New Roman" w:eastAsia="HelveticaNeueLTStd-Bd" w:cs="Times New Roman"/>
          <w:b/>
          <w:bCs/>
          <w:color w:val="231F20"/>
          <w:kern w:val="0"/>
          <w:sz w:val="23"/>
          <w:szCs w:val="23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iCs/>
          <w:color w:val="231F20"/>
          <w:kern w:val="0"/>
          <w:sz w:val="23"/>
          <w:szCs w:val="23"/>
          <w:lang w:bidi="ar"/>
        </w:rPr>
        <w:t>HMOX1</w:t>
      </w:r>
      <w:r>
        <w:rPr>
          <w:rFonts w:ascii="Times New Roman" w:hAnsi="Times New Roman" w:eastAsia="HelveticaNeueLTStd-Bd" w:cs="Times New Roman"/>
          <w:b/>
          <w:bCs/>
          <w:color w:val="231F20"/>
          <w:kern w:val="0"/>
          <w:sz w:val="23"/>
          <w:szCs w:val="23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23"/>
          <w:szCs w:val="23"/>
          <w:lang w:bidi="ar"/>
        </w:rPr>
        <w:t>In</w:t>
      </w:r>
      <w:r>
        <w:rPr>
          <w:rFonts w:ascii="Times New Roman" w:hAnsi="Times New Roman" w:eastAsia="HelveticaNeueLTStd-Bd" w:cs="Times New Roman"/>
          <w:b/>
          <w:bCs/>
          <w:color w:val="231F20"/>
          <w:kern w:val="0"/>
          <w:sz w:val="23"/>
          <w:szCs w:val="23"/>
          <w:lang w:bidi="ar"/>
        </w:rPr>
        <w:t xml:space="preserve">hibits 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23"/>
          <w:szCs w:val="23"/>
          <w:lang w:bidi="ar"/>
        </w:rPr>
        <w:t>F</w:t>
      </w:r>
      <w:r>
        <w:rPr>
          <w:rFonts w:ascii="Times New Roman" w:hAnsi="Times New Roman" w:eastAsia="HelveticaNeueLTStd-Bd" w:cs="Times New Roman"/>
          <w:b/>
          <w:bCs/>
          <w:color w:val="231F20"/>
          <w:kern w:val="0"/>
          <w:sz w:val="23"/>
          <w:szCs w:val="23"/>
          <w:lang w:bidi="ar"/>
        </w:rPr>
        <w:t>erroptosis in Non-Alcoholic Fatty Liver Disease</w:t>
      </w:r>
    </w:p>
    <w:p>
      <w:pPr>
        <w:widowControl/>
        <w:jc w:val="left"/>
        <w:outlineLvl w:val="0"/>
        <w:rPr>
          <w:rFonts w:ascii="Times New Roman" w:hAnsi="Times New Roman" w:eastAsia="HelveticaNeueLTStd-Bd" w:cs="Times New Roman"/>
          <w:b/>
          <w:bCs/>
          <w:color w:val="231F20"/>
          <w:kern w:val="0"/>
          <w:sz w:val="23"/>
          <w:szCs w:val="23"/>
          <w:lang w:bidi="ar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Appendices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/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A.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1 Clinical features of NAFLD in the GSE89632 dataset</w:t>
      </w:r>
    </w:p>
    <w:tbl>
      <w:tblPr>
        <w:tblStyle w:val="4"/>
        <w:tblW w:w="902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3"/>
        <w:gridCol w:w="518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bottom w:val="single" w:color="auto" w:sz="4" w:space="0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  <w:tc>
          <w:tcPr>
            <w:tcW w:w="5185" w:type="dxa"/>
            <w:tcBorders>
              <w:bottom w:val="single" w:color="auto" w:sz="4" w:space="0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Sex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Male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34 (54.0%)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Female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29 (46.0%</w:t>
            </w: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Age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Age＜60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61 (96.8%)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Age≥60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2 (3.2%)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Steatosis(%)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&lt;0.3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38 (60.3%)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0.3–0.6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17 (27.0%)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&gt;0.6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8 (12.7%)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Fibrosis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0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31 (49.2%)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17 (27.0%)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2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 (9.5%)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5 (7.9%)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4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4 (6.3%)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Lobular inflammation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0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30 (47.6%)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16 (25.4%)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2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11 (17.5)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 (9.5%)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 xml:space="preserve">Ballooning (%) 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0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39 (61.9%)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17 (27.0%)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2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7 (11.1%)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NAS (%)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0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9 (14.3%)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1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7 (11.1%)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2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8 (12.7%)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8 (12.7%)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4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9 (14.3%)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5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 (9.5%)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7 (11.1%)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7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6 (9.5%)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3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8</w:t>
            </w:r>
          </w:p>
        </w:tc>
        <w:tc>
          <w:tcPr>
            <w:tcW w:w="5185" w:type="dxa"/>
            <w:tcBorders>
              <w:tl2br w:val="nil"/>
              <w:tr2bl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3 (4.8%)</w:t>
            </w:r>
          </w:p>
        </w:tc>
      </w:tr>
    </w:tbl>
    <w:p>
      <w:pPr>
        <w:widowControl/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NAS, NAFLD Activity Score.</w:t>
      </w: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A.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2 Ferroptosis-related DEGs including 56 downregulated and 31 upregulated genes in NAFLD</w:t>
      </w:r>
    </w:p>
    <w:tbl>
      <w:tblPr>
        <w:tblStyle w:val="4"/>
        <w:tblW w:w="9044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62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9" w:hRule="atLeast"/>
        </w:trPr>
        <w:tc>
          <w:tcPr>
            <w:tcW w:w="28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DEGs</w:t>
            </w:r>
          </w:p>
        </w:tc>
        <w:tc>
          <w:tcPr>
            <w:tcW w:w="620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Gene symbol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bottom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Downregulated</w:t>
            </w:r>
          </w:p>
        </w:tc>
        <w:tc>
          <w:tcPr>
            <w:tcW w:w="6204" w:type="dxa"/>
            <w:tcBorders>
              <w:top w:val="single" w:color="auto" w:sz="4" w:space="0"/>
              <w:bottom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MIR21、MYC、SOCS2、PIM1、JUN、PTGS2、IL6、ZFP36、SOCS1、FOXO1、EMP1、PROK2、HMOX1、FOXC1、ATF3、MIR146B、STC1、MAP1LC3B、RBMS1、CDKN1A、GJA1、FPR2、RETREG1、MIR22HG、BACH1、DHODH、SPHK1、ARG2、ITGB8、STAT3、CYTOR、SNHG17、SNHG1、IRF1、MALAT1、FHL2、MIR221、NOLC1、TNFAIP3、MFGE8、PCDH20、MAP4、TFRC、NOX1、FBLN1、MAP1LC3C、MIOX、BCAR4、MIR626、HCAR1、LCN2、ANXA2、CA9、MIR34A、LRFN5、LINC00336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bottom w:val="single" w:color="auto" w:sz="4" w:space="0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Upregulated</w:t>
            </w:r>
          </w:p>
        </w:tc>
        <w:tc>
          <w:tcPr>
            <w:tcW w:w="6204" w:type="dxa"/>
            <w:tcBorders>
              <w:top w:val="nil"/>
              <w:bottom w:val="single" w:color="auto" w:sz="4" w:space="0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DHRS4-AS1、KBTBD3、SKP2、DLEU1、ME1、MIR122、MYL6B、ERBB2、HULC、BTN3A1、ISCA2、AURKA、PIR、SNHG7、BDNF-AS、ABCC5、TP53TG1、SREBF1、PAXIP1-AS2、ARRDC1-AS1、GFRA1、STUB1、SQLE、KDM4A、FADS2、FABP4、SHARPIN、CYB5R1、GPX2、PRKAA2、ASAH2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A.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3 Classification of the ferroptosis-related DEGs</w:t>
      </w:r>
    </w:p>
    <w:tbl>
      <w:tblPr>
        <w:tblStyle w:val="4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860"/>
        <w:gridCol w:w="3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Maker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Driver</w:t>
            </w:r>
          </w:p>
        </w:tc>
        <w:tc>
          <w:tcPr>
            <w:tcW w:w="33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Suppressor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PTGS2、TFRC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MIR21、MYC、IL6、SOCS1、EMP1、HMOX1、ATF3、GJA1、BACH1、ITGB8、TNFAIP3、TFRC、NOX1、MIOX、FADS2、CYB5R1、PRKAA2</w:t>
            </w:r>
          </w:p>
        </w:tc>
        <w:tc>
          <w:tcPr>
            <w:tcW w:w="33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z w:val="17"/>
                <w:szCs w:val="17"/>
                <w:lang w:bidi="ar"/>
              </w:rPr>
              <w:t>MIR21、JUN、IL6、ZFP36、PROK2、HMOX1、RBMS1、CDKN1A、DHODH、ITGB8、STAT3、TFRC、HCAR1、LCN2、CA9、LINC00336、PIR、ABCC5、SREBF1、GFRA1、KDM4A、FADS2、FABP4、PRKAA2、ASAH2</w:t>
            </w:r>
          </w:p>
        </w:tc>
      </w:tr>
    </w:tbl>
    <w:p>
      <w:pPr>
        <w:spacing w:line="240" w:lineRule="auto"/>
        <w:ind w:firstLine="0" w:firstLineChars="0"/>
        <w:jc w:val="left"/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</w:p>
    <w:p>
      <w:pPr>
        <w:spacing w:line="240" w:lineRule="auto"/>
        <w:ind w:firstLine="0" w:firstLineChars="0"/>
        <w:jc w:val="left"/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</w:p>
    <w:p>
      <w:pPr>
        <w:spacing w:line="240" w:lineRule="auto"/>
        <w:ind w:firstLine="0" w:firstLineChars="0"/>
        <w:jc w:val="left"/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A.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4 Baseline data of NAFLD and control groups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295"/>
        <w:gridCol w:w="2479"/>
        <w:gridCol w:w="226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bottom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bidi="ar"/>
              </w:rPr>
            </w:pPr>
          </w:p>
        </w:tc>
        <w:tc>
          <w:tcPr>
            <w:tcW w:w="2438" w:type="dxa"/>
            <w:tcBorders>
              <w:bottom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Control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(N=30)</w:t>
            </w:r>
          </w:p>
        </w:tc>
        <w:tc>
          <w:tcPr>
            <w:tcW w:w="2624" w:type="dxa"/>
            <w:tcBorders>
              <w:bottom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NAFLD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（N=31）</w:t>
            </w:r>
          </w:p>
        </w:tc>
        <w:tc>
          <w:tcPr>
            <w:tcW w:w="2493" w:type="dxa"/>
            <w:tcBorders>
              <w:bottom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Sex</w:t>
            </w:r>
          </w:p>
        </w:tc>
        <w:tc>
          <w:tcPr>
            <w:tcW w:w="2438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bidi="ar"/>
              </w:rPr>
            </w:pPr>
          </w:p>
        </w:tc>
        <w:tc>
          <w:tcPr>
            <w:tcW w:w="2624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bidi="ar"/>
              </w:rPr>
            </w:pPr>
          </w:p>
        </w:tc>
        <w:tc>
          <w:tcPr>
            <w:tcW w:w="2493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Male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11（36.7%）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10（32.3%）</w:t>
            </w:r>
          </w:p>
        </w:tc>
        <w:tc>
          <w:tcPr>
            <w:tcW w:w="2493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0.791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Female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19（63.3%）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21（67.7%）</w:t>
            </w:r>
          </w:p>
        </w:tc>
        <w:tc>
          <w:tcPr>
            <w:tcW w:w="2493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Age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42.700±11.108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38.710±14.725</w:t>
            </w:r>
          </w:p>
        </w:tc>
        <w:tc>
          <w:tcPr>
            <w:tcW w:w="249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0.238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BMI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22.093±1.459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25.338±3.452</w:t>
            </w:r>
          </w:p>
        </w:tc>
        <w:tc>
          <w:tcPr>
            <w:tcW w:w="249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TG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0.671±0.185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2.975±4.470</w:t>
            </w:r>
          </w:p>
        </w:tc>
        <w:tc>
          <w:tcPr>
            <w:tcW w:w="249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ALT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10.300±3.544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124.161±155.031</w:t>
            </w:r>
          </w:p>
        </w:tc>
        <w:tc>
          <w:tcPr>
            <w:tcW w:w="249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AST</w:t>
            </w:r>
          </w:p>
        </w:tc>
        <w:tc>
          <w:tcPr>
            <w:tcW w:w="243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7.233±3.598</w:t>
            </w:r>
          </w:p>
        </w:tc>
        <w:tc>
          <w:tcPr>
            <w:tcW w:w="262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72.677±105.493</w:t>
            </w:r>
          </w:p>
        </w:tc>
        <w:tc>
          <w:tcPr>
            <w:tcW w:w="249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baseline"/>
                <w:lang w:val="en-US" w:eastAsia="zh-CN" w:bidi="ar"/>
              </w:rPr>
              <w:t>0.001</w:t>
            </w:r>
          </w:p>
        </w:tc>
      </w:tr>
    </w:tbl>
    <w:p>
      <w:pPr>
        <w:jc w:val="left"/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BMI, Body Mass Index; TG: triglyceride; ALT: a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lanine aminotransferase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; AST: a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spartate aminotransferase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val="en-US" w:eastAsia="zh-CN" w:bidi="ar"/>
        </w:rPr>
        <w:t>A.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eastAsia="zh-CN" w:bidi="ar"/>
        </w:rPr>
        <w:t>5</w:t>
      </w: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 xml:space="preserve"> Relationship between HMOX 1 expression and clinical features in NAFLD</w:t>
      </w:r>
    </w:p>
    <w:tbl>
      <w:tblPr>
        <w:tblStyle w:val="3"/>
        <w:tblW w:w="8878" w:type="dxa"/>
        <w:tblCellSpacing w:w="0" w:type="dxa"/>
        <w:tblInd w:w="0" w:type="dxa"/>
        <w:tblBorders>
          <w:top w:val="single" w:color="080000" w:sz="2" w:space="0"/>
          <w:left w:val="none" w:color="auto" w:sz="0" w:space="0"/>
          <w:bottom w:val="single" w:color="080000" w:sz="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8"/>
        <w:gridCol w:w="2545"/>
        <w:gridCol w:w="2032"/>
        <w:gridCol w:w="1363"/>
      </w:tblGrid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Pathologic feature</w:t>
            </w:r>
          </w:p>
        </w:tc>
        <w:tc>
          <w:tcPr>
            <w:tcW w:w="457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HMOX1</w:t>
            </w:r>
          </w:p>
        </w:tc>
        <w:tc>
          <w:tcPr>
            <w:tcW w:w="136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231F20"/>
                <w:kern w:val="0"/>
                <w:sz w:val="17"/>
                <w:szCs w:val="17"/>
                <w:lang w:bidi="ar"/>
              </w:rPr>
              <w:t>P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  <w:tc>
          <w:tcPr>
            <w:tcW w:w="254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+</w:t>
            </w:r>
          </w:p>
        </w:tc>
        <w:tc>
          <w:tcPr>
            <w:tcW w:w="203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-</w:t>
            </w:r>
          </w:p>
        </w:tc>
        <w:tc>
          <w:tcPr>
            <w:tcW w:w="136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Sex</w:t>
            </w:r>
          </w:p>
        </w:tc>
        <w:tc>
          <w:tcPr>
            <w:tcW w:w="2545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  <w:tc>
          <w:tcPr>
            <w:tcW w:w="2032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  <w:tc>
          <w:tcPr>
            <w:tcW w:w="1363" w:type="dxa"/>
            <w:tcBorders>
              <w:top w:val="single" w:color="auto" w:sz="4" w:space="0"/>
              <w:bottom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Male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21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 xml:space="preserve">              1.000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Female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1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7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Age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Age≥60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1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 xml:space="preserve">               0.349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Age&lt;60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3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25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BMI (kg/m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vertAlign w:val="superscript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)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BMI&lt;25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8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6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 xml:space="preserve">               0.018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BMI≥25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15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NAS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NAS&lt;3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               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3≤NAS≤4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4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9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 xml:space="preserve">               0.223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NAS≥5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12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SAF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SAF&lt;3                        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1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1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0.301</w:t>
            </w:r>
          </w:p>
        </w:tc>
      </w:tr>
      <w:tr>
        <w:tblPrEx>
          <w:tblBorders>
            <w:top w:val="single" w:color="080000" w:sz="2" w:space="0"/>
            <w:left w:val="none" w:color="auto" w:sz="0" w:space="0"/>
            <w:bottom w:val="single" w:color="080000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</w:trPr>
        <w:tc>
          <w:tcPr>
            <w:tcW w:w="29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SAF≥3 </w:t>
            </w:r>
          </w:p>
        </w:tc>
        <w:tc>
          <w:tcPr>
            <w:tcW w:w="25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4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  <w:t>25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hint="eastAsia" w:ascii="Times New Roman" w:hAnsi="Times New Roman" w:eastAsia="宋体" w:cs="Times New Roman"/>
                <w:color w:val="231F20"/>
                <w:kern w:val="0"/>
                <w:sz w:val="17"/>
                <w:szCs w:val="17"/>
                <w:lang w:bidi="ar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  <w:t>NAS, NAFLD Activity Score; SAF, Steatosis, Activity, Fibrosis.</w:t>
      </w:r>
    </w:p>
    <w:p>
      <w:pPr>
        <w:rPr>
          <w:rFonts w:hint="eastAsia" w:ascii="Times New Roman" w:hAnsi="Times New Roman" w:eastAsia="宋体" w:cs="Times New Roman"/>
          <w:color w:val="231F20"/>
          <w:kern w:val="0"/>
          <w:sz w:val="17"/>
          <w:szCs w:val="17"/>
          <w:lang w:bidi="ar"/>
        </w:rPr>
      </w:pPr>
    </w:p>
    <w:p/>
    <w:p/>
    <w:p/>
    <w:p>
      <w:pPr>
        <w:widowControl/>
        <w:rPr>
          <w:rFonts w:ascii="Times New Roman" w:hAnsi="Times New Roman" w:eastAsia="URWPalladioL-Roma" w:cs="Times New Roman"/>
          <w:color w:val="000000"/>
          <w:kern w:val="0"/>
          <w:sz w:val="19"/>
          <w:szCs w:val="19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NeueLTStd-B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PalladioL-R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000000"/>
    <w:rsid w:val="11CF039A"/>
    <w:rsid w:val="5361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587</Words>
  <Characters>2162</Characters>
  <Lines>0</Lines>
  <Paragraphs>0</Paragraphs>
  <TotalTime>1</TotalTime>
  <ScaleCrop>false</ScaleCrop>
  <LinksUpToDate>false</LinksUpToDate>
  <CharactersWithSpaces>2388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2024-06-14T12:47:00Z</dcterms:created>
  <dc:creator>86152</dc:creator>
  <cp:lastModifiedBy>姚莉</cp:lastModifiedBy>
  <dcterms:modified xsi:type="dcterms:W3CDTF">2024-06-26T09:23:49Z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5B2A7F5E7CDB4F6087DD060AAB98E3EB_12</vt:lpwstr>
  </property>
</Properties>
</file>