
<file path=[Content_Types].xml><?xml version="1.0" encoding="utf-8"?>
<Types xmlns="http://schemas.openxmlformats.org/package/2006/content-types">
  <Default ContentType="image/jpeg" Extension="jpg"/>
  <Default ContentType="application/vnd.openxmlformats-officedocument.spreadsheetml.sheet" Extension="xlsx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ms-office.chartcolorstyle+xml" PartName="/word/charts/colors3.xml"/>
  <Override ContentType="application/vnd.ms-office.chartcolorstyle+xml" PartName="/word/charts/colors4.xml"/>
  <Override ContentType="application/vnd.ms-office.chartcolorstyle+xml" PartName="/word/charts/colors2.xml"/>
  <Override ContentType="application/vnd.ms-office.chartcolorstyle+xml" PartName="/word/charts/colors1.xml"/>
  <Override ContentType="application/vnd.openxmlformats-officedocument.drawingml.chart+xml" PartName="/word/charts/chart1.xml"/>
  <Override ContentType="application/vnd.openxmlformats-officedocument.drawingml.chart+xml" PartName="/word/charts/chart2.xml"/>
  <Override ContentType="application/vnd.openxmlformats-officedocument.drawingml.chart+xml" PartName="/word/charts/chart4.xml"/>
  <Override ContentType="application/vnd.openxmlformats-officedocument.drawingml.chart+xml" PartName="/word/charts/chart3.xml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ms-office.chartstyle+xml" PartName="/word/charts/style1.xml"/>
  <Override ContentType="application/vnd.ms-office.chartstyle+xml" PartName="/word/charts/style3.xml"/>
  <Override ContentType="application/vnd.ms-office.chartstyle+xml" PartName="/word/charts/style4.xml"/>
  <Override ContentType="application/vnd.ms-office.chartstyle+xml" PartName="/word/charts/style2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heading=h.sxza8fctkr2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The perfect storm: synergistic effects between climate change, El Niño and habitat, increase the epidemiological risk of Hantavirus in Patagonia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Supplementary material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Trinidad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Ruiz Barlett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Gabriel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Adrián Monjeau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firstLine="14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Fundación Bariloche and CONICET, R8402AGP, San Carlos de Bariloche, Río Negro.</w:t>
      </w:r>
    </w:p>
    <w:p w:rsidR="00000000" w:rsidDel="00000000" w:rsidP="00000000" w:rsidRDefault="00000000" w:rsidRPr="00000000" w14:paraId="00000007">
      <w:pPr>
        <w:spacing w:after="0" w:line="240" w:lineRule="auto"/>
        <w:ind w:firstLine="142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b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Centro de Investigación Esquel de Montaña y Estepa Patagónica (CIEMEP) CONICET – Universidad Nacional de la Patagonia, CP 9200, Esquel, Chubut.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This Supplementary material shows records of hantavirus cases, and records of temperatures and precipitation from the meteorological stations of El Bolsón and Bariloche, of the National Meteorological Service.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56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5780723" cy="2975519"/>
            <wp:effectExtent b="12700" l="12700" r="12700" t="12700"/>
            <wp:docPr id="1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962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0723" cy="2975519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05824" cy="1801953"/>
            <wp:effectExtent b="0" l="0" r="0" t="0"/>
            <wp:docPr id="1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824" cy="18019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Fig. 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Records of hantavirus cases. N: Neuquén, RN: 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í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Negro Ch: Chubut. B.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Monthly values ​​of the ENSO index (only values ​​&gt;0.4 are shown: indicates presence of El Niño)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Table 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Records of hantavirus cases, and temperatures and precipitation from the meteorological stations of El Bolsón and Bariloche, of the National Meteorological Service.</w:t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2.0" w:type="dxa"/>
        <w:jc w:val="left"/>
        <w:tblInd w:w="-289.0" w:type="dxa"/>
        <w:tblLayout w:type="fixed"/>
        <w:tblLook w:val="0400"/>
      </w:tblPr>
      <w:tblGrid>
        <w:gridCol w:w="568"/>
        <w:gridCol w:w="567"/>
        <w:gridCol w:w="850"/>
        <w:gridCol w:w="2835"/>
        <w:gridCol w:w="426"/>
        <w:gridCol w:w="425"/>
        <w:gridCol w:w="425"/>
        <w:gridCol w:w="567"/>
        <w:gridCol w:w="709"/>
        <w:gridCol w:w="850"/>
        <w:gridCol w:w="709"/>
        <w:gridCol w:w="851"/>
        <w:tblGridChange w:id="0">
          <w:tblGrid>
            <w:gridCol w:w="568"/>
            <w:gridCol w:w="567"/>
            <w:gridCol w:w="850"/>
            <w:gridCol w:w="2835"/>
            <w:gridCol w:w="426"/>
            <w:gridCol w:w="425"/>
            <w:gridCol w:w="425"/>
            <w:gridCol w:w="567"/>
            <w:gridCol w:w="709"/>
            <w:gridCol w:w="850"/>
            <w:gridCol w:w="709"/>
            <w:gridCol w:w="851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-27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 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ENSO Index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Flowering of colihue bamboo/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Hantavirus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Bariloche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El Bolsón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An. Tmin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Ppt. 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An. Tmin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Ppt. 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1208.60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945.00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1042.70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1025.20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848.50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857.20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1st fatal case of hantavirus and outbreak in El Bolsón. Identification of the new type of hantavirus: Andes. Interhuman transmission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532.30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689.80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 (strong)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 Villa La Angostura (Neuquén) and in Llao Llao (Río Negro). There was no flowering of colihue bamboo.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972.10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1177.1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Presence rodents, maximum annual records occurred at the beginning of summer.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407.90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475.00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-1.06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Niña (strong)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735.00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649.60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Niña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Flowering in spring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in Lanín NP.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1089.90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1148.60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Flowering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in Paraje El Contra, Lanín NP, Río Manso.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927.10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840.40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1039.50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1238.60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777.80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960.30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895.30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1067.80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875.80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1208.60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1018.90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1338.80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Niña (strong)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514.60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-1.14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657.90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Niña (strong)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970.30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988.30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1043.10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1098.40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Niña/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Flowering in Andean zone of Rio Negro, El Manso and Chubut,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 winter.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699.20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-0.28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796.10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-1.5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Niña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Flowering in Nahuel Huapi NP,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in Rio Manso. Lago Puelo NP and Chubut. Eruption of the Puyehue-Cordón Caulle volcano.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586.10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755.10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Flowering in Lanin NP, there was 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741.70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878.30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 Niña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Flowering in Chubut and north of Neuquén.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in Chubut (Los Alerces NP and zone).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801.40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874.50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Flowering in SW of Neuquén, there was 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826.50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846.10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 (strong)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861.00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790.40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 (strong)Niña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574.80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574.30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Niño/ Niña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706.90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971.60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Niña/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1st case HPS in Epuyén and outbreak (El Maitén, El Hoyo, Cholila, Esquel, Lago Puelo and Trevelin). Spring: massive flowering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ratada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south of Neuquén, from Lago Villarino to Villa la Angostura (without cases of HPS).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783.60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995.80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Niño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680.80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-0.22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813.60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References: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Herrero 2013; Jaksic and Lima 2003; Nuñez 2017; National Meteorological Service; Instituto Nacional de Enfermedades Infecciosas Agudas (Administración Nacional de Laboratorios e Institutos de Salud).</w:t>
      </w:r>
    </w:p>
    <w:p w:rsidR="00000000" w:rsidDel="00000000" w:rsidP="00000000" w:rsidRDefault="00000000" w:rsidRPr="00000000" w14:paraId="0000017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N: Neuquén, RN: Río Negro, Ch: Chubut. Ppt.: precipitation, Tmin: minimum temperature, An: anomaly (difference from the average from 1993 to 2020). NP: National Park.</w:t>
      </w:r>
    </w:p>
    <w:p w:rsidR="00000000" w:rsidDel="00000000" w:rsidP="00000000" w:rsidRDefault="00000000" w:rsidRPr="00000000" w14:paraId="0000017D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Fig 2.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Records of mean and minimum annual temperatures from the meteorological stations of El Bolsón (Chubut) and Bariloche (Río Negro) of the National Meteorological Service.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/>
        <w:drawing>
          <wp:inline distB="0" distT="0" distL="0" distR="0">
            <wp:extent cx="5791200" cy="2743200"/>
            <wp:docPr id="15" name=""/>
            <a:graphic>
              <a:graphicData uri="http://schemas.openxmlformats.org/drawingml/2006/chart">
                <c:chart r:id="rId9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Mean and minimum temperature from El Bolsón. Tme: mean temperature, Tmin: minimum temperature, dotted line: tendency line.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/>
        <w:drawing>
          <wp:inline distB="0" distT="0" distL="0" distR="0">
            <wp:extent cx="5410200" cy="2247900"/>
            <wp:docPr id="14" name=""/>
            <a:graphic>
              <a:graphicData uri="http://schemas.openxmlformats.org/drawingml/2006/chart">
                <c:chart r:id="rId10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Precipitation anomaly from El Bolsón.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/>
        <w:drawing>
          <wp:inline distB="0" distT="0" distL="0" distR="0">
            <wp:extent cx="5486498" cy="2762788"/>
            <wp:docPr id="17" name=""/>
            <a:graphic>
              <a:graphicData uri="http://schemas.openxmlformats.org/drawingml/2006/chart">
                <c:chart r:id="rId11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Mean and minimum temperature from Bariloche. Tme: mean temperature, Tmin: minimum temperature, dotted line: tendency 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/>
        <w:drawing>
          <wp:inline distB="0" distT="0" distL="0" distR="0">
            <wp:extent cx="5486400" cy="2514600"/>
            <wp:docPr id="16" name=""/>
            <a:graphic>
              <a:graphicData uri="http://schemas.openxmlformats.org/drawingml/2006/chart">
                <c:chart r:id="rId12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Precipitation anomaly from Bariloche.</w:t>
      </w:r>
    </w:p>
    <w:sectPr>
      <w:footerReference r:id="rId13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Web">
    <w:name w:val="Normal (Web)"/>
    <w:basedOn w:val="Normal"/>
    <w:uiPriority w:val="99"/>
    <w:unhideWhenUsed w:val="1"/>
    <w:rsid w:val="00487EF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 w:val="1"/>
    <w:rsid w:val="004D1D06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E82CB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82CB2"/>
  </w:style>
  <w:style w:type="paragraph" w:styleId="Piedepgina">
    <w:name w:val="footer"/>
    <w:basedOn w:val="Normal"/>
    <w:link w:val="PiedepginaCar"/>
    <w:uiPriority w:val="99"/>
    <w:unhideWhenUsed w:val="1"/>
    <w:rsid w:val="00E82CB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82CB2"/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chart" Target="charts/chart4.xml"/><Relationship Id="rId10" Type="http://schemas.openxmlformats.org/officeDocument/2006/relationships/chart" Target="charts/chart1.xml"/><Relationship Id="rId13" Type="http://schemas.openxmlformats.org/officeDocument/2006/relationships/footer" Target="footer1.xml"/><Relationship Id="rId12" Type="http://schemas.openxmlformats.org/officeDocument/2006/relationships/chart" Target="charts/chart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chart" Target="charts/chart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charts/_rels/chart1.xml.rels><?xml version="1.0" encoding="UTF-8" standalone="yes"?>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package" Target="../embeddings/Microsoft_Excel_Sheet1.xlsx"/></Relationships>
</file>

<file path=word/charts/_rels/chart2.xml.rels><?xml version="1.0" encoding="UTF-8" standalone="yes"?><Relationships xmlns="http://schemas.openxmlformats.org/package/2006/relationships"><Relationship Id="rId1" Type="http://schemas.microsoft.com/office/2011/relationships/chartStyle" Target="style2.xml"/><Relationship Id="rId2" Type="http://schemas.microsoft.com/office/2011/relationships/chartColorStyle" Target="colors2.xml"/><Relationship Id="rId3" Type="http://schemas.openxmlformats.org/officeDocument/2006/relationships/oleObject" Target="file:///C:\Users\trini\Documents\Hantavirus\datos%20meteorologicos%201996-actualidad\promedios%20mensuales_el%20bolson.xlsx" TargetMode="External"/></Relationships>
</file>

<file path=word/charts/_rels/chart3.xml.rels><?xml version="1.0" encoding="UTF-8" standalone="yes"?><Relationships xmlns="http://schemas.openxmlformats.org/package/2006/relationships"><Relationship Id="rId1" Type="http://schemas.microsoft.com/office/2011/relationships/chartStyle" Target="style3.xml"/><Relationship Id="rId2" Type="http://schemas.microsoft.com/office/2011/relationships/chartColorStyle" Target="colors3.xml"/><Relationship Id="rId3" Type="http://schemas.openxmlformats.org/officeDocument/2006/relationships/oleObject" Target="file:///C:\Users\trini\Documents\Hantavirus\datos.xlsx" TargetMode="External"/></Relationships>
</file>

<file path=word/charts/_rels/chart4.xml.rels><?xml version="1.0" encoding="UTF-8" standalone="yes"?><Relationships xmlns="http://schemas.openxmlformats.org/package/2006/relationships"><Relationship Id="rId1" Type="http://schemas.microsoft.com/office/2011/relationships/chartStyle" Target="style4.xml"/><Relationship Id="rId2" Type="http://schemas.microsoft.com/office/2011/relationships/chartColorStyle" Target="colors4.xml"/><Relationship Id="rId3" Type="http://schemas.openxmlformats.org/officeDocument/2006/relationships/oleObject" Target="file:///C:\Users\trini\Documents\Hantavirus\datos%20meteorologicos%201996-actualidad\186995%20-%20Bariloche%20Aero%20(8776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193540369864087E-2"/>
          <c:y val="0.10461796442111403"/>
          <c:w val="0.91911205503903115"/>
          <c:h val="0.856064814814814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'pcp sumas'!$P$1</c:f>
              <c:strCache>
                <c:ptCount val="1"/>
                <c:pt idx="0">
                  <c:v>AN PPC ANUAL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1"/>
          <c:cat>
            <c:numRef>
              <c:f>'pcp sumas'!$A$2:$A$29</c:f>
              <c:numCache>
                <c:formatCode>General</c:formatCode>
                <c:ptCount val="28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  <c:pt idx="27">
                  <c:v>2020</c:v>
                </c:pt>
              </c:numCache>
            </c:numRef>
          </c:cat>
          <c:val>
            <c:numRef>
              <c:f>'pcp sumas'!$P$2:$P$29</c:f>
              <c:numCache>
                <c:formatCode>General</c:formatCode>
                <c:ptCount val="28"/>
                <c:pt idx="0">
                  <c:v>33.46000000000015</c:v>
                </c:pt>
                <c:pt idx="1">
                  <c:v>196.05999999999995</c:v>
                </c:pt>
                <c:pt idx="2">
                  <c:v>-54.339999999999918</c:v>
                </c:pt>
                <c:pt idx="3">
                  <c:v>-221.7399999999999</c:v>
                </c:pt>
                <c:pt idx="4">
                  <c:v>265.55999999999995</c:v>
                </c:pt>
                <c:pt idx="5">
                  <c:v>-436.53999999999996</c:v>
                </c:pt>
                <c:pt idx="6">
                  <c:v>-261.93999999999994</c:v>
                </c:pt>
                <c:pt idx="7">
                  <c:v>237.05999999999995</c:v>
                </c:pt>
                <c:pt idx="8">
                  <c:v>-71.139999999999873</c:v>
                </c:pt>
                <c:pt idx="9">
                  <c:v>327.05999999999995</c:v>
                </c:pt>
                <c:pt idx="10">
                  <c:v>48.759999999999991</c:v>
                </c:pt>
                <c:pt idx="11">
                  <c:v>156.26</c:v>
                </c:pt>
                <c:pt idx="12">
                  <c:v>297.05999999999995</c:v>
                </c:pt>
                <c:pt idx="13">
                  <c:v>427.26</c:v>
                </c:pt>
                <c:pt idx="14">
                  <c:v>-253.63999999999987</c:v>
                </c:pt>
                <c:pt idx="15">
                  <c:v>76.759999999999991</c:v>
                </c:pt>
                <c:pt idx="16">
                  <c:v>186.86000000000013</c:v>
                </c:pt>
                <c:pt idx="17">
                  <c:v>-115.43999999999994</c:v>
                </c:pt>
                <c:pt idx="18">
                  <c:v>-185.69000000000005</c:v>
                </c:pt>
                <c:pt idx="19">
                  <c:v>-33.240000000000009</c:v>
                </c:pt>
                <c:pt idx="20">
                  <c:v>-37.039999999999964</c:v>
                </c:pt>
                <c:pt idx="21">
                  <c:v>-65.440000000000055</c:v>
                </c:pt>
                <c:pt idx="22">
                  <c:v>-121.13999999999999</c:v>
                </c:pt>
                <c:pt idx="23">
                  <c:v>-337.2399999999999</c:v>
                </c:pt>
                <c:pt idx="24">
                  <c:v>60.060000000000059</c:v>
                </c:pt>
                <c:pt idx="25">
                  <c:v>84.259999999999991</c:v>
                </c:pt>
                <c:pt idx="26">
                  <c:v>-97.939999999999941</c:v>
                </c:pt>
                <c:pt idx="27">
                  <c:v>-103.93999999999983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B9BD5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5352-4E58-BB5E-34A92748F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9315872"/>
        <c:axId val="229316656"/>
      </c:barChart>
      <c:catAx>
        <c:axId val="229315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9316656"/>
        <c:crosses val="autoZero"/>
        <c:auto val="1"/>
        <c:lblAlgn val="ctr"/>
        <c:lblOffset val="100"/>
        <c:noMultiLvlLbl val="0"/>
      </c:catAx>
      <c:valAx>
        <c:axId val="22931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9315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355358552208944E-2"/>
          <c:y val="6.2294691917051434E-2"/>
          <c:w val="0.92799662279977235"/>
          <c:h val="0.75702229855828929"/>
        </c:manualLayout>
      </c:layout>
      <c:lineChart>
        <c:grouping val="standard"/>
        <c:varyColors val="0"/>
        <c:ser>
          <c:idx val="0"/>
          <c:order val="0"/>
          <c:tx>
            <c:strRef>
              <c:f>Tmed!$N$1</c:f>
              <c:strCache>
                <c:ptCount val="1"/>
                <c:pt idx="0">
                  <c:v> Tme 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4.3880370216880784E-3"/>
                  <c:y val="-5.907699037620297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cat>
            <c:numRef>
              <c:f>Tmed!$A$2:$A$29</c:f>
              <c:numCache>
                <c:formatCode>General</c:formatCode>
                <c:ptCount val="28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  <c:pt idx="27">
                  <c:v>2020</c:v>
                </c:pt>
              </c:numCache>
            </c:numRef>
          </c:cat>
          <c:val>
            <c:numRef>
              <c:f>Tmed!$N$2:$N$29</c:f>
              <c:numCache>
                <c:formatCode>0.00</c:formatCode>
                <c:ptCount val="28"/>
                <c:pt idx="0">
                  <c:v>10.815819563152894</c:v>
                </c:pt>
                <c:pt idx="1">
                  <c:v>11.032595560303891</c:v>
                </c:pt>
                <c:pt idx="2">
                  <c:v>11.063191476733143</c:v>
                </c:pt>
                <c:pt idx="3">
                  <c:v>10.722401709401709</c:v>
                </c:pt>
                <c:pt idx="4">
                  <c:v>10.932146723646724</c:v>
                </c:pt>
                <c:pt idx="5">
                  <c:v>11.757651709401708</c:v>
                </c:pt>
                <c:pt idx="6">
                  <c:v>11.695103276353278</c:v>
                </c:pt>
                <c:pt idx="7">
                  <c:v>9.6777042056633249</c:v>
                </c:pt>
                <c:pt idx="8">
                  <c:v>10.987380171003826</c:v>
                </c:pt>
                <c:pt idx="9">
                  <c:v>10.678129485114994</c:v>
                </c:pt>
                <c:pt idx="10">
                  <c:v>10.575318009151342</c:v>
                </c:pt>
                <c:pt idx="11">
                  <c:v>11.38650878442545</c:v>
                </c:pt>
                <c:pt idx="12">
                  <c:v>10.613318494776827</c:v>
                </c:pt>
                <c:pt idx="13">
                  <c:v>10.524464981006647</c:v>
                </c:pt>
                <c:pt idx="14">
                  <c:v>10.266355056980059</c:v>
                </c:pt>
                <c:pt idx="15">
                  <c:v>11.907681980056983</c:v>
                </c:pt>
                <c:pt idx="16">
                  <c:v>10.508227693602693</c:v>
                </c:pt>
                <c:pt idx="17">
                  <c:v>10.620553947595615</c:v>
                </c:pt>
                <c:pt idx="18">
                  <c:v>11.333645985756315</c:v>
                </c:pt>
                <c:pt idx="19">
                  <c:v>11.133031763688047</c:v>
                </c:pt>
                <c:pt idx="20">
                  <c:v>11.753823604710703</c:v>
                </c:pt>
                <c:pt idx="21">
                  <c:v>10.887655529953918</c:v>
                </c:pt>
                <c:pt idx="22">
                  <c:v>11.936610343061956</c:v>
                </c:pt>
                <c:pt idx="23">
                  <c:v>11.872205537016439</c:v>
                </c:pt>
                <c:pt idx="24">
                  <c:v>11.361263683634371</c:v>
                </c:pt>
                <c:pt idx="25">
                  <c:v>10.82870025336794</c:v>
                </c:pt>
                <c:pt idx="26">
                  <c:v>11.084672939068104</c:v>
                </c:pt>
                <c:pt idx="27">
                  <c:v>11.45450218055335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85-4268-9FFF-5F7335CEFDA2}"/>
            </c:ext>
          </c:extLst>
        </c:ser>
        <c:ser>
          <c:idx val="1"/>
          <c:order val="1"/>
          <c:tx>
            <c:strRef>
              <c:f>Tmed!$V$1</c:f>
              <c:strCache>
                <c:ptCount val="1"/>
                <c:pt idx="0">
                  <c:v>Tmin</c:v>
                </c:pt>
              </c:strCache>
            </c:strRef>
          </c:tx>
          <c:spPr>
            <a:ln w="19050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550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5.6161071971266747E-3"/>
                  <c:y val="-6.230550449486497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cat>
            <c:numRef>
              <c:f>Tmed!$A$2:$A$29</c:f>
              <c:numCache>
                <c:formatCode>General</c:formatCode>
                <c:ptCount val="28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  <c:pt idx="27">
                  <c:v>2020</c:v>
                </c:pt>
              </c:numCache>
            </c:numRef>
          </c:cat>
          <c:val>
            <c:numRef>
              <c:f>Tmed!$V$2:$V$29</c:f>
              <c:numCache>
                <c:formatCode>0.00</c:formatCode>
                <c:ptCount val="28"/>
                <c:pt idx="0">
                  <c:v>3.35</c:v>
                </c:pt>
                <c:pt idx="1">
                  <c:v>4.1100000000000003</c:v>
                </c:pt>
                <c:pt idx="2">
                  <c:v>3.15</c:v>
                </c:pt>
                <c:pt idx="3">
                  <c:v>3.3420906254239591</c:v>
                </c:pt>
                <c:pt idx="4">
                  <c:v>3.8041674555034768</c:v>
                </c:pt>
                <c:pt idx="5">
                  <c:v>3.6939432573599245</c:v>
                </c:pt>
                <c:pt idx="6">
                  <c:v>3.700620607787275</c:v>
                </c:pt>
                <c:pt idx="7">
                  <c:v>3.4643138760880698</c:v>
                </c:pt>
                <c:pt idx="8">
                  <c:v>3.5908766378981434</c:v>
                </c:pt>
                <c:pt idx="9">
                  <c:v>4.1047369420702751</c:v>
                </c:pt>
                <c:pt idx="10">
                  <c:v>3.5462387226970566</c:v>
                </c:pt>
                <c:pt idx="11">
                  <c:v>4.2229077635327643</c:v>
                </c:pt>
                <c:pt idx="12">
                  <c:v>3.4760819088319086</c:v>
                </c:pt>
                <c:pt idx="13">
                  <c:v>3.374131054131055</c:v>
                </c:pt>
                <c:pt idx="14">
                  <c:v>2.4749624674842061</c:v>
                </c:pt>
                <c:pt idx="15">
                  <c:v>3.6354813627730298</c:v>
                </c:pt>
                <c:pt idx="16">
                  <c:v>3.246353751187085</c:v>
                </c:pt>
                <c:pt idx="17">
                  <c:v>3.3290806030389368</c:v>
                </c:pt>
                <c:pt idx="18">
                  <c:v>3.7729193088870505</c:v>
                </c:pt>
                <c:pt idx="19">
                  <c:v>3.736114200964034</c:v>
                </c:pt>
                <c:pt idx="20">
                  <c:v>3.9008134920634929</c:v>
                </c:pt>
                <c:pt idx="21">
                  <c:v>3.3787301587301584</c:v>
                </c:pt>
                <c:pt idx="22">
                  <c:v>4.2738824884792619</c:v>
                </c:pt>
                <c:pt idx="23">
                  <c:v>3.8221536274873316</c:v>
                </c:pt>
                <c:pt idx="24">
                  <c:v>4.0542895545314899</c:v>
                </c:pt>
                <c:pt idx="25">
                  <c:v>3.5882424475166403</c:v>
                </c:pt>
                <c:pt idx="26">
                  <c:v>3.3883890168970816</c:v>
                </c:pt>
                <c:pt idx="27">
                  <c:v>3.5491105637657356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185-4268-9FFF-5F7335CEFD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315088"/>
        <c:axId val="229317832"/>
      </c:lineChart>
      <c:catAx>
        <c:axId val="22931508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9317832"/>
        <c:crosses val="autoZero"/>
        <c:auto val="1"/>
        <c:lblAlgn val="ctr"/>
        <c:lblOffset val="100"/>
        <c:noMultiLvlLbl val="0"/>
      </c:catAx>
      <c:valAx>
        <c:axId val="229317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2"/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93150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0373445917944478"/>
          <c:y val="0.92160223874454716"/>
          <c:w val="0.22761880093935627"/>
          <c:h val="7.83977612554528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Bariloche!$H$1</c:f>
              <c:strCache>
                <c:ptCount val="1"/>
                <c:pt idx="0">
                  <c:v>anomalia PPT/año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1"/>
          <c:cat>
            <c:numRef>
              <c:f>Bariloche!$A$2:$A$28</c:f>
              <c:numCache>
                <c:formatCode>0</c:formatCode>
                <c:ptCount val="27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</c:numCache>
            </c:numRef>
          </c:cat>
          <c:val>
            <c:numRef>
              <c:f>Bariloche!$H$2:$H$28</c:f>
              <c:numCache>
                <c:formatCode>General</c:formatCode>
                <c:ptCount val="27"/>
                <c:pt idx="0">
                  <c:v>387.79999999999995</c:v>
                </c:pt>
                <c:pt idx="1">
                  <c:v>221.90000000000009</c:v>
                </c:pt>
                <c:pt idx="2">
                  <c:v>27.700000000000045</c:v>
                </c:pt>
                <c:pt idx="3">
                  <c:v>-288.5</c:v>
                </c:pt>
                <c:pt idx="4">
                  <c:v>151.30000000000007</c:v>
                </c:pt>
                <c:pt idx="5">
                  <c:v>-412.9</c:v>
                </c:pt>
                <c:pt idx="6">
                  <c:v>-85.799999999999955</c:v>
                </c:pt>
                <c:pt idx="7">
                  <c:v>269.10000000000014</c:v>
                </c:pt>
                <c:pt idx="8">
                  <c:v>106.30000000000007</c:v>
                </c:pt>
                <c:pt idx="9">
                  <c:v>218.70000000000005</c:v>
                </c:pt>
                <c:pt idx="10">
                  <c:v>-43</c:v>
                </c:pt>
                <c:pt idx="11">
                  <c:v>74.5</c:v>
                </c:pt>
                <c:pt idx="12">
                  <c:v>55</c:v>
                </c:pt>
                <c:pt idx="13">
                  <c:v>198.10000000000002</c:v>
                </c:pt>
                <c:pt idx="14">
                  <c:v>-306.19999999999993</c:v>
                </c:pt>
                <c:pt idx="15">
                  <c:v>149.5</c:v>
                </c:pt>
                <c:pt idx="16">
                  <c:v>222.29999999999995</c:v>
                </c:pt>
                <c:pt idx="17">
                  <c:v>-121.59999999999991</c:v>
                </c:pt>
                <c:pt idx="18">
                  <c:v>-234.69999999999993</c:v>
                </c:pt>
                <c:pt idx="19">
                  <c:v>-79.099999999999909</c:v>
                </c:pt>
                <c:pt idx="20">
                  <c:v>-19.399999999999977</c:v>
                </c:pt>
                <c:pt idx="21">
                  <c:v>5.7000000000000455</c:v>
                </c:pt>
                <c:pt idx="22">
                  <c:v>40.200000000000045</c:v>
                </c:pt>
                <c:pt idx="23">
                  <c:v>-246</c:v>
                </c:pt>
                <c:pt idx="24">
                  <c:v>-113.89999999999998</c:v>
                </c:pt>
                <c:pt idx="25">
                  <c:v>-37.199999999999932</c:v>
                </c:pt>
                <c:pt idx="26">
                  <c:v>-140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B9BD5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A071-4AF2-9832-F9091F4EE8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0139328"/>
        <c:axId val="350139720"/>
      </c:barChart>
      <c:catAx>
        <c:axId val="35013932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50139720"/>
        <c:crosses val="autoZero"/>
        <c:auto val="1"/>
        <c:lblAlgn val="ctr"/>
        <c:lblOffset val="100"/>
        <c:noMultiLvlLbl val="0"/>
      </c:catAx>
      <c:valAx>
        <c:axId val="350139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0139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ANUALES!$H$1</c:f>
              <c:strCache>
                <c:ptCount val="1"/>
                <c:pt idx="0">
                  <c:v>Tmin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2.3661116091070578E-2"/>
                  <c:y val="-4.7015851613055638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ANUALES!$G$2:$G$29</c:f>
              <c:numCache>
                <c:formatCode>General</c:formatCode>
                <c:ptCount val="28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  <c:pt idx="27">
                  <c:v>2020</c:v>
                </c:pt>
              </c:numCache>
            </c:numRef>
          </c:xVal>
          <c:yVal>
            <c:numRef>
              <c:f>ANUALES!$H$2:$H$29</c:f>
              <c:numCache>
                <c:formatCode>0.00</c:formatCode>
                <c:ptCount val="28"/>
                <c:pt idx="0">
                  <c:v>2.2599999999999998</c:v>
                </c:pt>
                <c:pt idx="1">
                  <c:v>2.84</c:v>
                </c:pt>
                <c:pt idx="2">
                  <c:v>2.09</c:v>
                </c:pt>
                <c:pt idx="3">
                  <c:v>2.7138088616981828</c:v>
                </c:pt>
                <c:pt idx="4">
                  <c:v>3.2350000000000008</c:v>
                </c:pt>
                <c:pt idx="5">
                  <c:v>2.681843958013312</c:v>
                </c:pt>
                <c:pt idx="6">
                  <c:v>2.7752387352790575</c:v>
                </c:pt>
                <c:pt idx="7">
                  <c:v>2.4720445556791497</c:v>
                </c:pt>
                <c:pt idx="8">
                  <c:v>2.4682142857142852</c:v>
                </c:pt>
                <c:pt idx="9">
                  <c:v>2.6924769585253454</c:v>
                </c:pt>
                <c:pt idx="10">
                  <c:v>2.4440924219150024</c:v>
                </c:pt>
                <c:pt idx="11">
                  <c:v>3.130508898776418</c:v>
                </c:pt>
                <c:pt idx="12">
                  <c:v>2.2885528673835127</c:v>
                </c:pt>
                <c:pt idx="13">
                  <c:v>2.1920634920634918</c:v>
                </c:pt>
                <c:pt idx="14">
                  <c:v>1.5990117767537122</c:v>
                </c:pt>
                <c:pt idx="15">
                  <c:v>2.996669447534297</c:v>
                </c:pt>
                <c:pt idx="16">
                  <c:v>1.9197971070148487</c:v>
                </c:pt>
                <c:pt idx="17">
                  <c:v>1.9089669738863286</c:v>
                </c:pt>
                <c:pt idx="18">
                  <c:v>2.541401601426629</c:v>
                </c:pt>
                <c:pt idx="19">
                  <c:v>2.9731426894079847</c:v>
                </c:pt>
                <c:pt idx="20">
                  <c:v>2.7339966364743895</c:v>
                </c:pt>
                <c:pt idx="21">
                  <c:v>2.70168714797747</c:v>
                </c:pt>
                <c:pt idx="22">
                  <c:v>2.6962205581157193</c:v>
                </c:pt>
                <c:pt idx="23">
                  <c:v>2.7256986157458898</c:v>
                </c:pt>
                <c:pt idx="24">
                  <c:v>2.8119214029697894</c:v>
                </c:pt>
                <c:pt idx="25">
                  <c:v>2.4122836661546341</c:v>
                </c:pt>
                <c:pt idx="26">
                  <c:v>2.4575806451612903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E21-45B8-9217-2564973C71EA}"/>
            </c:ext>
          </c:extLst>
        </c:ser>
        <c:ser>
          <c:idx val="1"/>
          <c:order val="1"/>
          <c:tx>
            <c:strRef>
              <c:f>ANUALES!$J$1</c:f>
              <c:strCache>
                <c:ptCount val="1"/>
                <c:pt idx="0">
                  <c:v>Tmed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1.4386829051886716E-2"/>
                  <c:y val="-7.346403993523427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ANUALES!$G$2:$G$29</c:f>
              <c:numCache>
                <c:formatCode>General</c:formatCode>
                <c:ptCount val="28"/>
                <c:pt idx="0">
                  <c:v>1993</c:v>
                </c:pt>
                <c:pt idx="1">
                  <c:v>1994</c:v>
                </c:pt>
                <c:pt idx="2">
                  <c:v>1995</c:v>
                </c:pt>
                <c:pt idx="3">
                  <c:v>1996</c:v>
                </c:pt>
                <c:pt idx="4">
                  <c:v>1997</c:v>
                </c:pt>
                <c:pt idx="5">
                  <c:v>1998</c:v>
                </c:pt>
                <c:pt idx="6">
                  <c:v>1999</c:v>
                </c:pt>
                <c:pt idx="7">
                  <c:v>2000</c:v>
                </c:pt>
                <c:pt idx="8">
                  <c:v>2001</c:v>
                </c:pt>
                <c:pt idx="9">
                  <c:v>2002</c:v>
                </c:pt>
                <c:pt idx="10">
                  <c:v>2003</c:v>
                </c:pt>
                <c:pt idx="11">
                  <c:v>2004</c:v>
                </c:pt>
                <c:pt idx="12">
                  <c:v>2005</c:v>
                </c:pt>
                <c:pt idx="13">
                  <c:v>2006</c:v>
                </c:pt>
                <c:pt idx="14">
                  <c:v>2007</c:v>
                </c:pt>
                <c:pt idx="15">
                  <c:v>2008</c:v>
                </c:pt>
                <c:pt idx="16">
                  <c:v>2009</c:v>
                </c:pt>
                <c:pt idx="17">
                  <c:v>2010</c:v>
                </c:pt>
                <c:pt idx="18">
                  <c:v>2011</c:v>
                </c:pt>
                <c:pt idx="19">
                  <c:v>2012</c:v>
                </c:pt>
                <c:pt idx="20">
                  <c:v>2013</c:v>
                </c:pt>
                <c:pt idx="21">
                  <c:v>2014</c:v>
                </c:pt>
                <c:pt idx="22">
                  <c:v>2015</c:v>
                </c:pt>
                <c:pt idx="23">
                  <c:v>2016</c:v>
                </c:pt>
                <c:pt idx="24">
                  <c:v>2017</c:v>
                </c:pt>
                <c:pt idx="25">
                  <c:v>2018</c:v>
                </c:pt>
                <c:pt idx="26">
                  <c:v>2019</c:v>
                </c:pt>
                <c:pt idx="27">
                  <c:v>2020</c:v>
                </c:pt>
              </c:numCache>
            </c:numRef>
          </c:xVal>
          <c:yVal>
            <c:numRef>
              <c:f>ANUALES!$J$2:$J$29</c:f>
              <c:numCache>
                <c:formatCode>0.00</c:formatCode>
                <c:ptCount val="28"/>
                <c:pt idx="0">
                  <c:v>8.01</c:v>
                </c:pt>
                <c:pt idx="1">
                  <c:v>8.4499999999999993</c:v>
                </c:pt>
                <c:pt idx="2">
                  <c:v>8.31</c:v>
                </c:pt>
                <c:pt idx="3">
                  <c:v>8.6575265727351383</c:v>
                </c:pt>
                <c:pt idx="4">
                  <c:v>8.3512339989759354</c:v>
                </c:pt>
                <c:pt idx="5">
                  <c:v>8.9574283154121854</c:v>
                </c:pt>
                <c:pt idx="6">
                  <c:v>8.7595980542754734</c:v>
                </c:pt>
                <c:pt idx="7">
                  <c:v>7.8478738722036843</c:v>
                </c:pt>
                <c:pt idx="8">
                  <c:v>8.345952380952383</c:v>
                </c:pt>
                <c:pt idx="9">
                  <c:v>8.1019713261648736</c:v>
                </c:pt>
                <c:pt idx="10">
                  <c:v>8.2133205325140803</c:v>
                </c:pt>
                <c:pt idx="11">
                  <c:v>8.7994002595476442</c:v>
                </c:pt>
                <c:pt idx="12">
                  <c:v>8.2013914490527373</c:v>
                </c:pt>
                <c:pt idx="13">
                  <c:v>8.2620814132104456</c:v>
                </c:pt>
                <c:pt idx="14">
                  <c:v>7.6279793906810029</c:v>
                </c:pt>
                <c:pt idx="15">
                  <c:v>9.4017096156222966</c:v>
                </c:pt>
                <c:pt idx="16">
                  <c:v>8.224090501792114</c:v>
                </c:pt>
                <c:pt idx="17">
                  <c:v>8.1740924219150024</c:v>
                </c:pt>
                <c:pt idx="18">
                  <c:v>8.8176939103412959</c:v>
                </c:pt>
                <c:pt idx="19">
                  <c:v>8.6346616611049303</c:v>
                </c:pt>
                <c:pt idx="20">
                  <c:v>9.1025640040962621</c:v>
                </c:pt>
                <c:pt idx="21">
                  <c:v>8.4260848694316426</c:v>
                </c:pt>
                <c:pt idx="22">
                  <c:v>9.0281733230926786</c:v>
                </c:pt>
                <c:pt idx="23">
                  <c:v>9.1259899888765279</c:v>
                </c:pt>
                <c:pt idx="24">
                  <c:v>8.6876267281105992</c:v>
                </c:pt>
                <c:pt idx="25">
                  <c:v>8.3803142601126481</c:v>
                </c:pt>
                <c:pt idx="26">
                  <c:v>8.6918612391193033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E21-45B8-9217-2564973C7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5635648"/>
        <c:axId val="485632512"/>
      </c:scatterChart>
      <c:valAx>
        <c:axId val="485635648"/>
        <c:scaling>
          <c:orientation val="minMax"/>
          <c:max val="2020"/>
          <c:min val="1993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5632512"/>
        <c:crosses val="autoZero"/>
        <c:crossBetween val="midCat"/>
        <c:majorUnit val="1"/>
      </c:valAx>
      <c:valAx>
        <c:axId val="485632512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9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56356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Dh2FM99BLFIaPQmVEMS/7hHnEw==">CgMxLjAyDmguc3h6YThmY3RrcjJjOAByITFJT0Q0VE1OZjJIOS14ZnhFdWtuUGZCODl5SHZfdHRtbw==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2025-11-26T22:19:00Z</dcterms:created>
  <dc:creator>Trinidad Ruiz Barlett</dc:creator>
</cp:coreProperties>
</file>