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5AF5C" w14:textId="77777777" w:rsidR="00DC1F19" w:rsidRPr="009D2433" w:rsidRDefault="00DC1F19" w:rsidP="00DC1F19">
      <w:pPr>
        <w:pStyle w:val="chapter-para"/>
        <w:shd w:val="clear" w:color="auto" w:fill="FFFFFF"/>
        <w:spacing w:before="0" w:after="0" w:line="480" w:lineRule="auto"/>
        <w:textAlignment w:val="baseline"/>
        <w:rPr>
          <w:b/>
          <w:bCs/>
          <w:color w:val="2A2A2A"/>
          <w:sz w:val="32"/>
          <w:szCs w:val="32"/>
        </w:rPr>
      </w:pPr>
      <w:r w:rsidRPr="009D2433">
        <w:rPr>
          <w:b/>
          <w:bCs/>
          <w:color w:val="2A2A2A"/>
          <w:sz w:val="32"/>
          <w:szCs w:val="32"/>
        </w:rPr>
        <w:t>Genome-wide association studies for seed thermoinhibition in lettuce reveal the interplay of seed age, color, and germination under high temperatures</w:t>
      </w:r>
    </w:p>
    <w:p w14:paraId="3C5405B7" w14:textId="77777777" w:rsidR="00EB1456" w:rsidRPr="00E469F9" w:rsidRDefault="00EB1456" w:rsidP="00EB1456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14:paraId="7BEA1E1F" w14:textId="77777777" w:rsidR="00DC1F19" w:rsidRPr="002A149A" w:rsidRDefault="00DC1F19" w:rsidP="00DC1F19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Sookyung Oh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Ezekiel Ahn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Ainong Shi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Beiquan Mou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3*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Sunchung Park</w:t>
      </w:r>
      <w:r w:rsidRPr="002A149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1*</w:t>
      </w:r>
    </w:p>
    <w:p w14:paraId="5F927AAE" w14:textId="77777777" w:rsidR="00DC1F19" w:rsidRPr="002A149A" w:rsidRDefault="00DC1F19" w:rsidP="00DC1F1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49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2A149A">
        <w:rPr>
          <w:rFonts w:ascii="Times New Roman" w:hAnsi="Times New Roman" w:cs="Times New Roman"/>
          <w:color w:val="000000" w:themeColor="text1"/>
          <w:sz w:val="24"/>
          <w:szCs w:val="24"/>
        </w:rPr>
        <w:t>U.S. Department of Agriculture, Agricultural Research Service, Beltsville, MD 20705, USA</w:t>
      </w:r>
    </w:p>
    <w:p w14:paraId="117942F3" w14:textId="77777777" w:rsidR="00DC1F19" w:rsidRPr="002A149A" w:rsidRDefault="00DC1F19" w:rsidP="00DC1F1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49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2A149A">
        <w:rPr>
          <w:rFonts w:ascii="Times New Roman" w:hAnsi="Times New Roman" w:cs="Times New Roman"/>
          <w:color w:val="000000" w:themeColor="text1"/>
          <w:sz w:val="24"/>
          <w:szCs w:val="24"/>
        </w:rPr>
        <w:t>Horticulture Dept., University of Arkansas, Fayetteville, AR 72701, USA</w:t>
      </w:r>
    </w:p>
    <w:p w14:paraId="740A20AB" w14:textId="77777777" w:rsidR="00DC1F19" w:rsidRPr="002A149A" w:rsidRDefault="00DC1F19" w:rsidP="00DC1F1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149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2A149A">
        <w:rPr>
          <w:rFonts w:ascii="Times New Roman" w:hAnsi="Times New Roman" w:cs="Times New Roman"/>
          <w:color w:val="000000" w:themeColor="text1"/>
          <w:sz w:val="24"/>
          <w:szCs w:val="24"/>
        </w:rPr>
        <w:t>U.S. Department of Agriculture, Agricultural Research Service, Salinas, CA 93905, USA</w:t>
      </w:r>
    </w:p>
    <w:p w14:paraId="6FDB7F05" w14:textId="689ADBEE" w:rsidR="00A516D5" w:rsidRDefault="00A516D5"/>
    <w:p w14:paraId="17F4157A" w14:textId="1888B6EE" w:rsidR="00EB1456" w:rsidRDefault="00EB1456">
      <w:pPr>
        <w:rPr>
          <w:rFonts w:ascii="Times New Roman" w:hAnsi="Times New Roman" w:cs="Times New Roman"/>
          <w:b/>
          <w:sz w:val="28"/>
          <w:szCs w:val="28"/>
        </w:rPr>
      </w:pPr>
      <w:r w:rsidRPr="00F84706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4FDE775E" w14:textId="3AF23DFA" w:rsidR="00313831" w:rsidRDefault="00313831">
      <w:pPr>
        <w:rPr>
          <w:rFonts w:ascii="Times New Roman" w:hAnsi="Times New Roman" w:cs="Times New Roman"/>
          <w:sz w:val="28"/>
          <w:szCs w:val="28"/>
        </w:rPr>
      </w:pPr>
      <w:r w:rsidRPr="00313831">
        <w:rPr>
          <w:rFonts w:ascii="Times New Roman" w:hAnsi="Times New Roman" w:cs="Times New Roman"/>
          <w:sz w:val="28"/>
          <w:szCs w:val="28"/>
        </w:rPr>
        <w:t>Supplementary Fig</w:t>
      </w:r>
      <w:r w:rsidR="00643C53">
        <w:rPr>
          <w:rFonts w:ascii="Times New Roman" w:hAnsi="Times New Roman" w:cs="Times New Roman"/>
          <w:sz w:val="28"/>
          <w:szCs w:val="28"/>
        </w:rPr>
        <w:t>ure</w:t>
      </w:r>
      <w:r w:rsidRPr="00313831">
        <w:rPr>
          <w:rFonts w:ascii="Times New Roman" w:hAnsi="Times New Roman" w:cs="Times New Roman"/>
          <w:sz w:val="28"/>
          <w:szCs w:val="28"/>
        </w:rPr>
        <w:t xml:space="preserve"> S1</w:t>
      </w:r>
    </w:p>
    <w:p w14:paraId="4AB51BD9" w14:textId="3A495F0D" w:rsidR="00DC1F19" w:rsidRPr="00313831" w:rsidRDefault="00DC1F19" w:rsidP="00DC1F19">
      <w:pPr>
        <w:rPr>
          <w:rFonts w:ascii="Times New Roman" w:hAnsi="Times New Roman" w:cs="Times New Roman"/>
          <w:sz w:val="28"/>
          <w:szCs w:val="28"/>
        </w:rPr>
      </w:pPr>
      <w:r w:rsidRPr="00313831">
        <w:rPr>
          <w:rFonts w:ascii="Times New Roman" w:hAnsi="Times New Roman" w:cs="Times New Roman"/>
          <w:sz w:val="28"/>
          <w:szCs w:val="28"/>
        </w:rPr>
        <w:t>Supplementary Fig</w:t>
      </w:r>
      <w:r>
        <w:rPr>
          <w:rFonts w:ascii="Times New Roman" w:hAnsi="Times New Roman" w:cs="Times New Roman"/>
          <w:sz w:val="28"/>
          <w:szCs w:val="28"/>
        </w:rPr>
        <w:t>ure</w:t>
      </w:r>
      <w:r w:rsidRPr="00313831">
        <w:rPr>
          <w:rFonts w:ascii="Times New Roman" w:hAnsi="Times New Roman" w:cs="Times New Roman"/>
          <w:sz w:val="28"/>
          <w:szCs w:val="28"/>
        </w:rPr>
        <w:t xml:space="preserve"> S</w:t>
      </w:r>
      <w:r>
        <w:rPr>
          <w:rFonts w:ascii="Times New Roman" w:hAnsi="Times New Roman" w:cs="Times New Roman"/>
          <w:sz w:val="28"/>
          <w:szCs w:val="28"/>
        </w:rPr>
        <w:t>2</w:t>
      </w:r>
    </w:p>
    <w:p w14:paraId="3B9B5BC4" w14:textId="713E5C58" w:rsidR="00313831" w:rsidRPr="00313831" w:rsidRDefault="00313831">
      <w:pPr>
        <w:rPr>
          <w:rFonts w:ascii="Times New Roman" w:hAnsi="Times New Roman" w:cs="Times New Roman"/>
          <w:sz w:val="28"/>
          <w:szCs w:val="28"/>
        </w:rPr>
      </w:pPr>
      <w:r w:rsidRPr="00313831">
        <w:rPr>
          <w:rFonts w:ascii="Times New Roman" w:hAnsi="Times New Roman" w:cs="Times New Roman"/>
          <w:sz w:val="28"/>
          <w:szCs w:val="28"/>
        </w:rPr>
        <w:t xml:space="preserve">Supplementary </w:t>
      </w:r>
      <w:r>
        <w:rPr>
          <w:rFonts w:ascii="Times New Roman" w:hAnsi="Times New Roman" w:cs="Times New Roman"/>
          <w:sz w:val="28"/>
          <w:szCs w:val="28"/>
        </w:rPr>
        <w:t>Table</w:t>
      </w:r>
      <w:r w:rsidRPr="00313831">
        <w:rPr>
          <w:rFonts w:ascii="Times New Roman" w:hAnsi="Times New Roman" w:cs="Times New Roman"/>
          <w:sz w:val="28"/>
          <w:szCs w:val="28"/>
        </w:rPr>
        <w:t xml:space="preserve"> S1-</w:t>
      </w:r>
      <w:r w:rsidR="00DC1F19">
        <w:rPr>
          <w:rFonts w:ascii="Times New Roman" w:hAnsi="Times New Roman" w:cs="Times New Roman"/>
          <w:sz w:val="28"/>
          <w:szCs w:val="28"/>
        </w:rPr>
        <w:t>9</w:t>
      </w:r>
    </w:p>
    <w:p w14:paraId="1CB430D2" w14:textId="47C19DB6" w:rsidR="00EB1456" w:rsidRDefault="00EB1456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br w:type="page"/>
      </w:r>
    </w:p>
    <w:p w14:paraId="06F2CCEC" w14:textId="0D46D5E2" w:rsidR="00B025D1" w:rsidRDefault="002E54D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187EFF4" wp14:editId="66A696FC">
            <wp:extent cx="5413248" cy="4822121"/>
            <wp:effectExtent l="0" t="0" r="0" b="0"/>
            <wp:docPr id="1222901996" name="Picture 3" descr="A white line graph on a black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901996" name="Picture 3" descr="A white line graph on a black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292" cy="48399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77B3B9" w14:textId="77777777" w:rsidR="002E54D4" w:rsidRPr="006406DB" w:rsidRDefault="002E54D4" w:rsidP="002E54D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406DB">
        <w:rPr>
          <w:rFonts w:ascii="Times New Roman" w:hAnsi="Times New Roman" w:cs="Times New Roman"/>
          <w:b/>
          <w:bCs/>
          <w:sz w:val="24"/>
          <w:szCs w:val="24"/>
        </w:rPr>
        <w:t xml:space="preserve">Figure S1. Distribution of accessions by thermoinhibition rate. </w:t>
      </w:r>
      <w:r w:rsidRPr="006406DB">
        <w:rPr>
          <w:rFonts w:ascii="Times New Roman" w:hAnsi="Times New Roman" w:cs="Times New Roman"/>
          <w:sz w:val="24"/>
          <w:szCs w:val="24"/>
        </w:rPr>
        <w:t>This histogram illustrates the thermoinhibition rate represented by a ratio of seeds germinated under high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406DB">
        <w:rPr>
          <w:rFonts w:ascii="Times New Roman" w:hAnsi="Times New Roman" w:cs="Times New Roman"/>
          <w:sz w:val="24"/>
          <w:szCs w:val="24"/>
        </w:rPr>
        <w:t>temperature conditions (34°C) to those germinated under control conditions (21°C), highlighting the variance in thermoinhibition among assessed accessions.</w:t>
      </w:r>
    </w:p>
    <w:p w14:paraId="6516B7B0" w14:textId="77777777" w:rsidR="002E54D4" w:rsidRDefault="002E54D4" w:rsidP="00B1798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23468DC5" w14:textId="77777777" w:rsidR="002E54D4" w:rsidRDefault="002E54D4" w:rsidP="00B1798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A2F712" wp14:editId="0B876612">
            <wp:extent cx="5998464" cy="5452264"/>
            <wp:effectExtent l="0" t="0" r="2540" b="0"/>
            <wp:docPr id="45901254" name="Picture 4" descr="A screenshot of a computer scre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01254" name="Picture 4" descr="A screenshot of a computer scree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173" cy="5459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A2A2D6" w14:textId="77777777" w:rsidR="002E54D4" w:rsidRPr="00F5235E" w:rsidRDefault="002E54D4" w:rsidP="002E54D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5235E">
        <w:rPr>
          <w:rFonts w:ascii="Times New Roman" w:hAnsi="Times New Roman" w:cs="Times New Roman"/>
          <w:b/>
          <w:bCs/>
          <w:sz w:val="24"/>
          <w:szCs w:val="24"/>
        </w:rPr>
        <w:t xml:space="preserve">Figure S2. Manhattan plots of chromosome 3 (A) and 8 (B) showing significant SNPs for seed color and thermoinhibition. </w:t>
      </w:r>
      <w:r w:rsidRPr="00F5235E">
        <w:rPr>
          <w:rFonts w:ascii="Times New Roman" w:hAnsi="Times New Roman" w:cs="Times New Roman"/>
          <w:sz w:val="24"/>
          <w:szCs w:val="24"/>
        </w:rPr>
        <w:t>Manhattan plots display significant SNPs for seed color (red circles) and thermoinhibition (black circles).</w:t>
      </w:r>
      <w:r w:rsidRPr="00F523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235E">
        <w:rPr>
          <w:rFonts w:ascii="Times New Roman" w:hAnsi="Times New Roman" w:cs="Times New Roman"/>
          <w:sz w:val="24"/>
          <w:szCs w:val="24"/>
        </w:rPr>
        <w:t>The</w:t>
      </w:r>
      <w:r w:rsidRPr="00F523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5235E">
        <w:rPr>
          <w:rFonts w:ascii="Times New Roman" w:hAnsi="Times New Roman" w:cs="Times New Roman"/>
          <w:sz w:val="24"/>
          <w:szCs w:val="24"/>
        </w:rPr>
        <w:t>red lines represent the genome-wide significance threshold (P-value &lt;2.7E-7, −log10(p) = 6.57)</w:t>
      </w:r>
    </w:p>
    <w:p w14:paraId="3AC8D11D" w14:textId="77777777" w:rsidR="002E54D4" w:rsidRDefault="002E54D4" w:rsidP="00B1798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581E27C5" w14:textId="77777777" w:rsidR="002E54D4" w:rsidRDefault="002E54D4" w:rsidP="00B1798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4354F7D" w14:textId="77777777" w:rsidR="002E54D4" w:rsidRDefault="002E54D4" w:rsidP="00B1798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38BD22EA" w14:textId="77777777" w:rsidR="002E54D4" w:rsidRDefault="002E54D4" w:rsidP="00B1798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483BA424" w14:textId="450B2884" w:rsidR="00B17985" w:rsidRPr="00F84706" w:rsidRDefault="00B17985" w:rsidP="00B1798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84706">
        <w:rPr>
          <w:rFonts w:ascii="Times New Roman" w:hAnsi="Times New Roman" w:cs="Times New Roman"/>
          <w:b/>
          <w:sz w:val="28"/>
          <w:szCs w:val="28"/>
        </w:rPr>
        <w:lastRenderedPageBreak/>
        <w:t>Supplementary Tables</w:t>
      </w:r>
    </w:p>
    <w:p w14:paraId="0B8C31B0" w14:textId="77777777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Table S1. </w:t>
      </w:r>
      <w:r w:rsidRPr="002E54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ko-KR"/>
        </w:rPr>
        <w:t>Lactuca</w:t>
      </w: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accessions and germination phenotypes for GWAS</w:t>
      </w:r>
    </w:p>
    <w:p w14:paraId="38751BC3" w14:textId="77777777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Table S2. ANOVA test of heat germination across seven harvest year groups</w:t>
      </w:r>
    </w:p>
    <w:p w14:paraId="30B29BA9" w14:textId="77777777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Table S3 ANOVA test of horticultural type effects on seed thermoinhibition</w:t>
      </w:r>
    </w:p>
    <w:p w14:paraId="18DB5BCA" w14:textId="77777777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Table S4. ANOVA of seed color effects on seed thermoinhibition</w:t>
      </w:r>
    </w:p>
    <w:p w14:paraId="00283DBE" w14:textId="22D55354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Table S5. Significant SNP associated with thermoinhibition rate in lettuce</w:t>
      </w:r>
    </w:p>
    <w:p w14:paraId="3B8511B1" w14:textId="77777777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Table S6. GWAS LD blocks and Causal genes previously identified for </w:t>
      </w:r>
      <w:proofErr w:type="spellStart"/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Thermoinhibtion</w:t>
      </w:r>
      <w:proofErr w:type="spellEnd"/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or Seed color</w:t>
      </w:r>
    </w:p>
    <w:p w14:paraId="0876586C" w14:textId="77777777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Table S7. Candidate genes associated with thermoinhibition and their GO annotations</w:t>
      </w:r>
    </w:p>
    <w:p w14:paraId="716EDD4A" w14:textId="77777777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Table S8. Significant SNP associated with seed color</w:t>
      </w:r>
    </w:p>
    <w:p w14:paraId="586A62AA" w14:textId="77777777" w:rsidR="002E54D4" w:rsidRPr="00CD3806" w:rsidRDefault="002E54D4" w:rsidP="002E54D4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2E54D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Table S9. Candidate genes associated with Seed Color and their GO annotations</w:t>
      </w:r>
    </w:p>
    <w:p w14:paraId="32797D07" w14:textId="77777777" w:rsidR="00D30032" w:rsidRPr="002E54D4" w:rsidRDefault="00D30032" w:rsidP="00ED7B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30032" w:rsidRPr="002E54D4" w:rsidSect="00AB733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730"/>
    <w:rsid w:val="00036A80"/>
    <w:rsid w:val="000733EF"/>
    <w:rsid w:val="000E0746"/>
    <w:rsid w:val="000E6553"/>
    <w:rsid w:val="000F2145"/>
    <w:rsid w:val="00235007"/>
    <w:rsid w:val="00240B84"/>
    <w:rsid w:val="002D53FC"/>
    <w:rsid w:val="002E54D4"/>
    <w:rsid w:val="00313831"/>
    <w:rsid w:val="003D6428"/>
    <w:rsid w:val="00416420"/>
    <w:rsid w:val="005743C7"/>
    <w:rsid w:val="005B11D1"/>
    <w:rsid w:val="005B3E72"/>
    <w:rsid w:val="00643C53"/>
    <w:rsid w:val="006E5A72"/>
    <w:rsid w:val="00756DB0"/>
    <w:rsid w:val="00807CA6"/>
    <w:rsid w:val="00821BBF"/>
    <w:rsid w:val="0093452A"/>
    <w:rsid w:val="00A27F0E"/>
    <w:rsid w:val="00A41730"/>
    <w:rsid w:val="00A516D5"/>
    <w:rsid w:val="00AB733C"/>
    <w:rsid w:val="00B025D1"/>
    <w:rsid w:val="00B17985"/>
    <w:rsid w:val="00BE324C"/>
    <w:rsid w:val="00C229D7"/>
    <w:rsid w:val="00C4447A"/>
    <w:rsid w:val="00CC2235"/>
    <w:rsid w:val="00CD3806"/>
    <w:rsid w:val="00D30032"/>
    <w:rsid w:val="00D340A3"/>
    <w:rsid w:val="00D5710B"/>
    <w:rsid w:val="00DB33C8"/>
    <w:rsid w:val="00DC1F19"/>
    <w:rsid w:val="00E705B4"/>
    <w:rsid w:val="00EB1456"/>
    <w:rsid w:val="00ED7BCE"/>
    <w:rsid w:val="00F30267"/>
    <w:rsid w:val="00F84706"/>
    <w:rsid w:val="00F9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8BBD7"/>
  <w15:chartTrackingRefBased/>
  <w15:docId w15:val="{F0446D2A-5DAF-427C-A27C-C88BCA715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45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14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456"/>
    <w:rPr>
      <w:rFonts w:ascii="Segoe UI" w:eastAsiaTheme="minorEastAsia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16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B73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733C"/>
    <w:rPr>
      <w:color w:val="605E5C"/>
      <w:shd w:val="clear" w:color="auto" w:fill="E1DFDD"/>
    </w:rPr>
  </w:style>
  <w:style w:type="paragraph" w:customStyle="1" w:styleId="chapter-para">
    <w:name w:val="chapter-para"/>
    <w:basedOn w:val="Normal"/>
    <w:rsid w:val="00DC1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9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Park, Sunchung - ARS</dc:creator>
  <cp:keywords/>
  <dc:description/>
  <cp:lastModifiedBy>Sunchung Park</cp:lastModifiedBy>
  <cp:revision>7</cp:revision>
  <dcterms:created xsi:type="dcterms:W3CDTF">2023-08-11T18:40:00Z</dcterms:created>
  <dcterms:modified xsi:type="dcterms:W3CDTF">2024-09-03T17:49:00Z</dcterms:modified>
</cp:coreProperties>
</file>