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Reagents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DMEM contains l-L-Glutamine</w:t>
      </w:r>
      <w:r>
        <w:rPr>
          <w:rFonts w:hint="eastAsia" w:ascii="Times New Roman" w:hAnsi="Times New Roman" w:cs="Times New Roman"/>
        </w:rPr>
        <w:t xml:space="preserve"> (BI, USA), </w:t>
      </w:r>
      <w:r>
        <w:rPr>
          <w:rFonts w:ascii="Times New Roman" w:hAnsi="Times New Roman" w:cs="Times New Roman"/>
        </w:rPr>
        <w:t>fetal bovine serum (BI, USA)</w:t>
      </w:r>
      <w:r>
        <w:rPr>
          <w:rFonts w:hint="eastAsia"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oleic acid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Sigma-Aldrich</w:t>
      </w:r>
      <w:r>
        <w:rPr>
          <w:rFonts w:hint="eastAsia" w:ascii="Times New Roman" w:hAnsi="Times New Roman" w:cs="Times New Roman"/>
        </w:rPr>
        <w:t xml:space="preserve">, USA), </w:t>
      </w:r>
      <w:r>
        <w:rPr>
          <w:rFonts w:ascii="Times New Roman" w:hAnsi="Times New Roman" w:cs="Times New Roman"/>
        </w:rPr>
        <w:t>palmitic acid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Sigma-Aldrich</w:t>
      </w:r>
      <w:r>
        <w:rPr>
          <w:rFonts w:hint="eastAsia" w:ascii="Times New Roman" w:hAnsi="Times New Roman" w:cs="Times New Roman"/>
        </w:rPr>
        <w:t xml:space="preserve">, USA),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bovine serum albumin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(Meilunbio, Dalian, China), </w:t>
      </w:r>
      <w:r>
        <w:rPr>
          <w:rFonts w:ascii="Times New Roman" w:hAnsi="Times New Roman" w:cs="Times New Roman"/>
        </w:rPr>
        <w:t>Lipi-Red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DOJINDO</w:t>
      </w:r>
      <w:r>
        <w:rPr>
          <w:rFonts w:hint="eastAsia" w:ascii="Times New Roman" w:hAnsi="Times New Roman" w:cs="Times New Roman"/>
        </w:rPr>
        <w:t xml:space="preserve">, Japan). </w:t>
      </w:r>
      <w:r>
        <w:rPr>
          <w:rFonts w:ascii="Times New Roman" w:hAnsi="Times New Roman" w:cs="Times New Roman"/>
        </w:rPr>
        <w:t>Oil red O staining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triglyceride enzyme method</w:t>
      </w:r>
      <w:r>
        <w:rPr>
          <w:rFonts w:hint="eastAsia" w:ascii="Times New Roman" w:hAnsi="Times New Roman" w:cs="Times New Roman"/>
        </w:rPr>
        <w:t xml:space="preserve"> assay kits were </w:t>
      </w:r>
      <w:r>
        <w:rPr>
          <w:rFonts w:ascii="Times New Roman" w:hAnsi="Times New Roman" w:cs="Times New Roman"/>
        </w:rPr>
        <w:t>purchased from</w:t>
      </w:r>
      <w:r>
        <w:rPr>
          <w:rFonts w:hint="eastAsia" w:ascii="Times New Roman" w:hAnsi="Times New Roman" w:cs="Times New Roman"/>
        </w:rPr>
        <w:t xml:space="preserve"> Applygen (Beijing, China)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000000"/>
          <w:szCs w:val="21"/>
        </w:rPr>
        <w:t>TRIzol</w:t>
      </w:r>
      <w: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(Invitrogen, Shanghai, China)</w:t>
      </w:r>
      <w:r>
        <w:rPr>
          <w:rFonts w:hint="eastAsia" w:ascii="Times New Roman" w:hAnsi="Times New Roman" w:cs="Times New Roman"/>
          <w:color w:val="00000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HiScript Ⅲ All-in-one RT SuperMix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and </w:t>
      </w:r>
      <w:r>
        <w:rPr>
          <w:rFonts w:ascii="Times New Roman" w:hAnsi="Times New Roman" w:cs="Times New Roman"/>
          <w:color w:val="000000"/>
          <w:szCs w:val="21"/>
        </w:rPr>
        <w:t>Taq Pro Universal SYBR qPCR Master Mix</w:t>
      </w:r>
      <w:r>
        <w:rPr>
          <w:rFonts w:hint="eastAsia" w:ascii="Times New Roman" w:hAnsi="Times New Roman" w:cs="Times New Roman"/>
          <w:color w:val="000000"/>
          <w:szCs w:val="21"/>
        </w:rPr>
        <w:t xml:space="preserve"> for qPCR were </w:t>
      </w:r>
      <w:r>
        <w:rPr>
          <w:rFonts w:ascii="Times New Roman" w:hAnsi="Times New Roman" w:cs="Times New Roman"/>
        </w:rPr>
        <w:t>purchased from</w:t>
      </w:r>
      <w:r>
        <w:rPr>
          <w:rFonts w:hint="eastAsia" w:ascii="Times New Roman" w:hAnsi="Times New Roman" w:cs="Times New Roman"/>
        </w:rPr>
        <w:t xml:space="preserve"> Vazyme (Nanjing, China).</w:t>
      </w:r>
      <w:r>
        <w:t xml:space="preserve"> </w:t>
      </w:r>
      <w:r>
        <w:rPr>
          <w:rFonts w:ascii="Times New Roman" w:hAnsi="Times New Roman" w:cs="Times New Roman"/>
        </w:rPr>
        <w:t>The primers for qPCR were designed and synthesized</w:t>
      </w:r>
      <w:r>
        <w:rPr>
          <w:rFonts w:hint="eastAsia" w:ascii="Times New Roman" w:hAnsi="Times New Roman" w:cs="Times New Roman"/>
        </w:rPr>
        <w:t xml:space="preserve"> by Sangon Biotech (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GAPDH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F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: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CCCATCACCATCTTCCAGG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GAPDH-R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: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CATCACGCCACAGTTTCCC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, FMO1-F: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GCCAAGCGAGTTGCCATTG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; FMO1-R: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CACAGACTTGTAGAGACTGGCT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).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 xml:space="preserve">RIPA (Meilunbio, Dalian, China),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Antibodies for glyceraldehyde-3-phosphate dehydrogenase (GAPDH) (2118)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was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</w:rPr>
        <w:t>purchased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 xml:space="preserve"> from Cell Signaling Technology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(USA), a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ntibodies for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FMO1 (A25236) was </w:t>
      </w:r>
      <w:r>
        <w:rPr>
          <w:rFonts w:ascii="Times New Roman" w:hAnsi="Times New Roman" w:cs="Times New Roman"/>
        </w:rPr>
        <w:t>purchased</w:t>
      </w:r>
      <w:r>
        <w:rPr>
          <w:rFonts w:hint="eastAsia" w:ascii="Times New Roman" w:hAnsi="Times New Roman" w:cs="Times New Roman"/>
        </w:rPr>
        <w:t xml:space="preserve"> from ABclonal </w:t>
      </w:r>
      <w:r>
        <w:rPr>
          <w:rFonts w:ascii="Times New Roman" w:hAnsi="Times New Roman" w:cs="Times New Roman"/>
        </w:rPr>
        <w:t>Technology</w:t>
      </w:r>
      <w:r>
        <w:rPr>
          <w:rFonts w:hint="eastAsia" w:ascii="Times New Roman" w:hAnsi="Times New Roman" w:cs="Times New Roman"/>
        </w:rPr>
        <w:t xml:space="preserve"> (Wuhan, China).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ree fatty acids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p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reparation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Prepare FFA-free BSA solution by dissolving 2g of FFA-free BSA in 20ml of PBS at 55°C for 30 minutes. Store it at -20°C. For Palmitic Acid (PA), dissolve 0.01g of PA in 1.95ml of 20% FFA-free BSA solution at 70°C for 30 minutes. Prepare a 20mM PA stock solution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and 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tore it at -20°C. For Oleic Acid (OA), dissolve 1g of OA in 17.5ml of anhydrous ethanol, dilute 10 times with 20% FFA-free BSA solution, and heat at 55°C for 30 minutes. Prepare a 20mM OA stock solution and store it long-term at -20°C in the dark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Mix OA and PA at a ratio of 2:1 to prepare a 20mM FFA stock solution. Store it at -20°C.</w:t>
      </w:r>
    </w:p>
    <w:p>
      <w:pPr>
        <w:widowControl/>
        <w:wordWrap w:val="0"/>
        <w:jc w:val="left"/>
        <w:rPr>
          <w:rFonts w:hint="eastAsia"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Oil red O Staining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2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>The Oil Red O staining solution was prepared by combining Oil Red O solution A and B at a 3:2 ratio and allowing it to stand for 10 minutes, with filtration in case of precipitation. Subsequently, the cell culture medium was aspirated and the cells were washed with PBS for 1-2 times before fixation with Fixative Reagent A for 25-30 minutes. After fixation, the cells were rinsed twice with double distilled water and treated with 60% isopropanol for 5 minutes. Following the removal of isopropanol, cells were incubated with 1-2ml of freshly prepared staining solution for 15-20 minutes. Subsequent to staining, the cells were washed thoroughly with double distilled water until no apparent dye residue remained. Nuclei were then stained with Mayer's hematoxylin staining solution for 1-2 minutes, followed by rinsing with double distilled water. A 1-minute treatment with ORO Buffer was conducted before discarding. Finally, an appropriate volume of double distilled water was added to the six-well plate for observation of cell staining results under a microscope.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2"/>
          <w:lang w:val="en-US" w:eastAsia="zh-CN"/>
        </w:rPr>
        <w:t>Lipi-Red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Staining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2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2"/>
          <w:lang w:val="en-US" w:eastAsia="zh-CN"/>
        </w:rPr>
        <w:t>I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>nitially, 100ul of DMSO was added to the Lipi-Red vial and thoroughly mixed by vortexing to prepare a 1mmol/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lang w:val="en-US" w:eastAsia="zh-CN"/>
        </w:rPr>
        <w:t>L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 xml:space="preserve"> Lipi-Red DMSO stock solution, which was stored long-term at -20°C. Prior to experimentation, the Lipi-Red stock solution was diluted with PBS or serum-free medium to a final concentration of 1-5umol/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lang w:val="en-US" w:eastAsia="zh-CN"/>
        </w:rPr>
        <w:t>L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>. Subsequently, cell seeding was performed on culture dishes for adherence, followed by overnight incubation at 37°C in a 5% CO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vertAlign w:val="subscript"/>
        </w:rPr>
        <w:t>2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 xml:space="preserve"> humidified atmosphere. The culture medium was then removed, and cells were washed twice with PBS. Lipi-Red working solution was added, and cells were incubated for 30 minutes at 37°C in a 5% CO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vertAlign w:val="subscript"/>
        </w:rPr>
        <w:t>2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 xml:space="preserve"> incubator. Finally, cell staining was observed under a fluorescence microscope.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Triglyceride enzymatic assay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2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 xml:space="preserve">Cells were lysed with 300-500ul of buffer for 10 minutes at room temperature. The lysate was then heated at 70ºC for 5-10 minutes and centrifuged at 3000rpm for 5-10 minutes. The supernatant was collected for analysis. Triglyceride concentration was determined by incubating samples in a 96-well plate at 37ºC or room temperature for 15-20 minutes. OD values were measured at 550nm, 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  <w:lang w:val="en-US" w:eastAsia="zh-CN"/>
        </w:rPr>
        <w:t>and</w:t>
      </w:r>
      <w:r>
        <w:rPr>
          <w:rFonts w:hint="eastAsia" w:ascii="Times New Roman" w:hAnsi="Times New Roman" w:cs="Times New Roman"/>
          <w:b w:val="0"/>
          <w:bCs w:val="0"/>
          <w:sz w:val="21"/>
          <w:szCs w:val="22"/>
        </w:rPr>
        <w:t xml:space="preserve"> concentration of triglycerides was calculated by plotting a standard curve using the OD values of each standard tube on the Y-axis and the concentration of the standard solution on the X-axis.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qRT-PCR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Total RNA was extracted from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HepG2 </w:t>
      </w:r>
      <w:r>
        <w:rPr>
          <w:rFonts w:ascii="Times New Roman" w:hAnsi="Times New Roman" w:cs="Times New Roman"/>
          <w:sz w:val="21"/>
          <w:szCs w:val="21"/>
        </w:rPr>
        <w:t xml:space="preserve">cells using the standard TRIzol method according to the manufacturer's instructions. </w:t>
      </w:r>
      <w:r>
        <w:rPr>
          <w:rFonts w:hint="eastAsia" w:ascii="Times New Roman" w:hAnsi="Times New Roman" w:cs="Times New Roman"/>
          <w:sz w:val="21"/>
          <w:szCs w:val="21"/>
        </w:rPr>
        <w:t>HiScript Ⅲ All-in-one RT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SuperMix</w:t>
      </w:r>
      <w:r>
        <w:rPr>
          <w:rFonts w:ascii="Times New Roman" w:hAnsi="Times New Roman" w:cs="Times New Roman"/>
          <w:sz w:val="21"/>
          <w:szCs w:val="21"/>
        </w:rPr>
        <w:t xml:space="preserve"> was used to transcribe the RNA to cDNA reversely. Quantitative real-time PCR was carried out using a </w:t>
      </w:r>
      <w:r>
        <w:rPr>
          <w:rFonts w:hint="eastAsia" w:ascii="Times New Roman" w:hAnsi="Times New Roman" w:cs="Times New Roman"/>
          <w:sz w:val="21"/>
          <w:szCs w:val="21"/>
        </w:rPr>
        <w:t>Taq Pro Universal SYBR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qPCR Master Mix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Kit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ABI Prism 7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9</w:t>
      </w:r>
      <w:r>
        <w:rPr>
          <w:rFonts w:ascii="Times New Roman" w:hAnsi="Times New Roman" w:cs="Times New Roman"/>
          <w:sz w:val="21"/>
          <w:szCs w:val="21"/>
        </w:rPr>
        <w:t>00 real-time PCR System (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ThermoFisher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USA</w:t>
      </w:r>
      <w:r>
        <w:rPr>
          <w:rFonts w:ascii="Times New Roman" w:hAnsi="Times New Roman" w:cs="Times New Roman"/>
          <w:sz w:val="21"/>
          <w:szCs w:val="21"/>
        </w:rPr>
        <w:t>). The relative expression levels of target genes were calculated using the ΔΔCT method, which were normalized to GAPDH expression.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4"/>
          <w:szCs w:val="24"/>
        </w:rPr>
        <w:t>Western blot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Cell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were lysed in radioimmunoprecipitation assay (RIPA) added with protease and phosphatase inhibitor. Proteins were separated by sodium dodecyl sulfate-polyacrylamide gel electrophoresis (SDS-PAGE) and transferred to polyvinylidene fluoride membranes (Millipore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Germany). Membranes were blocked with 5% nonfat milk in tris-buffered saline containing 0.05% Tween-20 (TBST) for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hour at room temperature, followed by primary antibody incubations overnight at 4°C.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After three washes with TBST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he membranes were then incubated with the horseradish peroxidase (HRP)-conjugated secondary antibodies (1: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000) for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h. After three washes with TBST, an enhanced ECL kit (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Meilunbio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Dalian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, China) was used for detection.</w:t>
      </w:r>
    </w:p>
    <w:p>
      <w:pPr>
        <w:widowControl/>
        <w:wordWrap w:val="0"/>
        <w:jc w:val="left"/>
        <w:rPr>
          <w:rFonts w:hint="eastAsia" w:ascii="Times New Roman" w:hAnsi="Times New Roman" w:cs="Times New Roman"/>
        </w:rPr>
      </w:pPr>
    </w:p>
    <w:p>
      <w:pPr>
        <w:widowControl/>
        <w:wordWrap w:val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ZGEwY2FlZTA2ZDE3OGE5Yzg0ZmJiMjQ0YTUyMGYifQ=="/>
  </w:docVars>
  <w:rsids>
    <w:rsidRoot w:val="00543597"/>
    <w:rsid w:val="002A37B4"/>
    <w:rsid w:val="00300693"/>
    <w:rsid w:val="004B3A54"/>
    <w:rsid w:val="00543597"/>
    <w:rsid w:val="006A05EC"/>
    <w:rsid w:val="00B070EA"/>
    <w:rsid w:val="143D057B"/>
    <w:rsid w:val="1C620024"/>
    <w:rsid w:val="2590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749</Characters>
  <Lines>22</Lines>
  <Paragraphs>15</Paragraphs>
  <TotalTime>2</TotalTime>
  <ScaleCrop>false</ScaleCrop>
  <LinksUpToDate>false</LinksUpToDate>
  <CharactersWithSpaces>855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2024-05-08T02:55:00Z</dcterms:created>
  <dc:creator>XuanCheng Xie</dc:creator>
  <cp:lastModifiedBy>无言以对</cp:lastModifiedBy>
  <dcterms:modified xsi:type="dcterms:W3CDTF">2024-05-08T10:28:12Z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FE5C6942681B4C14AE4DF556F11AFF17_12</vt:lpwstr>
  </property>
</Properties>
</file>