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CB7D5" w14:textId="77777777" w:rsidR="00A76C23" w:rsidRDefault="00000000">
      <w:pPr>
        <w:spacing w:line="360" w:lineRule="auto"/>
        <w:jc w:val="center"/>
        <w:rPr>
          <w:rFonts w:ascii="Garamond" w:eastAsia="Times New Roman" w:hAnsi="Garamond" w:cs="Times New Roman"/>
          <w:b/>
          <w:bCs/>
          <w:color w:val="222222"/>
          <w:sz w:val="32"/>
          <w:szCs w:val="32"/>
        </w:rPr>
      </w:pPr>
      <w:r>
        <w:rPr>
          <w:rFonts w:ascii="Garamond" w:eastAsia="Times New Roman" w:hAnsi="Garamond" w:cs="Times New Roman"/>
          <w:b/>
          <w:bCs/>
          <w:color w:val="222222"/>
          <w:sz w:val="32"/>
          <w:szCs w:val="32"/>
        </w:rPr>
        <w:t>S</w:t>
      </w:r>
      <w:r>
        <w:rPr>
          <w:rFonts w:ascii="Garamond" w:eastAsia="Times New Roman" w:hAnsi="Garamond" w:cs="Times New Roman" w:hint="eastAsia"/>
          <w:b/>
          <w:bCs/>
          <w:color w:val="222222"/>
          <w:sz w:val="32"/>
          <w:szCs w:val="32"/>
        </w:rPr>
        <w:t>u</w:t>
      </w:r>
      <w:r>
        <w:rPr>
          <w:rFonts w:ascii="Garamond" w:eastAsia="Times New Roman" w:hAnsi="Garamond" w:cs="Times New Roman"/>
          <w:b/>
          <w:bCs/>
          <w:color w:val="222222"/>
          <w:sz w:val="32"/>
          <w:szCs w:val="32"/>
        </w:rPr>
        <w:t>pporting information for “Unraveling the proton transfer of cellulose dissolution in aqueous NaOH/Urea solution: insights from thermodynamics by molecular dynamics simulation”</w:t>
      </w:r>
    </w:p>
    <w:p w14:paraId="54153A13" w14:textId="77777777" w:rsidR="00A76C23" w:rsidRDefault="00A76C23">
      <w:pPr>
        <w:spacing w:line="360" w:lineRule="auto"/>
        <w:jc w:val="center"/>
        <w:rPr>
          <w:rFonts w:ascii="Garamond" w:eastAsia="Times New Roman" w:hAnsi="Garamond" w:cs="Times New Roman"/>
          <w:b/>
          <w:bCs/>
          <w:color w:val="222222"/>
          <w:sz w:val="32"/>
          <w:szCs w:val="32"/>
        </w:rPr>
      </w:pPr>
    </w:p>
    <w:p w14:paraId="4D61C09F" w14:textId="77777777" w:rsidR="00A76C23" w:rsidRDefault="00000000">
      <w:pPr>
        <w:spacing w:line="276" w:lineRule="auto"/>
        <w:rPr>
          <w:rFonts w:ascii="Garamond" w:hAnsi="Garamond"/>
        </w:rPr>
      </w:pPr>
      <w:proofErr w:type="spellStart"/>
      <w:r>
        <w:rPr>
          <w:rFonts w:ascii="Garamond" w:hAnsi="Garamond"/>
        </w:rPr>
        <w:t>Wenze</w:t>
      </w:r>
      <w:proofErr w:type="spellEnd"/>
      <w:r>
        <w:rPr>
          <w:rFonts w:ascii="Garamond" w:hAnsi="Garamond"/>
        </w:rPr>
        <w:t xml:space="preserve"> Cao</w:t>
      </w:r>
      <w:proofErr w:type="gramStart"/>
      <w:r>
        <w:rPr>
          <w:rFonts w:ascii="Garamond" w:hAnsi="Garamond"/>
          <w:vertAlign w:val="superscript"/>
        </w:rPr>
        <w:t>1,</w:t>
      </w:r>
      <w:r>
        <w:rPr>
          <w:rFonts w:ascii="MS Mincho" w:eastAsia="MS Mincho" w:hAnsi="MS Mincho" w:cs="MS Mincho"/>
          <w:vertAlign w:val="superscript"/>
        </w:rPr>
        <w:t>∔</w:t>
      </w:r>
      <w:proofErr w:type="gramEnd"/>
      <w:r>
        <w:rPr>
          <w:rFonts w:ascii="Garamond" w:hAnsi="Garamond"/>
        </w:rPr>
        <w:t xml:space="preserve">, </w:t>
      </w:r>
      <w:bookmarkStart w:id="0" w:name="OLE_LINK14"/>
      <w:proofErr w:type="spellStart"/>
      <w:r>
        <w:rPr>
          <w:rFonts w:ascii="Garamond" w:hAnsi="Garamond"/>
        </w:rPr>
        <w:t>Jinghua</w:t>
      </w:r>
      <w:proofErr w:type="spellEnd"/>
      <w:r>
        <w:rPr>
          <w:rFonts w:ascii="Garamond" w:hAnsi="Garamond"/>
        </w:rPr>
        <w:t xml:space="preserve"> Wu</w:t>
      </w:r>
      <w:r>
        <w:rPr>
          <w:rFonts w:ascii="Garamond" w:hAnsi="Garamond"/>
          <w:vertAlign w:val="superscript"/>
        </w:rPr>
        <w:t>1</w:t>
      </w:r>
      <w:bookmarkEnd w:id="0"/>
      <w:r>
        <w:rPr>
          <w:rFonts w:ascii="Garamond" w:hAnsi="Garamond"/>
          <w:vertAlign w:val="superscript"/>
        </w:rPr>
        <w:t>,</w:t>
      </w:r>
      <w:r>
        <w:rPr>
          <w:rFonts w:ascii="MS Mincho" w:eastAsia="MS Mincho" w:hAnsi="MS Mincho" w:cs="MS Mincho"/>
          <w:vertAlign w:val="superscript"/>
        </w:rPr>
        <w:t>∔</w:t>
      </w:r>
      <w:r>
        <w:rPr>
          <w:rFonts w:ascii="Garamond" w:hAnsi="Garamond"/>
        </w:rPr>
        <w:t>, Yu Chen</w:t>
      </w:r>
      <w:r>
        <w:rPr>
          <w:rFonts w:ascii="Garamond" w:hAnsi="Garamond"/>
          <w:vertAlign w:val="superscript"/>
        </w:rPr>
        <w:t>1,*</w:t>
      </w:r>
      <w:r>
        <w:rPr>
          <w:rFonts w:ascii="Garamond" w:hAnsi="Garamond"/>
        </w:rPr>
        <w:t xml:space="preserve">, </w:t>
      </w:r>
      <w:proofErr w:type="spellStart"/>
      <w:r>
        <w:rPr>
          <w:rFonts w:ascii="Garamond" w:hAnsi="Garamond"/>
        </w:rPr>
        <w:t>Jierui</w:t>
      </w:r>
      <w:proofErr w:type="spellEnd"/>
      <w:r>
        <w:rPr>
          <w:rFonts w:ascii="Garamond" w:hAnsi="Garamond"/>
        </w:rPr>
        <w:t xml:space="preserve"> Ye</w:t>
      </w:r>
      <w:r>
        <w:rPr>
          <w:rFonts w:ascii="Garamond" w:hAnsi="Garamond"/>
          <w:vertAlign w:val="superscript"/>
        </w:rPr>
        <w:t>1</w:t>
      </w:r>
      <w:r>
        <w:rPr>
          <w:rFonts w:ascii="Garamond" w:hAnsi="Garamond"/>
        </w:rPr>
        <w:t xml:space="preserve">, </w:t>
      </w:r>
      <w:proofErr w:type="spellStart"/>
      <w:r>
        <w:rPr>
          <w:rFonts w:ascii="Garamond" w:hAnsi="Garamond"/>
        </w:rPr>
        <w:t>Lingfeng</w:t>
      </w:r>
      <w:proofErr w:type="spellEnd"/>
      <w:r>
        <w:rPr>
          <w:rFonts w:ascii="Garamond" w:hAnsi="Garamond"/>
        </w:rPr>
        <w:t xml:space="preserve"> Zhou</w:t>
      </w:r>
      <w:r>
        <w:rPr>
          <w:rFonts w:ascii="Garamond" w:hAnsi="Garamond"/>
          <w:vertAlign w:val="superscript"/>
        </w:rPr>
        <w:t>1</w:t>
      </w:r>
      <w:r>
        <w:rPr>
          <w:rFonts w:ascii="Garamond" w:hAnsi="Garamond"/>
        </w:rPr>
        <w:t xml:space="preserve">, </w:t>
      </w:r>
      <w:proofErr w:type="spellStart"/>
      <w:r>
        <w:rPr>
          <w:rFonts w:ascii="Garamond" w:hAnsi="Garamond"/>
        </w:rPr>
        <w:t>Xiaojing</w:t>
      </w:r>
      <w:proofErr w:type="spellEnd"/>
      <w:r>
        <w:rPr>
          <w:rFonts w:ascii="Garamond" w:hAnsi="Garamond"/>
        </w:rPr>
        <w:t xml:space="preserve"> Fan</w:t>
      </w:r>
      <w:r>
        <w:rPr>
          <w:rFonts w:ascii="Garamond" w:hAnsi="Garamond"/>
          <w:vertAlign w:val="superscript"/>
        </w:rPr>
        <w:t>1</w:t>
      </w:r>
      <w:r>
        <w:rPr>
          <w:rFonts w:ascii="Garamond" w:hAnsi="Garamond"/>
        </w:rPr>
        <w:t xml:space="preserve">, </w:t>
      </w:r>
      <w:proofErr w:type="spellStart"/>
      <w:r>
        <w:rPr>
          <w:rFonts w:ascii="Garamond" w:hAnsi="Garamond"/>
        </w:rPr>
        <w:t>Yiwei</w:t>
      </w:r>
      <w:proofErr w:type="spellEnd"/>
      <w:r>
        <w:rPr>
          <w:rFonts w:ascii="Garamond" w:hAnsi="Garamond"/>
        </w:rPr>
        <w:t xml:space="preserve"> Li</w:t>
      </w:r>
      <w:r>
        <w:rPr>
          <w:rFonts w:ascii="Garamond" w:hAnsi="Garamond"/>
          <w:vertAlign w:val="superscript"/>
        </w:rPr>
        <w:t>1</w:t>
      </w:r>
      <w:r>
        <w:rPr>
          <w:rFonts w:ascii="Garamond" w:hAnsi="Garamond"/>
        </w:rPr>
        <w:t xml:space="preserve">, </w:t>
      </w:r>
      <w:proofErr w:type="spellStart"/>
      <w:r>
        <w:rPr>
          <w:rFonts w:ascii="Garamond" w:hAnsi="Garamond"/>
        </w:rPr>
        <w:t>Jingyu</w:t>
      </w:r>
      <w:proofErr w:type="spellEnd"/>
      <w:r>
        <w:rPr>
          <w:rFonts w:ascii="Garamond" w:hAnsi="Garamond"/>
        </w:rPr>
        <w:t xml:space="preserve"> Li</w:t>
      </w:r>
      <w:r>
        <w:rPr>
          <w:rFonts w:ascii="Garamond" w:hAnsi="Garamond"/>
          <w:vertAlign w:val="superscript"/>
        </w:rPr>
        <w:t>1,*</w:t>
      </w:r>
    </w:p>
    <w:p w14:paraId="3A2765CF" w14:textId="77777777" w:rsidR="00A76C23" w:rsidRDefault="00000000">
      <w:pPr>
        <w:spacing w:line="360" w:lineRule="auto"/>
        <w:rPr>
          <w:rFonts w:ascii="Garamond" w:hAnsi="Garamond"/>
          <w:i/>
        </w:rPr>
      </w:pPr>
      <w:r>
        <w:rPr>
          <w:rFonts w:ascii="Garamond" w:hAnsi="Garamond"/>
          <w:i/>
          <w:iCs/>
          <w:vertAlign w:val="superscript"/>
        </w:rPr>
        <w:t>1</w:t>
      </w:r>
      <w:r>
        <w:rPr>
          <w:rFonts w:ascii="Garamond" w:hAnsi="Garamond"/>
          <w:i/>
          <w:iCs/>
        </w:rPr>
        <w:t>School of Materials Science and Engineering, Beijing Institute of Technology, 100081, Beijing, China</w:t>
      </w:r>
    </w:p>
    <w:p w14:paraId="14798C12" w14:textId="77777777" w:rsidR="00A76C23" w:rsidRDefault="00000000">
      <w:pPr>
        <w:spacing w:line="360" w:lineRule="auto"/>
        <w:rPr>
          <w:rFonts w:ascii="Garamond" w:hAnsi="Garamond"/>
          <w:i/>
          <w:iCs/>
        </w:rPr>
      </w:pPr>
      <w:r>
        <w:rPr>
          <w:rFonts w:ascii="MS Mincho" w:eastAsia="MS Mincho" w:hAnsi="MS Mincho" w:cs="MS Mincho"/>
          <w:vertAlign w:val="superscript"/>
        </w:rPr>
        <w:t>∔</w:t>
      </w:r>
      <w:r>
        <w:rPr>
          <w:rFonts w:ascii="Garamond" w:hAnsi="Garamond"/>
          <w:i/>
          <w:iCs/>
        </w:rPr>
        <w:t xml:space="preserve">Contributed equally. </w:t>
      </w:r>
    </w:p>
    <w:p w14:paraId="15FF4829" w14:textId="77777777" w:rsidR="00A76C23" w:rsidRDefault="00000000">
      <w:pPr>
        <w:spacing w:line="440" w:lineRule="exact"/>
        <w:jc w:val="both"/>
        <w:rPr>
          <w:rFonts w:ascii="Garamond" w:eastAsia="Garamond" w:hAnsi="Garamond" w:cs="Garamond"/>
          <w:i/>
          <w:iCs/>
        </w:rPr>
      </w:pPr>
      <w:r>
        <w:rPr>
          <w:rFonts w:ascii="Garamond" w:hAnsi="Garamond"/>
          <w:vertAlign w:val="superscript"/>
        </w:rPr>
        <w:t>*</w:t>
      </w:r>
      <w:r>
        <w:rPr>
          <w:rFonts w:ascii="Garamond" w:eastAsia="Garamond" w:hAnsi="Garamond" w:cs="Garamond"/>
          <w:i/>
          <w:iCs/>
        </w:rPr>
        <w:t xml:space="preserve">Corresponding authors: cy.md.simulation@gmail.com; </w:t>
      </w:r>
      <w:hyperlink r:id="rId4" w:history="1">
        <w:r>
          <w:rPr>
            <w:rStyle w:val="aa"/>
            <w:rFonts w:ascii="Garamond" w:eastAsia="Garamond" w:hAnsi="Garamond" w:cs="Garamond"/>
            <w:i/>
            <w:iCs/>
          </w:rPr>
          <w:t>lijingyu@bit.edu.cn</w:t>
        </w:r>
      </w:hyperlink>
    </w:p>
    <w:p w14:paraId="7D801A84" w14:textId="77777777" w:rsidR="00A76C23" w:rsidRDefault="00A76C23">
      <w:pPr>
        <w:spacing w:line="440" w:lineRule="exact"/>
        <w:ind w:firstLineChars="200" w:firstLine="480"/>
        <w:jc w:val="both"/>
        <w:rPr>
          <w:rFonts w:ascii="Times New Roman" w:hAnsi="Times New Roman" w:cs="Times New Roman"/>
        </w:rPr>
      </w:pPr>
    </w:p>
    <w:p w14:paraId="0B50AC18" w14:textId="406F196F" w:rsidR="00A76C23" w:rsidRPr="00B34C32" w:rsidRDefault="00000000" w:rsidP="00B34C32">
      <w:pPr>
        <w:spacing w:line="440" w:lineRule="exact"/>
        <w:jc w:val="both"/>
        <w:rPr>
          <w:rFonts w:ascii="Garamond" w:hAnsi="Garamond" w:cs="Times New Roman"/>
        </w:rPr>
      </w:pPr>
      <w:r w:rsidRPr="00B34C32">
        <w:rPr>
          <w:rFonts w:ascii="Garamond" w:hAnsi="Garamond" w:cs="Times New Roman"/>
        </w:rPr>
        <w:t xml:space="preserve">According to the French method </w:t>
      </w:r>
      <w:r w:rsidRPr="00B34C32">
        <w:rPr>
          <w:rFonts w:ascii="Garamond" w:hAnsi="Garamond" w:cs="Times New Roman"/>
        </w:rPr>
        <w:fldChar w:fldCharType="begin"/>
      </w:r>
      <w:r w:rsidRPr="00B34C32">
        <w:rPr>
          <w:rFonts w:ascii="Garamond" w:hAnsi="Garamond" w:cs="Times New Roman"/>
        </w:rPr>
        <w:instrText xml:space="preserve"> ADDIN EN.CITE &lt;EndNote&gt;&lt;Cite&gt;&lt;Author&gt;French&lt;/Author&gt;&lt;Year&gt;2004&lt;/Year&gt;&lt;RecNum&gt;111&lt;/RecNum&gt;&lt;DisplayText&gt;(French &amp;amp; Johnson, 2004)&lt;/DisplayText&gt;&lt;record&gt;&lt;rec-number&gt;111&lt;/rec-number&gt;&lt;foreign-keys&gt;&lt;key app="EN" db-id="t5wrrw09rsavwbesaxa5svf8ze5de9dwwxxe" timestamp="1693214560"&gt;111&lt;/key&gt;&lt;/foreign-keys&gt;&lt;ref-type name="Journal Article"&gt;17&lt;/ref-type&gt;&lt;contributors&gt;&lt;authors&gt;&lt;author&gt;French, Alfred D&lt;/author&gt;&lt;author&gt;Johnson, Glenn P&lt;/author&gt;&lt;/authors&gt;&lt;/contributors&gt;&lt;titles&gt;&lt;title&gt;What crystals of small analogs are trying to tell us about cellulose structure&lt;/title&gt;&lt;secondary-title&gt;Cellulose&lt;/secondary-title&gt;&lt;/titles&gt;&lt;periodical&gt;&lt;full-title&gt;Cellulose&lt;/full-title&gt;&lt;/periodical&gt;&lt;pages&gt;5-22&lt;/pages&gt;&lt;volume&gt;11&lt;/volume&gt;&lt;dates&gt;&lt;year&gt;2004&lt;/year&gt;&lt;/dates&gt;&lt;isbn&gt;0969-0239&lt;/isbn&gt;&lt;urls&gt;&lt;/urls&gt;&lt;/record&gt;&lt;/Cite&gt;&lt;/EndNote&gt;</w:instrText>
      </w:r>
      <w:r w:rsidRPr="00B34C32">
        <w:rPr>
          <w:rFonts w:ascii="Garamond" w:hAnsi="Garamond" w:cs="Times New Roman"/>
        </w:rPr>
        <w:fldChar w:fldCharType="separate"/>
      </w:r>
      <w:r w:rsidRPr="00B34C32">
        <w:rPr>
          <w:rFonts w:ascii="Garamond" w:hAnsi="Garamond" w:cs="Times New Roman"/>
        </w:rPr>
        <w:t>(French &amp; Johnson, 2004)</w:t>
      </w:r>
      <w:r w:rsidRPr="00B34C32">
        <w:rPr>
          <w:rFonts w:ascii="Garamond" w:hAnsi="Garamond" w:cs="Times New Roman"/>
        </w:rPr>
        <w:fldChar w:fldCharType="end"/>
      </w:r>
      <w:r w:rsidRPr="00B34C32">
        <w:rPr>
          <w:rFonts w:ascii="Garamond" w:hAnsi="Garamond" w:cs="Times New Roman"/>
        </w:rPr>
        <w:t xml:space="preserve">, phi (φ) refers to the dihedral angle </w:t>
      </w:r>
      <w:r w:rsidRPr="00B34C32">
        <w:rPr>
          <w:rFonts w:ascii="Cambria Math" w:hAnsi="Cambria Math" w:cs="Cambria Math"/>
        </w:rPr>
        <w:t>∠</w:t>
      </w:r>
      <w:r w:rsidRPr="00B34C32">
        <w:rPr>
          <w:rFonts w:ascii="Garamond" w:hAnsi="Garamond" w:cs="Times New Roman"/>
        </w:rPr>
        <w:t xml:space="preserve">O5'-C1'-O4-C4, psi (ψ) refers to the dihedral angle </w:t>
      </w:r>
      <w:r w:rsidRPr="00B34C32">
        <w:rPr>
          <w:rFonts w:ascii="Cambria Math" w:hAnsi="Cambria Math" w:cs="Cambria Math"/>
        </w:rPr>
        <w:t>∠</w:t>
      </w:r>
      <w:r w:rsidRPr="00B34C32">
        <w:rPr>
          <w:rFonts w:ascii="Garamond" w:hAnsi="Garamond" w:cs="Times New Roman"/>
        </w:rPr>
        <w:t xml:space="preserve">C1'-O4-C4-C5, n refers to the number of turns per revolution, and h refers to the feed amount per residue along the helical axis. P represents the pitch, which is the product of n and h, and </w:t>
      </w:r>
      <w:proofErr w:type="spellStart"/>
      <w:r w:rsidRPr="00B34C32">
        <w:rPr>
          <w:rFonts w:ascii="Garamond" w:hAnsi="Garamond" w:cs="Times New Roman"/>
        </w:rPr>
        <w:t>rho</w:t>
      </w:r>
      <w:proofErr w:type="spellEnd"/>
      <w:r w:rsidRPr="00B34C32">
        <w:rPr>
          <w:rFonts w:ascii="Garamond" w:hAnsi="Garamond" w:cs="Times New Roman"/>
        </w:rPr>
        <w:t xml:space="preserve"> represents the helical radius. r represents the distance of the β-glucose ring (O1-O1'), Phi refers to the angle (O1-O1'-O1''), and Tau refers to the torsion angle formed by three r bonds (O1-O1'-O1''-O'''). The structural parameters of the cellulose chain in the crystal calculated in this paper are n=2, h=5.19 Å, and P=</w:t>
      </w:r>
      <w:proofErr w:type="spellStart"/>
      <w:r w:rsidRPr="00B34C32">
        <w:rPr>
          <w:rFonts w:ascii="Garamond" w:hAnsi="Garamond" w:cs="Times New Roman"/>
        </w:rPr>
        <w:t>n×h</w:t>
      </w:r>
      <w:proofErr w:type="spellEnd"/>
      <w:r w:rsidRPr="00B34C32">
        <w:rPr>
          <w:rFonts w:ascii="Garamond" w:hAnsi="Garamond" w:cs="Times New Roman"/>
        </w:rPr>
        <w:t xml:space="preserve">=10.38 Å. Χ=360°/n, the second </w:t>
      </w:r>
      <w:proofErr w:type="spellStart"/>
      <w:r w:rsidRPr="00B34C32">
        <w:rPr>
          <w:rFonts w:ascii="Garamond" w:eastAsia="Garamond" w:hAnsi="Garamond" w:cs="Garamond"/>
        </w:rPr>
        <w:t>anhydroglucose</w:t>
      </w:r>
      <w:proofErr w:type="spellEnd"/>
      <w:r w:rsidRPr="00B34C32">
        <w:rPr>
          <w:rFonts w:ascii="Garamond" w:eastAsia="Garamond" w:hAnsi="Garamond" w:cs="Garamond"/>
        </w:rPr>
        <w:t xml:space="preserve"> unit</w:t>
      </w:r>
      <w:r w:rsidRPr="00B34C32">
        <w:rPr>
          <w:rFonts w:ascii="Garamond" w:hAnsi="Garamond" w:cs="Times New Roman"/>
        </w:rPr>
        <w:t xml:space="preserve"> (AGU) is rotated 180°, and the first AGU plus P has the same coordinates as the third AGU. The two adjacent AGUs undergo a 180° rotation transformation, so the structure of the cellulose chain in the crystal is 2</w:t>
      </w:r>
      <w:r w:rsidRPr="00B34C32">
        <w:rPr>
          <w:rFonts w:ascii="Garamond" w:hAnsi="Garamond" w:cs="Times New Roman"/>
          <w:vertAlign w:val="subscript"/>
        </w:rPr>
        <w:t>1</w:t>
      </w:r>
      <w:r w:rsidRPr="00B34C32">
        <w:rPr>
          <w:rFonts w:ascii="Garamond" w:hAnsi="Garamond" w:cs="Times New Roman"/>
        </w:rPr>
        <w:t xml:space="preserve">-symmetric structure, as shown in Table S1. Whether it is a left-handed or right-handed helix, the absolute value of X is 180°. In addition, when the cellulose chain is a </w:t>
      </w:r>
      <w:proofErr w:type="gramStart"/>
      <w:r w:rsidRPr="00B34C32">
        <w:rPr>
          <w:rFonts w:ascii="Garamond" w:hAnsi="Garamond" w:cs="Times New Roman"/>
        </w:rPr>
        <w:t>3</w:t>
      </w:r>
      <w:r w:rsidRPr="00B34C32">
        <w:rPr>
          <w:rFonts w:ascii="Garamond" w:hAnsi="Garamond" w:cs="Times New Roman"/>
          <w:vertAlign w:val="subscript"/>
        </w:rPr>
        <w:t xml:space="preserve">1 </w:t>
      </w:r>
      <w:r w:rsidRPr="00B34C32">
        <w:rPr>
          <w:rFonts w:ascii="Garamond" w:hAnsi="Garamond" w:cs="Times New Roman"/>
        </w:rPr>
        <w:t>helix</w:t>
      </w:r>
      <w:proofErr w:type="gramEnd"/>
      <w:r w:rsidRPr="00B34C32">
        <w:rPr>
          <w:rFonts w:ascii="Garamond" w:hAnsi="Garamond" w:cs="Times New Roman"/>
        </w:rPr>
        <w:t xml:space="preserve"> structure, the absolute value of X is 120°. When the cellulose chain is placed in W, U/W, B/W and B/U/W systems, the structural parameter X is close to 120°, providing certain data support for the structural changes of cellulose chain in aqueous solution. As shown in Table S2, when the cellulose chain structure is a 2</w:t>
      </w:r>
      <w:r w:rsidRPr="00B34C32">
        <w:rPr>
          <w:rFonts w:ascii="Garamond" w:hAnsi="Garamond" w:cs="Times New Roman"/>
          <w:vertAlign w:val="subscript"/>
        </w:rPr>
        <w:t>1</w:t>
      </w:r>
      <w:r w:rsidRPr="00B34C32">
        <w:rPr>
          <w:rFonts w:ascii="Garamond" w:hAnsi="Garamond" w:cs="Times New Roman"/>
        </w:rPr>
        <w:t xml:space="preserve">-symmetric structure, phi=-98°, psi=-142°; </w:t>
      </w:r>
      <w:proofErr w:type="spellStart"/>
      <w:r w:rsidRPr="00B34C32">
        <w:rPr>
          <w:rFonts w:ascii="Garamond" w:hAnsi="Garamond" w:cs="Times New Roman"/>
        </w:rPr>
        <w:t>phi+psi</w:t>
      </w:r>
      <w:proofErr w:type="spellEnd"/>
      <w:r w:rsidRPr="00B34C32">
        <w:rPr>
          <w:rFonts w:ascii="Garamond" w:hAnsi="Garamond" w:cs="Times New Roman"/>
        </w:rPr>
        <w:t>=-240°, 360+(-142-</w:t>
      </w:r>
      <w:proofErr w:type="gramStart"/>
      <w:r w:rsidRPr="00B34C32">
        <w:rPr>
          <w:rFonts w:ascii="Garamond" w:hAnsi="Garamond" w:cs="Times New Roman"/>
        </w:rPr>
        <w:t>98)=</w:t>
      </w:r>
      <w:proofErr w:type="gramEnd"/>
      <w:r w:rsidRPr="00B34C32">
        <w:rPr>
          <w:rFonts w:ascii="Garamond" w:hAnsi="Garamond" w:cs="Times New Roman"/>
        </w:rPr>
        <w:t>120°. Therefore, 120° is within the range of 2</w:t>
      </w:r>
      <w:r w:rsidRPr="00B34C32">
        <w:rPr>
          <w:rFonts w:ascii="Garamond" w:hAnsi="Garamond" w:cs="Times New Roman"/>
          <w:vertAlign w:val="subscript"/>
        </w:rPr>
        <w:t>1</w:t>
      </w:r>
      <w:r w:rsidRPr="00B34C32">
        <w:rPr>
          <w:rFonts w:ascii="Garamond" w:hAnsi="Garamond" w:cs="Times New Roman"/>
        </w:rPr>
        <w:t xml:space="preserve"> helix.</w:t>
      </w:r>
    </w:p>
    <w:p w14:paraId="30E6DAEE" w14:textId="236965A0" w:rsidR="00A76C23" w:rsidRDefault="00000000">
      <w:pPr>
        <w:widowControl w:val="0"/>
        <w:spacing w:beforeLines="50" w:before="156" w:afterLines="50" w:after="156"/>
        <w:jc w:val="center"/>
        <w:rPr>
          <w:rFonts w:ascii="Garamond" w:hAnsi="Garamond" w:cs="Times New Roman"/>
          <w:kern w:val="2"/>
          <w:sz w:val="21"/>
          <w:szCs w:val="21"/>
        </w:rPr>
      </w:pPr>
      <w:r>
        <w:rPr>
          <w:rFonts w:ascii="Garamond" w:hAnsi="Garamond" w:cs="Times New Roman"/>
          <w:kern w:val="2"/>
          <w:sz w:val="21"/>
          <w:szCs w:val="21"/>
        </w:rPr>
        <w:lastRenderedPageBreak/>
        <w:t xml:space="preserve">Table S1. </w:t>
      </w:r>
      <w:r w:rsidR="00B34C32">
        <w:rPr>
          <w:rFonts w:ascii="Garamond" w:hAnsi="Garamond" w:cs="Times New Roman"/>
          <w:kern w:val="2"/>
          <w:sz w:val="21"/>
          <w:szCs w:val="21"/>
        </w:rPr>
        <w:t>Puckering</w:t>
      </w:r>
      <w:r>
        <w:rPr>
          <w:rFonts w:ascii="Garamond" w:hAnsi="Garamond" w:cs="Times New Roman"/>
          <w:kern w:val="2"/>
          <w:sz w:val="21"/>
          <w:szCs w:val="21"/>
        </w:rPr>
        <w:t xml:space="preserve"> parameters of cellulose in different solvents</w:t>
      </w:r>
    </w:p>
    <w:tbl>
      <w:tblPr>
        <w:tblW w:w="9246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1552"/>
        <w:gridCol w:w="671"/>
        <w:gridCol w:w="888"/>
        <w:gridCol w:w="889"/>
        <w:gridCol w:w="888"/>
        <w:gridCol w:w="1482"/>
        <w:gridCol w:w="1037"/>
        <w:gridCol w:w="875"/>
        <w:gridCol w:w="964"/>
      </w:tblGrid>
      <w:tr w:rsidR="00A76C23" w:rsidRPr="00B34C32" w14:paraId="7C678B2A" w14:textId="77777777">
        <w:trPr>
          <w:trHeight w:val="317"/>
        </w:trPr>
        <w:tc>
          <w:tcPr>
            <w:tcW w:w="1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E60EC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Models</w:t>
            </w:r>
          </w:p>
        </w:tc>
        <w:tc>
          <w:tcPr>
            <w:tcW w:w="6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D2874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r (Å)</w:t>
            </w:r>
          </w:p>
        </w:tc>
        <w:tc>
          <w:tcPr>
            <w:tcW w:w="8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9C2FC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Phi (º)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E159E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Tau (º)</w:t>
            </w:r>
          </w:p>
        </w:tc>
        <w:tc>
          <w:tcPr>
            <w:tcW w:w="8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42DBB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rho</w:t>
            </w:r>
          </w:p>
        </w:tc>
        <w:tc>
          <w:tcPr>
            <w:tcW w:w="14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F4E64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Residues/turn Theta=n</w:t>
            </w:r>
          </w:p>
        </w:tc>
        <w:tc>
          <w:tcPr>
            <w:tcW w:w="10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33455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Rise/residue d=h</w:t>
            </w:r>
          </w:p>
        </w:tc>
        <w:tc>
          <w:tcPr>
            <w:tcW w:w="8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F77F6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P=n*h</w:t>
            </w:r>
          </w:p>
        </w:tc>
        <w:tc>
          <w:tcPr>
            <w:tcW w:w="96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DF951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Χ=360°/n</w:t>
            </w:r>
          </w:p>
        </w:tc>
      </w:tr>
      <w:tr w:rsidR="00A76C23" w:rsidRPr="00B34C32" w14:paraId="63A09CCD" w14:textId="77777777">
        <w:trPr>
          <w:trHeight w:val="440"/>
        </w:trPr>
        <w:tc>
          <w:tcPr>
            <w:tcW w:w="1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52B51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right-hand2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FAA766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5.48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F4BEB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142.30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44161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180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114EE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0.89</w:t>
            </w:r>
          </w:p>
        </w:tc>
        <w:tc>
          <w:tcPr>
            <w:tcW w:w="14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0B8FE9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9CC1B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5.19</w:t>
            </w:r>
          </w:p>
        </w:tc>
        <w:tc>
          <w:tcPr>
            <w:tcW w:w="8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C1B001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10.38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89D44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180</w:t>
            </w:r>
          </w:p>
        </w:tc>
      </w:tr>
      <w:tr w:rsidR="00A76C23" w:rsidRPr="00B34C32" w14:paraId="278E6B87" w14:textId="77777777">
        <w:trPr>
          <w:trHeight w:val="317"/>
        </w:trPr>
        <w:tc>
          <w:tcPr>
            <w:tcW w:w="1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AC407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left-hand2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32B0F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5.48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BC888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142.30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CE090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-180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3DC3B6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0.89</w:t>
            </w:r>
          </w:p>
        </w:tc>
        <w:tc>
          <w:tcPr>
            <w:tcW w:w="14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89F95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-2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2FE28A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5.19</w:t>
            </w:r>
          </w:p>
        </w:tc>
        <w:tc>
          <w:tcPr>
            <w:tcW w:w="8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1290B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-10.38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477CE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-180</w:t>
            </w:r>
          </w:p>
        </w:tc>
      </w:tr>
      <w:tr w:rsidR="00A76C23" w:rsidRPr="00B34C32" w14:paraId="0AE578A5" w14:textId="77777777">
        <w:trPr>
          <w:trHeight w:val="357"/>
        </w:trPr>
        <w:tc>
          <w:tcPr>
            <w:tcW w:w="1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FDED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Crystal-3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67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43B1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5.45</w:t>
            </w:r>
          </w:p>
        </w:tc>
        <w:tc>
          <w:tcPr>
            <w:tcW w:w="8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CA80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139.52</w:t>
            </w:r>
          </w:p>
        </w:tc>
        <w:tc>
          <w:tcPr>
            <w:tcW w:w="88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78609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-115.6</w:t>
            </w:r>
          </w:p>
        </w:tc>
        <w:tc>
          <w:tcPr>
            <w:tcW w:w="8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DF18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148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74486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-3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C8DF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8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FFD6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-15</w:t>
            </w:r>
          </w:p>
        </w:tc>
        <w:tc>
          <w:tcPr>
            <w:tcW w:w="9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A0241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-120</w:t>
            </w:r>
          </w:p>
        </w:tc>
      </w:tr>
      <w:tr w:rsidR="00A76C23" w:rsidRPr="00B34C32" w14:paraId="046A79C6" w14:textId="77777777">
        <w:trPr>
          <w:trHeight w:val="317"/>
        </w:trPr>
        <w:tc>
          <w:tcPr>
            <w:tcW w:w="924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51FD2D" w14:textId="1E95F34F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DP=7 (Box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：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4 × 4 × 4 nm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perscript"/>
              </w:rPr>
              <w:t>3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)</w:t>
            </w:r>
          </w:p>
        </w:tc>
      </w:tr>
      <w:tr w:rsidR="00A76C23" w:rsidRPr="00B34C32" w14:paraId="20976BEB" w14:textId="77777777">
        <w:trPr>
          <w:trHeight w:val="317"/>
        </w:trPr>
        <w:tc>
          <w:tcPr>
            <w:tcW w:w="1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E4CE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C/U/B/W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9786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5.53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C3D7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134.13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ECD5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-54.22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8EEB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3.28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A56A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-5.15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AB6F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4.05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9A5A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-20.86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3D60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-69.88</w:t>
            </w:r>
          </w:p>
        </w:tc>
      </w:tr>
      <w:tr w:rsidR="00A76C23" w:rsidRPr="00B34C32" w14:paraId="27C89C77" w14:textId="77777777">
        <w:trPr>
          <w:trHeight w:val="317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3DCE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C/U/W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D7AA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5.47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74D7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135.05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4485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-108.59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8179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D912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-3.14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5B5A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4.88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745A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-15.30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8CE8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-114.73</w:t>
            </w:r>
          </w:p>
        </w:tc>
      </w:tr>
      <w:tr w:rsidR="00A76C23" w:rsidRPr="00B34C32" w14:paraId="5F252816" w14:textId="77777777">
        <w:trPr>
          <w:trHeight w:val="317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73F4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C/B/W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32331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5.41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9E29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138.08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5D7B9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-80.58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1C87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1.96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5866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-4.04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113B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4.66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D996A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-18.80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333C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-89.15</w:t>
            </w:r>
          </w:p>
        </w:tc>
      </w:tr>
      <w:tr w:rsidR="00A76C23" w:rsidRPr="00B34C32" w14:paraId="1478B819" w14:textId="77777777">
        <w:trPr>
          <w:trHeight w:val="317"/>
        </w:trPr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7FBDF1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A69A3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5.44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78389A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137.69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20645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-83.28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B6CCE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E0801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-3.93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9E735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4.70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BB453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-18.46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5B37C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-91.63</w:t>
            </w:r>
          </w:p>
        </w:tc>
      </w:tr>
      <w:tr w:rsidR="00A76C23" w:rsidRPr="00B34C32" w14:paraId="5E8DC041" w14:textId="77777777">
        <w:trPr>
          <w:trHeight w:val="317"/>
        </w:trPr>
        <w:tc>
          <w:tcPr>
            <w:tcW w:w="924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3B5DE3" w14:textId="1E686854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DP=20 (Box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：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6 × 6 × 11 nm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perscript"/>
              </w:rPr>
              <w:t>3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)</w:t>
            </w:r>
          </w:p>
        </w:tc>
      </w:tr>
      <w:tr w:rsidR="00A76C23" w:rsidRPr="00B34C32" w14:paraId="2BBB7B08" w14:textId="77777777">
        <w:trPr>
          <w:trHeight w:val="317"/>
        </w:trPr>
        <w:tc>
          <w:tcPr>
            <w:tcW w:w="1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561F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C/U/B/W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B3CB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5.44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4C3A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133.46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26D54" w14:textId="77777777" w:rsidR="00A76C23" w:rsidRPr="00B34C32" w:rsidRDefault="00000000">
            <w:pPr>
              <w:spacing w:line="440" w:lineRule="exact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-109.11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907E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1.50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21C31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-3.11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0386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4.81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08E86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-14.97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892FA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-115.62</w:t>
            </w:r>
          </w:p>
        </w:tc>
      </w:tr>
      <w:tr w:rsidR="00A76C23" w:rsidRPr="00B34C32" w14:paraId="7FAA4E2B" w14:textId="77777777">
        <w:trPr>
          <w:trHeight w:val="317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B9F46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C/U/W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A113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5.53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2CA6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133.55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B114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112.07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2BE6A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FB861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-3.05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1533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4.91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1D65E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-14.95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9C43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-118.22</w:t>
            </w:r>
          </w:p>
        </w:tc>
      </w:tr>
      <w:tr w:rsidR="00A76C23" w:rsidRPr="00B34C32" w14:paraId="0A528726" w14:textId="77777777">
        <w:trPr>
          <w:trHeight w:val="317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5CB0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C/B/W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B55C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5.54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601D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131.98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17371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-92.39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683D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C245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-3.54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A427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4.71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5BA6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-16.70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D116E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-101.56</w:t>
            </w:r>
          </w:p>
        </w:tc>
      </w:tr>
      <w:tr w:rsidR="00A76C23" w:rsidRPr="00B34C32" w14:paraId="00FDB247" w14:textId="77777777">
        <w:trPr>
          <w:trHeight w:val="317"/>
        </w:trPr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177CA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15967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5.48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3B1D5E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133.78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E25E77" w14:textId="77777777" w:rsidR="00A76C23" w:rsidRPr="00B34C32" w:rsidRDefault="00000000">
            <w:pPr>
              <w:spacing w:line="440" w:lineRule="exact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-105.80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4EC15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1.55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5CE739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-3.20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1F58C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4.83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9D0F9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-15.45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6D3E59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-112.61</w:t>
            </w:r>
          </w:p>
        </w:tc>
      </w:tr>
      <w:tr w:rsidR="00A76C23" w:rsidRPr="00B34C32" w14:paraId="4D0D8F1B" w14:textId="77777777">
        <w:trPr>
          <w:trHeight w:val="317"/>
        </w:trPr>
        <w:tc>
          <w:tcPr>
            <w:tcW w:w="924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AD0E62" w14:textId="459499EC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DP=20 (Box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：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11 × 11 × 11 nm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perscript"/>
              </w:rPr>
              <w:t>3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)</w:t>
            </w:r>
          </w:p>
        </w:tc>
      </w:tr>
      <w:tr w:rsidR="00A76C23" w:rsidRPr="00B34C32" w14:paraId="354BFC14" w14:textId="77777777">
        <w:trPr>
          <w:trHeight w:val="317"/>
        </w:trPr>
        <w:tc>
          <w:tcPr>
            <w:tcW w:w="15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37EB6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C/U/B/W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4F399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5.5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6242C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132.47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A7D695" w14:textId="77777777" w:rsidR="00A76C23" w:rsidRPr="00B34C32" w:rsidRDefault="00000000">
            <w:pPr>
              <w:spacing w:line="440" w:lineRule="exact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-112.4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DFDE4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1.5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5E696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-3.03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FFB0E6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4.86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323EC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-14.73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9EF5E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-118.8</w:t>
            </w:r>
          </w:p>
        </w:tc>
      </w:tr>
      <w:tr w:rsidR="00A76C23" w:rsidRPr="00B34C32" w14:paraId="630E6E2F" w14:textId="77777777">
        <w:trPr>
          <w:trHeight w:val="317"/>
        </w:trPr>
        <w:tc>
          <w:tcPr>
            <w:tcW w:w="1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125359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C/U/W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144D2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5.48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DFD5F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133.57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210D12" w14:textId="77777777" w:rsidR="00A76C23" w:rsidRPr="00B34C32" w:rsidRDefault="00000000">
            <w:pPr>
              <w:spacing w:line="440" w:lineRule="exact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-114.9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FF544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1.43</w:t>
            </w:r>
          </w:p>
        </w:tc>
        <w:tc>
          <w:tcPr>
            <w:tcW w:w="14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51722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-2.98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95F346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4.88</w:t>
            </w:r>
          </w:p>
        </w:tc>
        <w:tc>
          <w:tcPr>
            <w:tcW w:w="8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A2B6D9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-14.54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4D6451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-120.7</w:t>
            </w:r>
          </w:p>
        </w:tc>
      </w:tr>
      <w:tr w:rsidR="00A76C23" w:rsidRPr="00B34C32" w14:paraId="36EF03F1" w14:textId="77777777">
        <w:trPr>
          <w:trHeight w:val="317"/>
        </w:trPr>
        <w:tc>
          <w:tcPr>
            <w:tcW w:w="1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A5FD8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C/B/W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FC18EE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5.49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554A1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133.56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080FD9" w14:textId="77777777" w:rsidR="00A76C23" w:rsidRPr="00B34C32" w:rsidRDefault="00000000">
            <w:pPr>
              <w:spacing w:line="440" w:lineRule="exact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-81.5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54DA36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2.1</w:t>
            </w:r>
          </w:p>
        </w:tc>
        <w:tc>
          <w:tcPr>
            <w:tcW w:w="14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44367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-3.92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EB305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4.59</w:t>
            </w:r>
          </w:p>
        </w:tc>
        <w:tc>
          <w:tcPr>
            <w:tcW w:w="8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A9D4F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-17.99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5BE86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-91.8</w:t>
            </w:r>
          </w:p>
        </w:tc>
      </w:tr>
      <w:tr w:rsidR="00A76C23" w:rsidRPr="00B34C32" w14:paraId="5393041B" w14:textId="77777777">
        <w:trPr>
          <w:trHeight w:val="317"/>
        </w:trPr>
        <w:tc>
          <w:tcPr>
            <w:tcW w:w="1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A77169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C/W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5A935E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5.49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85C379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133.06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1A8C9A9" w14:textId="77777777" w:rsidR="00A76C23" w:rsidRPr="00B34C32" w:rsidRDefault="00000000">
            <w:pPr>
              <w:spacing w:line="440" w:lineRule="exact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-123.4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34CFD8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1.35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BA8346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-2.8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EEE8C4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4.92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089A48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-13.78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B79327E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color w:val="000000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-128.4</w:t>
            </w:r>
          </w:p>
        </w:tc>
      </w:tr>
    </w:tbl>
    <w:p w14:paraId="4A117512" w14:textId="77777777" w:rsidR="00A76C23" w:rsidRDefault="00A76C23">
      <w:pPr>
        <w:widowControl w:val="0"/>
        <w:spacing w:beforeLines="50" w:before="156" w:afterLines="50" w:after="156"/>
        <w:rPr>
          <w:rFonts w:ascii="Garamond" w:hAnsi="Garamond" w:cs="Times New Roman"/>
          <w:kern w:val="2"/>
          <w:sz w:val="21"/>
          <w:szCs w:val="21"/>
        </w:rPr>
      </w:pPr>
    </w:p>
    <w:p w14:paraId="1AC517A5" w14:textId="77777777" w:rsidR="00A76C23" w:rsidRDefault="00A76C23">
      <w:pPr>
        <w:widowControl w:val="0"/>
        <w:spacing w:beforeLines="50" w:before="156" w:afterLines="50" w:after="156"/>
        <w:rPr>
          <w:rFonts w:ascii="Garamond" w:hAnsi="Garamond" w:cs="Times New Roman"/>
          <w:kern w:val="2"/>
          <w:sz w:val="21"/>
          <w:szCs w:val="21"/>
        </w:rPr>
      </w:pPr>
    </w:p>
    <w:p w14:paraId="1628E232" w14:textId="77777777" w:rsidR="00A76C23" w:rsidRDefault="00A76C23">
      <w:pPr>
        <w:widowControl w:val="0"/>
        <w:spacing w:beforeLines="50" w:before="156" w:afterLines="50" w:after="156"/>
        <w:rPr>
          <w:rFonts w:ascii="Garamond" w:hAnsi="Garamond" w:cs="Times New Roman"/>
          <w:kern w:val="2"/>
          <w:sz w:val="21"/>
          <w:szCs w:val="21"/>
        </w:rPr>
      </w:pPr>
    </w:p>
    <w:p w14:paraId="397A560E" w14:textId="77777777" w:rsidR="00A76C23" w:rsidRDefault="00A76C23">
      <w:pPr>
        <w:widowControl w:val="0"/>
        <w:spacing w:beforeLines="50" w:before="156" w:afterLines="50" w:after="156"/>
        <w:rPr>
          <w:rFonts w:ascii="Garamond" w:hAnsi="Garamond" w:cs="Times New Roman"/>
          <w:kern w:val="2"/>
          <w:sz w:val="21"/>
          <w:szCs w:val="21"/>
        </w:rPr>
      </w:pPr>
    </w:p>
    <w:p w14:paraId="25443247" w14:textId="77777777" w:rsidR="00A76C23" w:rsidRDefault="00A76C23">
      <w:pPr>
        <w:widowControl w:val="0"/>
        <w:spacing w:beforeLines="50" w:before="156" w:afterLines="50" w:after="156"/>
        <w:rPr>
          <w:rFonts w:ascii="Garamond" w:hAnsi="Garamond" w:cs="Times New Roman"/>
          <w:kern w:val="2"/>
          <w:sz w:val="21"/>
          <w:szCs w:val="21"/>
        </w:rPr>
      </w:pPr>
    </w:p>
    <w:p w14:paraId="44498371" w14:textId="77777777" w:rsidR="00A76C23" w:rsidRDefault="00A76C23">
      <w:pPr>
        <w:widowControl w:val="0"/>
        <w:spacing w:beforeLines="50" w:before="156" w:afterLines="50" w:after="156"/>
        <w:rPr>
          <w:rFonts w:ascii="Garamond" w:hAnsi="Garamond" w:cs="Times New Roman"/>
          <w:kern w:val="2"/>
          <w:sz w:val="21"/>
          <w:szCs w:val="21"/>
        </w:rPr>
      </w:pPr>
    </w:p>
    <w:p w14:paraId="534461FD" w14:textId="77777777" w:rsidR="00A76C23" w:rsidRDefault="00A76C23">
      <w:pPr>
        <w:widowControl w:val="0"/>
        <w:spacing w:beforeLines="50" w:before="156" w:afterLines="50" w:after="156"/>
        <w:rPr>
          <w:rFonts w:ascii="Garamond" w:hAnsi="Garamond" w:cs="Times New Roman"/>
          <w:kern w:val="2"/>
          <w:sz w:val="21"/>
          <w:szCs w:val="21"/>
        </w:rPr>
      </w:pPr>
    </w:p>
    <w:p w14:paraId="016FFBE2" w14:textId="77777777" w:rsidR="00A76C23" w:rsidRDefault="00A76C23">
      <w:pPr>
        <w:widowControl w:val="0"/>
        <w:spacing w:beforeLines="50" w:before="156" w:afterLines="50" w:after="156"/>
        <w:rPr>
          <w:rFonts w:ascii="Garamond" w:hAnsi="Garamond" w:cs="Times New Roman"/>
          <w:kern w:val="2"/>
          <w:sz w:val="21"/>
          <w:szCs w:val="21"/>
        </w:rPr>
      </w:pPr>
    </w:p>
    <w:p w14:paraId="0A9BC938" w14:textId="77777777" w:rsidR="00B34C32" w:rsidRDefault="00B34C32">
      <w:pPr>
        <w:widowControl w:val="0"/>
        <w:spacing w:beforeLines="50" w:before="156" w:afterLines="50" w:after="156"/>
        <w:jc w:val="center"/>
        <w:rPr>
          <w:rFonts w:ascii="Garamond" w:hAnsi="Garamond" w:cs="Times New Roman"/>
          <w:kern w:val="2"/>
          <w:sz w:val="21"/>
          <w:szCs w:val="21"/>
        </w:rPr>
      </w:pPr>
    </w:p>
    <w:p w14:paraId="401EBFD4" w14:textId="6DB66DB6" w:rsidR="00A76C23" w:rsidRDefault="00000000">
      <w:pPr>
        <w:widowControl w:val="0"/>
        <w:spacing w:beforeLines="50" w:before="156" w:afterLines="50" w:after="156"/>
        <w:jc w:val="center"/>
        <w:rPr>
          <w:rFonts w:ascii="Garamond" w:hAnsi="Garamond" w:cs="Times New Roman"/>
          <w:kern w:val="2"/>
          <w:sz w:val="21"/>
          <w:szCs w:val="21"/>
        </w:rPr>
      </w:pPr>
      <w:r>
        <w:rPr>
          <w:rFonts w:ascii="Garamond" w:hAnsi="Garamond" w:cs="Times New Roman"/>
          <w:kern w:val="2"/>
          <w:sz w:val="21"/>
          <w:szCs w:val="21"/>
        </w:rPr>
        <w:lastRenderedPageBreak/>
        <w:t>Table S2. φ and ψ values of cellulose in different literature and at different DP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1"/>
        <w:gridCol w:w="1219"/>
        <w:gridCol w:w="1548"/>
        <w:gridCol w:w="2038"/>
        <w:gridCol w:w="935"/>
      </w:tblGrid>
      <w:tr w:rsidR="00A76C23" w:rsidRPr="00B34C32" w14:paraId="6C763FFA" w14:textId="77777777" w:rsidTr="00E02121">
        <w:trPr>
          <w:jc w:val="center"/>
        </w:trPr>
        <w:tc>
          <w:tcPr>
            <w:tcW w:w="397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B200B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Models</w:t>
            </w:r>
          </w:p>
        </w:tc>
        <w:tc>
          <w:tcPr>
            <w:tcW w:w="154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5D2EDA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proofErr w:type="gramStart"/>
            <w:r w:rsidRPr="00B34C32">
              <w:rPr>
                <w:rFonts w:ascii="Garamond" w:hAnsi="Garamond" w:cs="Times New Roman"/>
                <w:sz w:val="21"/>
                <w:szCs w:val="21"/>
              </w:rPr>
              <w:t>ψ(</w:t>
            </w:r>
            <w:proofErr w:type="gramEnd"/>
            <w:r w:rsidRPr="00B34C32">
              <w:rPr>
                <w:rFonts w:ascii="Garamond" w:hAnsi="Garamond" w:cs="Times New Roman"/>
                <w:sz w:val="21"/>
                <w:szCs w:val="21"/>
              </w:rPr>
              <w:t>C1-O1-C4'- C5')</w:t>
            </w:r>
          </w:p>
        </w:tc>
        <w:tc>
          <w:tcPr>
            <w:tcW w:w="203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7F348AE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φ(O5-C1-O1-C4')</w:t>
            </w:r>
          </w:p>
        </w:tc>
        <w:tc>
          <w:tcPr>
            <w:tcW w:w="93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37F31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proofErr w:type="spellStart"/>
            <w:r w:rsidRPr="00B34C32">
              <w:rPr>
                <w:rFonts w:ascii="Garamond" w:hAnsi="Garamond" w:cs="Times New Roman"/>
                <w:sz w:val="21"/>
                <w:szCs w:val="21"/>
              </w:rPr>
              <w:t>φ+ψ</w:t>
            </w:r>
            <w:proofErr w:type="spellEnd"/>
          </w:p>
        </w:tc>
      </w:tr>
      <w:tr w:rsidR="00A76C23" w:rsidRPr="00B34C32" w14:paraId="0570A08D" w14:textId="77777777" w:rsidTr="00E02121">
        <w:trPr>
          <w:jc w:val="center"/>
        </w:trPr>
        <w:tc>
          <w:tcPr>
            <w:tcW w:w="397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F814C9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Nishiyama’s Iβ(center)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begin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instrText xml:space="preserve"> ADDIN EN.CITE &lt;EndNote&gt;&lt;Cite&gt;&lt;Author&gt;Nishiyama&lt;/Author&gt;&lt;Year&gt;2002&lt;/Year&gt;&lt;RecNum&gt;186&lt;/RecNum&gt;&lt;DisplayText&gt;(Nishiyama, Langan, &amp;amp; Chanzy, 2002)&lt;/DisplayText&gt;&lt;record&gt;&lt;rec-number&gt;186&lt;/rec-number&gt;&lt;foreign-keys&gt;&lt;key app="EN" db-id="t5wrrw09rsavwbesaxa5svf8ze5de9dwwxxe" timestamp="1693487308"&gt;186&lt;/key&gt;&lt;/foreign-keys&gt;&lt;ref-type name="Journal Article"&gt;17&lt;/ref-type&gt;&lt;contributors&gt;&lt;authors&gt;&lt;author&gt;Nishiyama, Yoshiharu&lt;/author&gt;&lt;author&gt;Langan, Paul&lt;/author&gt;&lt;author&gt;Chanzy, Henri&lt;/author&gt;&lt;/authors&gt;&lt;/contributors&gt;&lt;titles&gt;&lt;title&gt;Crystal structure and hydrogen-bonding system in cellulose Iβ from synchrotron X-ray and neutron fiber diffraction&lt;/title&gt;&lt;secondary-title&gt;Journal of the American Chemical Society&lt;/secondary-title&gt;&lt;/titles&gt;&lt;periodical&gt;&lt;full-title&gt;Journal of the American Chemical Society&lt;/full-title&gt;&lt;/periodical&gt;&lt;pages&gt;9074-9082 &lt;/pages&gt;&lt;volume&gt;124&lt;/volume&gt;&lt;number&gt;31&lt;/number&gt;&lt;dates&gt;&lt;year&gt;2002&lt;/year&gt;&lt;/dates&gt;&lt;urls&gt;&lt;/urls&gt;&lt;/record&gt;&lt;/Cite&gt;&lt;/EndNote&gt;</w:instrTex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separate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(Nishiyama, Langan, &amp; Chanzy, 2002)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end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-2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548" w:type="dxa"/>
            <w:tcBorders>
              <w:top w:val="single" w:sz="4" w:space="0" w:color="auto"/>
              <w:bottom w:val="nil"/>
            </w:tcBorders>
            <w:vAlign w:val="center"/>
          </w:tcPr>
          <w:p w14:paraId="6E64E10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-146.06</w:t>
            </w:r>
          </w:p>
        </w:tc>
        <w:tc>
          <w:tcPr>
            <w:tcW w:w="2038" w:type="dxa"/>
            <w:tcBorders>
              <w:top w:val="single" w:sz="4" w:space="0" w:color="auto"/>
              <w:bottom w:val="nil"/>
            </w:tcBorders>
            <w:vAlign w:val="center"/>
          </w:tcPr>
          <w:p w14:paraId="2F189F2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-88.72</w:t>
            </w:r>
          </w:p>
        </w:tc>
        <w:tc>
          <w:tcPr>
            <w:tcW w:w="935" w:type="dxa"/>
            <w:tcBorders>
              <w:top w:val="single" w:sz="4" w:space="0" w:color="auto"/>
              <w:bottom w:val="nil"/>
            </w:tcBorders>
            <w:vAlign w:val="center"/>
          </w:tcPr>
          <w:p w14:paraId="5E9E996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-234.78</w:t>
            </w:r>
          </w:p>
        </w:tc>
      </w:tr>
      <w:tr w:rsidR="00A76C23" w:rsidRPr="00B34C32" w14:paraId="33CCE082" w14:textId="77777777" w:rsidTr="00E02121">
        <w:trPr>
          <w:jc w:val="center"/>
        </w:trPr>
        <w:tc>
          <w:tcPr>
            <w:tcW w:w="3970" w:type="dxa"/>
            <w:gridSpan w:val="2"/>
            <w:tcBorders>
              <w:top w:val="nil"/>
              <w:bottom w:val="nil"/>
            </w:tcBorders>
            <w:vAlign w:val="center"/>
          </w:tcPr>
          <w:p w14:paraId="4CCBEC4E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Nishiyama’s Iβ(corner)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begin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instrText xml:space="preserve"> ADDIN EN.CITE &lt;EndNote&gt;&lt;Cite&gt;&lt;Author&gt;Nishiyama&lt;/Author&gt;&lt;Year&gt;2002&lt;/Year&gt;&lt;RecNum&gt;186&lt;/RecNum&gt;&lt;DisplayText&gt;(Nishiyama et al., 2002)&lt;/DisplayText&gt;&lt;record&gt;&lt;rec-number&gt;186&lt;/rec-number&gt;&lt;foreign-keys&gt;&lt;key app="EN" db-id="t5wrrw09rsavwbesaxa5svf8ze5de9dwwxxe" timestamp="1693487308"&gt;186&lt;/key&gt;&lt;/foreign-keys&gt;&lt;ref-type name="Journal Article"&gt;17&lt;/ref-type&gt;&lt;contributors&gt;&lt;authors&gt;&lt;author&gt;Nishiyama, Yoshiharu&lt;/author&gt;&lt;author&gt;Langan, Paul&lt;/author&gt;&lt;author&gt;Chanzy, Henri&lt;/author&gt;&lt;/authors&gt;&lt;/contributors&gt;&lt;titles&gt;&lt;title&gt;Crystal structure and hydrogen-bonding system in cellulose Iβ from synchrotron X-ray and neutron fiber diffraction&lt;/title&gt;&lt;secondary-title&gt;Journal of the American Chemical Society&lt;/secondary-title&gt;&lt;/titles&gt;&lt;periodical&gt;&lt;full-title&gt;Journal of the American Chemical Society&lt;/full-title&gt;&lt;/periodical&gt;&lt;pages&gt;9074-9082 &lt;/pages&gt;&lt;volume&gt;124&lt;/volume&gt;&lt;number&gt;31&lt;/number&gt;&lt;dates&gt;&lt;year&gt;2002&lt;/year&gt;&lt;/dates&gt;&lt;urls&gt;&lt;/urls&gt;&lt;/record&gt;&lt;/Cite&gt;&lt;/EndNote&gt;</w:instrTex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separate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(Nishiyama et al., 2002)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end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-2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</w:tcPr>
          <w:p w14:paraId="4635572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-142.3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075E80A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-98.45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F7AC46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-240.75</w:t>
            </w:r>
          </w:p>
        </w:tc>
      </w:tr>
      <w:tr w:rsidR="00A76C23" w:rsidRPr="00B34C32" w14:paraId="7BC6A2D4" w14:textId="77777777" w:rsidTr="00E02121">
        <w:trPr>
          <w:jc w:val="center"/>
        </w:trPr>
        <w:tc>
          <w:tcPr>
            <w:tcW w:w="3970" w:type="dxa"/>
            <w:gridSpan w:val="2"/>
            <w:tcBorders>
              <w:top w:val="nil"/>
            </w:tcBorders>
            <w:vAlign w:val="center"/>
          </w:tcPr>
          <w:p w14:paraId="55CDAD3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This work-2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548" w:type="dxa"/>
            <w:tcBorders>
              <w:top w:val="nil"/>
            </w:tcBorders>
            <w:vAlign w:val="center"/>
          </w:tcPr>
          <w:p w14:paraId="4E7A4C6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-142.3</w:t>
            </w:r>
          </w:p>
        </w:tc>
        <w:tc>
          <w:tcPr>
            <w:tcW w:w="2038" w:type="dxa"/>
            <w:tcBorders>
              <w:top w:val="nil"/>
            </w:tcBorders>
            <w:vAlign w:val="center"/>
          </w:tcPr>
          <w:p w14:paraId="44D2D5B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-98.0</w:t>
            </w:r>
          </w:p>
        </w:tc>
        <w:tc>
          <w:tcPr>
            <w:tcW w:w="935" w:type="dxa"/>
            <w:tcBorders>
              <w:top w:val="nil"/>
            </w:tcBorders>
            <w:vAlign w:val="center"/>
          </w:tcPr>
          <w:p w14:paraId="675D27A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-240.3</w:t>
            </w:r>
          </w:p>
        </w:tc>
      </w:tr>
      <w:tr w:rsidR="00A76C23" w:rsidRPr="00B34C32" w14:paraId="62B24842" w14:textId="77777777" w:rsidTr="00E02121">
        <w:trPr>
          <w:jc w:val="center"/>
        </w:trPr>
        <w:tc>
          <w:tcPr>
            <w:tcW w:w="3970" w:type="dxa"/>
            <w:gridSpan w:val="2"/>
            <w:tcBorders>
              <w:top w:val="nil"/>
              <w:bottom w:val="nil"/>
            </w:tcBorders>
            <w:vAlign w:val="center"/>
          </w:tcPr>
          <w:p w14:paraId="0E61A09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Nishimura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begin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instrText xml:space="preserve"> ADDIN EN.CITE &lt;EndNote&gt;&lt;Cite&gt;&lt;Author&gt;Nishimura&lt;/Author&gt;&lt;Year&gt;1991&lt;/Year&gt;&lt;RecNum&gt;135&lt;/RecNum&gt;&lt;DisplayText&gt;(Nishimura &amp;amp; Sarko, 1991)&lt;/DisplayText&gt;&lt;record&gt;&lt;rec-number&gt;135&lt;/rec-number&gt;&lt;foreign-keys&gt;&lt;key app="EN" db-id="t5wrrw09rsavwbesaxa5svf8ze5de9dwwxxe" timestamp="1693214563"&gt;135&lt;/key&gt;&lt;/foreign-keys&gt;&lt;ref-type name="Journal Article"&gt;17&lt;/ref-type&gt;&lt;contributors&gt;&lt;authors&gt;&lt;author&gt;Nishimura, Hisao&lt;/author&gt;&lt;author&gt;Sarko, Anatole&lt;/author&gt;&lt;/authors&gt;&lt;/contributors&gt;&lt;titles&gt;&lt;title&gt;Mercerization of cellulose. 6. Crystal and molecular structure of Na-cellulose IV&lt;/title&gt;&lt;secondary-title&gt;Macromolecules&lt;/secondary-title&gt;&lt;/titles&gt;&lt;periodical&gt;&lt;full-title&gt;Macromolecules&lt;/full-title&gt;&lt;/periodical&gt;&lt;pages&gt;771-778&lt;/pages&gt;&lt;volume&gt;24&lt;/volume&gt;&lt;number&gt;3&lt;/number&gt;&lt;dates&gt;&lt;year&gt;1991&lt;/year&gt;&lt;/dates&gt;&lt;isbn&gt;0024-9297&lt;/isbn&gt;&lt;urls&gt;&lt;/urls&gt;&lt;/record&gt;&lt;/Cite&gt;&lt;/EndNote&gt;</w:instrTex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separate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(Nishimura &amp; Sarko, 1991)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end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-2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</w:tcPr>
          <w:p w14:paraId="5259B6C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-150.92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56C539BE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-92.42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745253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-243.34</w:t>
            </w:r>
          </w:p>
        </w:tc>
      </w:tr>
      <w:tr w:rsidR="00A76C23" w:rsidRPr="00B34C32" w14:paraId="018B9961" w14:textId="77777777" w:rsidTr="00E02121">
        <w:trPr>
          <w:jc w:val="center"/>
        </w:trPr>
        <w:tc>
          <w:tcPr>
            <w:tcW w:w="3970" w:type="dxa"/>
            <w:gridSpan w:val="2"/>
            <w:tcBorders>
              <w:top w:val="nil"/>
              <w:bottom w:val="nil"/>
            </w:tcBorders>
            <w:vAlign w:val="center"/>
          </w:tcPr>
          <w:p w14:paraId="6C8B078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Nishimura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begin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instrText xml:space="preserve"> ADDIN EN.CITE &lt;EndNote&gt;&lt;Cite&gt;&lt;Author&gt;Nishimura&lt;/Author&gt;&lt;Year&gt;1991&lt;/Year&gt;&lt;RecNum&gt;136&lt;/RecNum&gt;&lt;DisplayText&gt;(Nishimura, Okano, &amp;amp; Sarko, 1991)&lt;/DisplayText&gt;&lt;record&gt;&lt;rec-number&gt;136&lt;/rec-number&gt;&lt;foreign-keys&gt;&lt;key app="EN" db-id="t5wrrw09rsavwbesaxa5svf8ze5de9dwwxxe" timestamp="1693214563"&gt;136&lt;/key&gt;&lt;/foreign-keys&gt;&lt;ref-type name="Journal Article"&gt;17&lt;/ref-type&gt;&lt;contributors&gt;&lt;authors&gt;&lt;author&gt;Nishimura, Hisao&lt;/author&gt;&lt;author&gt;Okano, Takeshi&lt;/author&gt;&lt;author&gt;Sarko, Anatole&lt;/author&gt;&lt;/authors&gt;&lt;/contributors&gt;&lt;titles&gt;&lt;title&gt;Mercerization of cellulose. 5. Crystal and molecular structure of Na-cellulose I&lt;/title&gt;&lt;secondary-title&gt;Macromolecules&lt;/secondary-title&gt;&lt;/titles&gt;&lt;periodical&gt;&lt;full-title&gt;Macromolecules&lt;/full-title&gt;&lt;/periodical&gt;&lt;pages&gt;759-770&lt;/pages&gt;&lt;volume&gt;24&lt;/volume&gt;&lt;number&gt;3&lt;/number&gt;&lt;dates&gt;&lt;year&gt;1991&lt;/year&gt;&lt;/dates&gt;&lt;isbn&gt;0024-9297&lt;/isbn&gt;&lt;urls&gt;&lt;/urls&gt;&lt;/record&gt;&lt;/Cite&gt;&lt;/EndNote&gt;</w:instrTex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separate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(Nishimura, Okano, &amp; Sarko, 1991)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end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-2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</w:tcPr>
          <w:p w14:paraId="2CACDA6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-148.77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7E436DC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-92.82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BD6FBE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-241.59</w:t>
            </w:r>
          </w:p>
        </w:tc>
      </w:tr>
      <w:tr w:rsidR="00A76C23" w:rsidRPr="00B34C32" w14:paraId="6333324D" w14:textId="77777777" w:rsidTr="00E02121">
        <w:trPr>
          <w:jc w:val="center"/>
        </w:trPr>
        <w:tc>
          <w:tcPr>
            <w:tcW w:w="3970" w:type="dxa"/>
            <w:gridSpan w:val="2"/>
            <w:tcBorders>
              <w:top w:val="nil"/>
              <w:bottom w:val="nil"/>
            </w:tcBorders>
            <w:vAlign w:val="center"/>
          </w:tcPr>
          <w:p w14:paraId="6387CF7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French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begin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instrText xml:space="preserve"> ADDIN EN.CITE &lt;EndNote&gt;&lt;Cite&gt;&lt;Author&gt;French&lt;/Author&gt;&lt;Year&gt;2004&lt;/Year&gt;&lt;RecNum&gt;111&lt;/RecNum&gt;&lt;DisplayText&gt;(French &amp;amp; Johnson, 2004)&lt;/DisplayText&gt;&lt;record&gt;&lt;rec-number&gt;111&lt;/rec-number&gt;&lt;foreign-keys&gt;&lt;key app="EN" db-id="t5wrrw09rsavwbesaxa5svf8ze5de9dwwxxe" timestamp="1693214560"&gt;111&lt;/key&gt;&lt;/foreign-keys&gt;&lt;ref-type name="Journal Article"&gt;17&lt;/ref-type&gt;&lt;contributors&gt;&lt;authors&gt;&lt;author&gt;French, Alfred D&lt;/author&gt;&lt;author&gt;Johnson, Glenn P&lt;/author&gt;&lt;/authors&gt;&lt;/contributors&gt;&lt;titles&gt;&lt;title&gt;What crystals of small analogs are trying to tell us about cellulose structure&lt;/title&gt;&lt;secondary-title&gt;Cellulose&lt;/secondary-title&gt;&lt;/titles&gt;&lt;periodical&gt;&lt;full-title&gt;Cellulose&lt;/full-title&gt;&lt;/periodical&gt;&lt;pages&gt;5-22&lt;/pages&gt;&lt;volume&gt;11&lt;/volume&gt;&lt;dates&gt;&lt;year&gt;2004&lt;/year&gt;&lt;/dates&gt;&lt;isbn&gt;0969-0239&lt;/isbn&gt;&lt;urls&gt;&lt;/urls&gt;&lt;/record&gt;&lt;/Cite&gt;&lt;/EndNote&gt;</w:instrTex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separate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(French &amp; Johnson, 2004)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end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-3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</w:tcPr>
          <w:p w14:paraId="6C2EEF0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-102.18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5F94F34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-67.71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046B24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-169.9</w:t>
            </w:r>
          </w:p>
        </w:tc>
      </w:tr>
      <w:tr w:rsidR="00A76C23" w:rsidRPr="00B34C32" w14:paraId="1FADC602" w14:textId="77777777" w:rsidTr="00E02121">
        <w:trPr>
          <w:jc w:val="center"/>
        </w:trPr>
        <w:tc>
          <w:tcPr>
            <w:tcW w:w="3970" w:type="dxa"/>
            <w:gridSpan w:val="2"/>
            <w:tcBorders>
              <w:top w:val="nil"/>
              <w:bottom w:val="nil"/>
            </w:tcBorders>
            <w:vAlign w:val="center"/>
          </w:tcPr>
          <w:p w14:paraId="3E1D9741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Whitaker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begin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instrText xml:space="preserve"> ADDIN EN.CITE &lt;EndNote&gt;&lt;Cite&gt;&lt;Author&gt;Whitaker&lt;/Author&gt;&lt;Year&gt;1974&lt;/Year&gt;&lt;RecNum&gt;698&lt;/RecNum&gt;&lt;DisplayText&gt;(Whitaker, Nieduszynski, &amp;amp; Atkins, 1974)&lt;/DisplayText&gt;&lt;record&gt;&lt;rec-number&gt;698&lt;/rec-number&gt;&lt;foreign-keys&gt;&lt;key app="EN" db-id="t5wrrw09rsavwbesaxa5svf8ze5de9dwwxxe" timestamp="1718071658"&gt;698&lt;/key&gt;&lt;/foreign-keys&gt;&lt;ref-type name="Journal Article"&gt;17&lt;/ref-type&gt;&lt;contributors&gt;&lt;authors&gt;&lt;author&gt;Whitaker, PM&lt;/author&gt;&lt;author&gt;Nieduszynski, IA&lt;/author&gt;&lt;author&gt;Atkins, EDT&lt;/author&gt;&lt;/authors&gt;&lt;/contributors&gt;&lt;titles&gt;&lt;title&gt;Structural aspects of sodacellulose II&lt;/title&gt;&lt;secondary-title&gt;Polymer&lt;/secondary-title&gt;&lt;/titles&gt;&lt;periodical&gt;&lt;full-title&gt;Polymer&lt;/full-title&gt;&lt;/periodical&gt;&lt;pages&gt;125-127&lt;/pages&gt;&lt;volume&gt;15&lt;/volume&gt;&lt;number&gt;2&lt;/number&gt;&lt;dates&gt;&lt;year&gt;1974&lt;/year&gt;&lt;/dates&gt;&lt;isbn&gt;0032-3861&lt;/isbn&gt;&lt;urls&gt;&lt;/urls&gt;&lt;/record&gt;&lt;/Cite&gt;&lt;/EndNote&gt;</w:instrTex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separate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(Whitaker, Nieduszynski, &amp; Atkins, 1974)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fldChar w:fldCharType="end"/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-Na-II-3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</w:tcPr>
          <w:p w14:paraId="104065F1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76.07/-76.01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1193936A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89.77/-89.82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58AFA36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165.83</w:t>
            </w:r>
          </w:p>
        </w:tc>
      </w:tr>
      <w:tr w:rsidR="00A76C23" w:rsidRPr="00B34C32" w14:paraId="78DEB723" w14:textId="77777777" w:rsidTr="00E02121">
        <w:trPr>
          <w:jc w:val="center"/>
        </w:trPr>
        <w:tc>
          <w:tcPr>
            <w:tcW w:w="397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891ECC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Xylan-crystal-3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548" w:type="dxa"/>
            <w:tcBorders>
              <w:top w:val="nil"/>
              <w:bottom w:val="single" w:sz="4" w:space="0" w:color="auto"/>
            </w:tcBorders>
            <w:vAlign w:val="center"/>
          </w:tcPr>
          <w:p w14:paraId="4135750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-104.91</w:t>
            </w:r>
          </w:p>
        </w:tc>
        <w:tc>
          <w:tcPr>
            <w:tcW w:w="2038" w:type="dxa"/>
            <w:tcBorders>
              <w:top w:val="nil"/>
              <w:bottom w:val="single" w:sz="4" w:space="0" w:color="auto"/>
            </w:tcBorders>
            <w:vAlign w:val="center"/>
          </w:tcPr>
          <w:p w14:paraId="3AD71BC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-66.7</w:t>
            </w:r>
          </w:p>
        </w:tc>
        <w:tc>
          <w:tcPr>
            <w:tcW w:w="935" w:type="dxa"/>
            <w:tcBorders>
              <w:top w:val="nil"/>
              <w:bottom w:val="single" w:sz="4" w:space="0" w:color="auto"/>
            </w:tcBorders>
            <w:vAlign w:val="center"/>
          </w:tcPr>
          <w:p w14:paraId="69518EC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-171.61</w:t>
            </w:r>
          </w:p>
        </w:tc>
      </w:tr>
      <w:tr w:rsidR="00A76C23" w:rsidRPr="00B34C32" w14:paraId="4CEA532E" w14:textId="77777777" w:rsidTr="00E0212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20"/>
          <w:jc w:val="center"/>
        </w:trPr>
        <w:tc>
          <w:tcPr>
            <w:tcW w:w="27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4B3E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DP=20</w:t>
            </w:r>
          </w:p>
          <w:p w14:paraId="0217487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（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Box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：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11 × 11 × 11 nm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perscript"/>
              </w:rPr>
              <w:t>3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3CE01" w14:textId="77777777" w:rsidR="00A76C23" w:rsidRPr="00B34C32" w:rsidRDefault="00000000">
            <w:pPr>
              <w:spacing w:line="440" w:lineRule="exact"/>
              <w:ind w:right="105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C/U/B/W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2CED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-121.739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6BE3E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-65.789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D0EB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-187.528</w:t>
            </w:r>
          </w:p>
        </w:tc>
      </w:tr>
      <w:tr w:rsidR="00A76C23" w:rsidRPr="00B34C32" w14:paraId="33515FB1" w14:textId="77777777" w:rsidTr="00E0212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20"/>
          <w:jc w:val="center"/>
        </w:trPr>
        <w:tc>
          <w:tcPr>
            <w:tcW w:w="27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5D73D" w14:textId="77777777" w:rsidR="00A76C23" w:rsidRPr="00B34C32" w:rsidRDefault="00A76C23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F339A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C/U/W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B58C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-128.619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9051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-67.043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3F09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-195.662</w:t>
            </w:r>
          </w:p>
        </w:tc>
      </w:tr>
      <w:tr w:rsidR="00A76C23" w:rsidRPr="00B34C32" w14:paraId="4BD3F904" w14:textId="77777777" w:rsidTr="00E0212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20"/>
          <w:jc w:val="center"/>
        </w:trPr>
        <w:tc>
          <w:tcPr>
            <w:tcW w:w="27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0E1CA" w14:textId="77777777" w:rsidR="00A76C23" w:rsidRPr="00B34C32" w:rsidRDefault="00A76C23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2F01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C/B/W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1061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79.0747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427A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-68.296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2167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10.779</w:t>
            </w:r>
          </w:p>
        </w:tc>
      </w:tr>
      <w:tr w:rsidR="00A76C23" w:rsidRPr="00B34C32" w14:paraId="4EC8E74E" w14:textId="77777777" w:rsidTr="00E0212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20"/>
          <w:jc w:val="center"/>
        </w:trPr>
        <w:tc>
          <w:tcPr>
            <w:tcW w:w="27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E04F3FC" w14:textId="77777777" w:rsidR="00A76C23" w:rsidRPr="00B34C32" w:rsidRDefault="00A76C23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F10C2BE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C/W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10BD5B5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-128.15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E123CB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-67.819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CAF5E7E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-195.969</w:t>
            </w:r>
          </w:p>
        </w:tc>
      </w:tr>
      <w:tr w:rsidR="00A76C23" w:rsidRPr="00B34C32" w14:paraId="0A317872" w14:textId="77777777" w:rsidTr="00E0212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20"/>
          <w:jc w:val="center"/>
        </w:trPr>
        <w:tc>
          <w:tcPr>
            <w:tcW w:w="2751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E8BE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DP=7</w:t>
            </w:r>
          </w:p>
          <w:p w14:paraId="222909D6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（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Box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：</w:t>
            </w:r>
            <w:r w:rsidRPr="00B34C32">
              <w:rPr>
                <w:rFonts w:ascii="Garamond" w:hAnsi="Garamond" w:cs="Times New Roman"/>
                <w:sz w:val="21"/>
                <w:szCs w:val="21"/>
              </w:rPr>
              <w:t>4 × 4 × 4 nm</w:t>
            </w:r>
            <w:r w:rsidRPr="00B34C32">
              <w:rPr>
                <w:rFonts w:ascii="Garamond" w:hAnsi="Garamond" w:cs="Times New Roman"/>
                <w:sz w:val="21"/>
                <w:szCs w:val="21"/>
                <w:vertAlign w:val="superscript"/>
              </w:rPr>
              <w:t>3</w:t>
            </w:r>
            <w:r w:rsidRPr="00B34C32">
              <w:rPr>
                <w:rFonts w:ascii="Garamond" w:hAnsi="Garamond" w:cs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21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B1B14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C/U/B/W</w:t>
            </w:r>
          </w:p>
        </w:tc>
        <w:tc>
          <w:tcPr>
            <w:tcW w:w="154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A9AEA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-121.511</w:t>
            </w:r>
          </w:p>
        </w:tc>
        <w:tc>
          <w:tcPr>
            <w:tcW w:w="20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5FC3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-70.997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AAC5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-192.508</w:t>
            </w:r>
          </w:p>
        </w:tc>
      </w:tr>
      <w:tr w:rsidR="00A76C23" w:rsidRPr="00B34C32" w14:paraId="31E54814" w14:textId="77777777" w:rsidTr="00E0212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20"/>
          <w:jc w:val="center"/>
        </w:trPr>
        <w:tc>
          <w:tcPr>
            <w:tcW w:w="27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658CD" w14:textId="77777777" w:rsidR="00A76C23" w:rsidRPr="00B34C32" w:rsidRDefault="00A76C23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96A77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C/U/W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647B3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-125.422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96A3B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-68.173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D28DC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-193.595</w:t>
            </w:r>
          </w:p>
        </w:tc>
      </w:tr>
      <w:tr w:rsidR="00A76C23" w:rsidRPr="00B34C32" w14:paraId="735517D5" w14:textId="77777777" w:rsidTr="00E0212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20"/>
          <w:jc w:val="center"/>
        </w:trPr>
        <w:tc>
          <w:tcPr>
            <w:tcW w:w="27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AFE08" w14:textId="77777777" w:rsidR="00A76C23" w:rsidRPr="00B34C32" w:rsidRDefault="00A76C23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05FC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C/B/W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7648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-115.195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980D0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-69.06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F949D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-184.255</w:t>
            </w:r>
          </w:p>
        </w:tc>
      </w:tr>
      <w:tr w:rsidR="00A76C23" w:rsidRPr="00B34C32" w14:paraId="1D5F073F" w14:textId="77777777" w:rsidTr="00E0212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20"/>
          <w:jc w:val="center"/>
        </w:trPr>
        <w:tc>
          <w:tcPr>
            <w:tcW w:w="275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804D8D" w14:textId="77777777" w:rsidR="00A76C23" w:rsidRPr="00B34C32" w:rsidRDefault="00A76C23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F2BE7C6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C/W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26770B2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-123.87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55B275F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-70.031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5021EA8" w14:textId="77777777" w:rsidR="00A76C23" w:rsidRPr="00B34C32" w:rsidRDefault="00000000">
            <w:pPr>
              <w:spacing w:line="440" w:lineRule="exact"/>
              <w:jc w:val="center"/>
              <w:rPr>
                <w:rFonts w:ascii="Garamond" w:hAnsi="Garamond" w:cs="Times New Roman"/>
                <w:sz w:val="21"/>
                <w:szCs w:val="21"/>
              </w:rPr>
            </w:pPr>
            <w:r w:rsidRPr="00B34C32">
              <w:rPr>
                <w:rFonts w:ascii="Garamond" w:hAnsi="Garamond" w:cs="Times New Roman"/>
                <w:sz w:val="21"/>
                <w:szCs w:val="21"/>
              </w:rPr>
              <w:t>-193.901</w:t>
            </w:r>
          </w:p>
        </w:tc>
      </w:tr>
    </w:tbl>
    <w:p w14:paraId="61A5CB29" w14:textId="77777777" w:rsidR="00A76C23" w:rsidRDefault="00A76C23">
      <w:pPr>
        <w:rPr>
          <w:rFonts w:ascii="Garamond" w:hAnsi="Garamond"/>
        </w:rPr>
      </w:pPr>
    </w:p>
    <w:p w14:paraId="306FC47A" w14:textId="77777777" w:rsidR="00A76C23" w:rsidRDefault="00000000">
      <w:pPr>
        <w:rPr>
          <w:rFonts w:ascii="Garamond" w:eastAsia="Garamond" w:hAnsi="Garamond" w:cs="Garamond"/>
          <w:b/>
          <w:bCs/>
          <w:color w:val="222222"/>
          <w:sz w:val="28"/>
          <w:szCs w:val="28"/>
        </w:rPr>
      </w:pPr>
      <w:r>
        <w:rPr>
          <w:rFonts w:ascii="Garamond" w:eastAsia="Garamond" w:hAnsi="Garamond" w:cs="Garamond"/>
          <w:b/>
          <w:bCs/>
          <w:color w:val="222222"/>
          <w:sz w:val="28"/>
          <w:szCs w:val="28"/>
        </w:rPr>
        <w:t>References:</w:t>
      </w:r>
    </w:p>
    <w:p w14:paraId="5CA98BA4" w14:textId="77777777" w:rsidR="00A76C23" w:rsidRPr="00E02121" w:rsidRDefault="00000000">
      <w:pPr>
        <w:pStyle w:val="EndNoteBibliography"/>
        <w:ind w:left="720" w:hanging="720"/>
        <w:rPr>
          <w:rFonts w:ascii="Garamond" w:hAnsi="Garamond"/>
          <w:sz w:val="21"/>
          <w:szCs w:val="21"/>
        </w:rPr>
      </w:pPr>
      <w:r>
        <w:rPr>
          <w:rFonts w:ascii="Garamond" w:hAnsi="Garamond"/>
          <w:sz w:val="21"/>
          <w:szCs w:val="21"/>
        </w:rPr>
        <w:fldChar w:fldCharType="begin"/>
      </w:r>
      <w:r>
        <w:rPr>
          <w:rFonts w:ascii="Garamond" w:hAnsi="Garamond"/>
          <w:sz w:val="21"/>
          <w:szCs w:val="21"/>
        </w:rPr>
        <w:instrText xml:space="preserve"> ADDIN EN.REFLIST </w:instrText>
      </w:r>
      <w:r>
        <w:rPr>
          <w:rFonts w:ascii="Garamond" w:hAnsi="Garamond"/>
          <w:sz w:val="21"/>
          <w:szCs w:val="21"/>
        </w:rPr>
        <w:fldChar w:fldCharType="separate"/>
      </w:r>
      <w:r w:rsidRPr="00E02121">
        <w:rPr>
          <w:rFonts w:ascii="Garamond" w:hAnsi="Garamond"/>
          <w:sz w:val="21"/>
          <w:szCs w:val="21"/>
        </w:rPr>
        <w:t>French, A. D., &amp; Johnson, G. P. (2004). What crystals of small analogs are trying to tell us about cellulose structure. Cellulose, 11, 5-22. https://doi.org/10.1023/B:CELL.0000014765.94239.fe</w:t>
      </w:r>
    </w:p>
    <w:p w14:paraId="6F5F0285" w14:textId="77777777" w:rsidR="00A76C23" w:rsidRPr="00E02121" w:rsidRDefault="00000000">
      <w:pPr>
        <w:pStyle w:val="EndNoteBibliography"/>
        <w:ind w:left="720" w:hanging="720"/>
        <w:rPr>
          <w:rFonts w:ascii="Garamond" w:hAnsi="Garamond"/>
          <w:sz w:val="21"/>
          <w:szCs w:val="21"/>
        </w:rPr>
      </w:pPr>
      <w:r w:rsidRPr="00E02121">
        <w:rPr>
          <w:rFonts w:ascii="Garamond" w:hAnsi="Garamond"/>
          <w:sz w:val="21"/>
          <w:szCs w:val="21"/>
        </w:rPr>
        <w:t>Nishimura, H., Okano, T., &amp; Sarko, A. (1991). Mercerization of cellulose. 5. Crystal and molecular structure of Na-cellulose I. Macromolecules, 24(3), 759-770. https://doi.org/10.1021/ma00003a020</w:t>
      </w:r>
    </w:p>
    <w:p w14:paraId="2AF09065" w14:textId="77777777" w:rsidR="00A76C23" w:rsidRPr="00E02121" w:rsidRDefault="00000000">
      <w:pPr>
        <w:pStyle w:val="EndNoteBibliography"/>
        <w:ind w:left="720" w:hanging="720"/>
        <w:rPr>
          <w:rFonts w:ascii="Garamond" w:hAnsi="Garamond"/>
          <w:sz w:val="21"/>
          <w:szCs w:val="21"/>
        </w:rPr>
      </w:pPr>
      <w:r w:rsidRPr="00E02121">
        <w:rPr>
          <w:rFonts w:ascii="Garamond" w:hAnsi="Garamond"/>
          <w:sz w:val="21"/>
          <w:szCs w:val="21"/>
        </w:rPr>
        <w:lastRenderedPageBreak/>
        <w:t xml:space="preserve">Nishimura, H., &amp; Sarko, A. (1991). Mercerization of cellulose. 6. Crystal and molecular structure of Na-cellulose IV. Macromolecules, 24(3), 771-778. </w:t>
      </w:r>
      <w:hyperlink r:id="rId5" w:tooltip="DOI URL" w:history="1">
        <w:r w:rsidRPr="00E02121">
          <w:rPr>
            <w:rFonts w:ascii="Garamond" w:hAnsi="Garamond"/>
            <w:sz w:val="21"/>
            <w:szCs w:val="21"/>
          </w:rPr>
          <w:t>https://doi.org/10.1021/ma00003a021</w:t>
        </w:r>
      </w:hyperlink>
    </w:p>
    <w:p w14:paraId="69E031B4" w14:textId="77777777" w:rsidR="00A76C23" w:rsidRPr="00E02121" w:rsidRDefault="00000000">
      <w:pPr>
        <w:pStyle w:val="EndNoteBibliography"/>
        <w:ind w:left="720" w:hanging="720"/>
        <w:rPr>
          <w:rFonts w:ascii="Garamond" w:hAnsi="Garamond"/>
          <w:sz w:val="21"/>
          <w:szCs w:val="21"/>
        </w:rPr>
      </w:pPr>
      <w:r w:rsidRPr="00E02121">
        <w:rPr>
          <w:rFonts w:ascii="Garamond" w:hAnsi="Garamond"/>
          <w:sz w:val="21"/>
          <w:szCs w:val="21"/>
        </w:rPr>
        <w:t xml:space="preserve">Nishiyama, Y., Langan, P., &amp; Chanzy, H. (2002). Crystal structure and hydrogen-bonding system in cellulose Iβ from synchrotron X-ray and neutron fiber diffraction. Journal of the American Chemical Society, 124(31), 9074-9082. </w:t>
      </w:r>
      <w:hyperlink r:id="rId6" w:tooltip="DOI URL" w:history="1">
        <w:r w:rsidRPr="00E02121">
          <w:rPr>
            <w:rFonts w:ascii="Garamond" w:hAnsi="Garamond"/>
            <w:sz w:val="21"/>
            <w:szCs w:val="21"/>
          </w:rPr>
          <w:t>https://doi.org/10.1021/ja0257319</w:t>
        </w:r>
      </w:hyperlink>
    </w:p>
    <w:p w14:paraId="58DFBD60" w14:textId="77777777" w:rsidR="00A76C23" w:rsidRPr="00E02121" w:rsidRDefault="00000000">
      <w:pPr>
        <w:pStyle w:val="EndNoteBibliography"/>
        <w:ind w:left="720" w:hanging="720"/>
        <w:rPr>
          <w:rFonts w:ascii="Garamond" w:hAnsi="Garamond"/>
          <w:sz w:val="21"/>
          <w:szCs w:val="21"/>
        </w:rPr>
      </w:pPr>
      <w:r w:rsidRPr="00E02121">
        <w:rPr>
          <w:rFonts w:ascii="Garamond" w:hAnsi="Garamond"/>
          <w:sz w:val="21"/>
          <w:szCs w:val="21"/>
        </w:rPr>
        <w:t>Whitaker, P., Nieduszynski, I., &amp; Atkins, E. (1974). Structural aspects of sodacellulose II. Polymer, 15(2), 125-127. https://doi.org/10.1016/0032-3861(74)90015-9</w:t>
      </w:r>
    </w:p>
    <w:p w14:paraId="1A70F6CD" w14:textId="77777777" w:rsidR="00A76C23" w:rsidRDefault="00A76C23">
      <w:pPr>
        <w:pStyle w:val="EndNoteBibliography"/>
        <w:ind w:left="720" w:hanging="720"/>
        <w:rPr>
          <w:rFonts w:ascii="Garamond" w:hAnsi="Garamond"/>
          <w:sz w:val="21"/>
          <w:szCs w:val="21"/>
        </w:rPr>
      </w:pPr>
    </w:p>
    <w:p w14:paraId="7AB8D1AA" w14:textId="77777777" w:rsidR="00A76C23" w:rsidRDefault="00000000">
      <w:pPr>
        <w:rPr>
          <w:rFonts w:ascii="Garamond" w:hAnsi="Garamond"/>
        </w:rPr>
      </w:pPr>
      <w:r>
        <w:rPr>
          <w:rFonts w:ascii="Garamond" w:hAnsi="Garamond"/>
          <w:sz w:val="21"/>
          <w:szCs w:val="21"/>
        </w:rPr>
        <w:fldChar w:fldCharType="end"/>
      </w:r>
    </w:p>
    <w:sectPr w:rsidR="00A76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APA 6th&lt;/Style&gt;&lt;LeftDelim&gt;{&lt;/LeftDelim&gt;&lt;RightDelim&gt;}&lt;/RightDelim&gt;&lt;FontName&gt;宋体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5wrrw09rsavwbesaxa5svf8ze5de9dwwxxe&quot;&gt;My EndNote Library&lt;record-ids&gt;&lt;item&gt;111&lt;/item&gt;&lt;item&gt;135&lt;/item&gt;&lt;item&gt;136&lt;/item&gt;&lt;item&gt;186&lt;/item&gt;&lt;item&gt;698&lt;/item&gt;&lt;/record-ids&gt;&lt;/item&gt;&lt;/Libraries&gt;"/>
  </w:docVars>
  <w:rsids>
    <w:rsidRoot w:val="00981620"/>
    <w:rsid w:val="00012606"/>
    <w:rsid w:val="00012DA9"/>
    <w:rsid w:val="0002327A"/>
    <w:rsid w:val="000424AA"/>
    <w:rsid w:val="000C3695"/>
    <w:rsid w:val="000E3453"/>
    <w:rsid w:val="000F1152"/>
    <w:rsid w:val="00124746"/>
    <w:rsid w:val="00131C5F"/>
    <w:rsid w:val="001462B5"/>
    <w:rsid w:val="00153FDB"/>
    <w:rsid w:val="00157A03"/>
    <w:rsid w:val="001600D7"/>
    <w:rsid w:val="001751FB"/>
    <w:rsid w:val="00177D2E"/>
    <w:rsid w:val="00180994"/>
    <w:rsid w:val="00191495"/>
    <w:rsid w:val="00192F71"/>
    <w:rsid w:val="001A4849"/>
    <w:rsid w:val="001A77DB"/>
    <w:rsid w:val="001D18D0"/>
    <w:rsid w:val="001D7F87"/>
    <w:rsid w:val="001F308A"/>
    <w:rsid w:val="002132E0"/>
    <w:rsid w:val="00237107"/>
    <w:rsid w:val="00244FCA"/>
    <w:rsid w:val="00255A12"/>
    <w:rsid w:val="002768E0"/>
    <w:rsid w:val="002B6FF8"/>
    <w:rsid w:val="002C2EB7"/>
    <w:rsid w:val="002C7E41"/>
    <w:rsid w:val="002D6151"/>
    <w:rsid w:val="002E6B50"/>
    <w:rsid w:val="002E7BFB"/>
    <w:rsid w:val="002F289D"/>
    <w:rsid w:val="002F4F13"/>
    <w:rsid w:val="00323640"/>
    <w:rsid w:val="00323EA4"/>
    <w:rsid w:val="00324E57"/>
    <w:rsid w:val="00336F52"/>
    <w:rsid w:val="00361084"/>
    <w:rsid w:val="00365D05"/>
    <w:rsid w:val="00373F02"/>
    <w:rsid w:val="0038448F"/>
    <w:rsid w:val="003A02C4"/>
    <w:rsid w:val="003C5F34"/>
    <w:rsid w:val="003D0D74"/>
    <w:rsid w:val="003D58C6"/>
    <w:rsid w:val="003F7292"/>
    <w:rsid w:val="0041603F"/>
    <w:rsid w:val="00417743"/>
    <w:rsid w:val="00422909"/>
    <w:rsid w:val="004231F0"/>
    <w:rsid w:val="00425209"/>
    <w:rsid w:val="00431006"/>
    <w:rsid w:val="00453281"/>
    <w:rsid w:val="00456AFB"/>
    <w:rsid w:val="0045728C"/>
    <w:rsid w:val="00460E14"/>
    <w:rsid w:val="0046114A"/>
    <w:rsid w:val="00461575"/>
    <w:rsid w:val="004912E8"/>
    <w:rsid w:val="004979C3"/>
    <w:rsid w:val="004B48AC"/>
    <w:rsid w:val="004B5691"/>
    <w:rsid w:val="004D693A"/>
    <w:rsid w:val="004E2EF7"/>
    <w:rsid w:val="004E6768"/>
    <w:rsid w:val="00516040"/>
    <w:rsid w:val="00535283"/>
    <w:rsid w:val="0054238F"/>
    <w:rsid w:val="0054322F"/>
    <w:rsid w:val="00550DA6"/>
    <w:rsid w:val="00555043"/>
    <w:rsid w:val="00557B1E"/>
    <w:rsid w:val="00596FEC"/>
    <w:rsid w:val="005A6F6A"/>
    <w:rsid w:val="005B015D"/>
    <w:rsid w:val="005D7FAA"/>
    <w:rsid w:val="00615088"/>
    <w:rsid w:val="0064010C"/>
    <w:rsid w:val="00641F88"/>
    <w:rsid w:val="006701CA"/>
    <w:rsid w:val="00673A5B"/>
    <w:rsid w:val="00677077"/>
    <w:rsid w:val="0069205D"/>
    <w:rsid w:val="006B1496"/>
    <w:rsid w:val="006B2D7F"/>
    <w:rsid w:val="006E4FAE"/>
    <w:rsid w:val="006E59E0"/>
    <w:rsid w:val="00700957"/>
    <w:rsid w:val="007021B6"/>
    <w:rsid w:val="00711175"/>
    <w:rsid w:val="007219B5"/>
    <w:rsid w:val="0073398B"/>
    <w:rsid w:val="00747936"/>
    <w:rsid w:val="0075324A"/>
    <w:rsid w:val="007604DD"/>
    <w:rsid w:val="00761A8C"/>
    <w:rsid w:val="00774520"/>
    <w:rsid w:val="00774E47"/>
    <w:rsid w:val="007845AF"/>
    <w:rsid w:val="007857D1"/>
    <w:rsid w:val="00792218"/>
    <w:rsid w:val="00795ED1"/>
    <w:rsid w:val="007A1980"/>
    <w:rsid w:val="007A728E"/>
    <w:rsid w:val="007B7D9C"/>
    <w:rsid w:val="007E2889"/>
    <w:rsid w:val="007F58CB"/>
    <w:rsid w:val="008023BE"/>
    <w:rsid w:val="0080413D"/>
    <w:rsid w:val="0082241E"/>
    <w:rsid w:val="00835A4F"/>
    <w:rsid w:val="00836ECD"/>
    <w:rsid w:val="00840E7B"/>
    <w:rsid w:val="00843D09"/>
    <w:rsid w:val="008449F0"/>
    <w:rsid w:val="00855A43"/>
    <w:rsid w:val="0086423C"/>
    <w:rsid w:val="00872EDA"/>
    <w:rsid w:val="008B66F8"/>
    <w:rsid w:val="008C141B"/>
    <w:rsid w:val="008C3A2A"/>
    <w:rsid w:val="008C4D33"/>
    <w:rsid w:val="008E2F30"/>
    <w:rsid w:val="008E4FE9"/>
    <w:rsid w:val="008F02D0"/>
    <w:rsid w:val="008F03E8"/>
    <w:rsid w:val="00902BB6"/>
    <w:rsid w:val="0090759E"/>
    <w:rsid w:val="009118A7"/>
    <w:rsid w:val="00913EFA"/>
    <w:rsid w:val="0093529E"/>
    <w:rsid w:val="00936396"/>
    <w:rsid w:val="00950601"/>
    <w:rsid w:val="00961559"/>
    <w:rsid w:val="00964970"/>
    <w:rsid w:val="00971FF6"/>
    <w:rsid w:val="0097637B"/>
    <w:rsid w:val="00976EF5"/>
    <w:rsid w:val="00981620"/>
    <w:rsid w:val="0098468E"/>
    <w:rsid w:val="009878AB"/>
    <w:rsid w:val="009A3F43"/>
    <w:rsid w:val="009B2D6B"/>
    <w:rsid w:val="009D0600"/>
    <w:rsid w:val="00A0401E"/>
    <w:rsid w:val="00A06C26"/>
    <w:rsid w:val="00A147E3"/>
    <w:rsid w:val="00A2394B"/>
    <w:rsid w:val="00A349FA"/>
    <w:rsid w:val="00A470FD"/>
    <w:rsid w:val="00A52CA5"/>
    <w:rsid w:val="00A6090E"/>
    <w:rsid w:val="00A60B46"/>
    <w:rsid w:val="00A75F43"/>
    <w:rsid w:val="00A76C23"/>
    <w:rsid w:val="00A87773"/>
    <w:rsid w:val="00A902F9"/>
    <w:rsid w:val="00A94093"/>
    <w:rsid w:val="00AC6BFC"/>
    <w:rsid w:val="00AE0411"/>
    <w:rsid w:val="00AE1F67"/>
    <w:rsid w:val="00AE3B08"/>
    <w:rsid w:val="00AE5539"/>
    <w:rsid w:val="00AF78A4"/>
    <w:rsid w:val="00B04766"/>
    <w:rsid w:val="00B212D4"/>
    <w:rsid w:val="00B32FD6"/>
    <w:rsid w:val="00B34C32"/>
    <w:rsid w:val="00B630C0"/>
    <w:rsid w:val="00B67936"/>
    <w:rsid w:val="00B9500E"/>
    <w:rsid w:val="00B96228"/>
    <w:rsid w:val="00BA6374"/>
    <w:rsid w:val="00BC1F98"/>
    <w:rsid w:val="00BC7507"/>
    <w:rsid w:val="00BF21CE"/>
    <w:rsid w:val="00BF2A11"/>
    <w:rsid w:val="00BF4BF0"/>
    <w:rsid w:val="00C236A0"/>
    <w:rsid w:val="00C31EF9"/>
    <w:rsid w:val="00C5583E"/>
    <w:rsid w:val="00C703FF"/>
    <w:rsid w:val="00C84146"/>
    <w:rsid w:val="00C8548F"/>
    <w:rsid w:val="00C96A1A"/>
    <w:rsid w:val="00CB0B76"/>
    <w:rsid w:val="00CC239B"/>
    <w:rsid w:val="00CF2063"/>
    <w:rsid w:val="00D00AFA"/>
    <w:rsid w:val="00D02626"/>
    <w:rsid w:val="00D1246B"/>
    <w:rsid w:val="00D12853"/>
    <w:rsid w:val="00D2133C"/>
    <w:rsid w:val="00D21CB7"/>
    <w:rsid w:val="00D26854"/>
    <w:rsid w:val="00D34C9E"/>
    <w:rsid w:val="00D40D12"/>
    <w:rsid w:val="00D47F8A"/>
    <w:rsid w:val="00D50673"/>
    <w:rsid w:val="00D51A4D"/>
    <w:rsid w:val="00D642B8"/>
    <w:rsid w:val="00D66962"/>
    <w:rsid w:val="00D669F3"/>
    <w:rsid w:val="00D70A3B"/>
    <w:rsid w:val="00D74B54"/>
    <w:rsid w:val="00DB0EAD"/>
    <w:rsid w:val="00DB3434"/>
    <w:rsid w:val="00DE5A13"/>
    <w:rsid w:val="00DF5935"/>
    <w:rsid w:val="00E01207"/>
    <w:rsid w:val="00E02121"/>
    <w:rsid w:val="00E13930"/>
    <w:rsid w:val="00E171D3"/>
    <w:rsid w:val="00E21CA0"/>
    <w:rsid w:val="00E34FB6"/>
    <w:rsid w:val="00E43D2C"/>
    <w:rsid w:val="00E46F38"/>
    <w:rsid w:val="00E50939"/>
    <w:rsid w:val="00E51EF0"/>
    <w:rsid w:val="00E5387B"/>
    <w:rsid w:val="00E541D2"/>
    <w:rsid w:val="00E5462B"/>
    <w:rsid w:val="00E92F2A"/>
    <w:rsid w:val="00EB028A"/>
    <w:rsid w:val="00EC4F42"/>
    <w:rsid w:val="00EC639E"/>
    <w:rsid w:val="00F02D70"/>
    <w:rsid w:val="00F17D74"/>
    <w:rsid w:val="00F25933"/>
    <w:rsid w:val="00F40C01"/>
    <w:rsid w:val="00F41DB8"/>
    <w:rsid w:val="00F705E8"/>
    <w:rsid w:val="00F72C88"/>
    <w:rsid w:val="00F76C26"/>
    <w:rsid w:val="00F9186B"/>
    <w:rsid w:val="00FC485F"/>
    <w:rsid w:val="00FC7E91"/>
    <w:rsid w:val="00FD193F"/>
    <w:rsid w:val="00FD3BAC"/>
    <w:rsid w:val="76EF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C1FBB9"/>
  <w15:docId w15:val="{04812445-A3B8-4F4C-8701-E9E4714BF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 w:val="0"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widowControl w:val="0"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widowControl w:val="0"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widowControl w:val="0"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widowControl w:val="0"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widowControl w:val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widowControl w:val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TOC1">
    <w:name w:val="toc 1"/>
    <w:basedOn w:val="a"/>
    <w:next w:val="a"/>
    <w:uiPriority w:val="39"/>
    <w:semiHidden/>
    <w:unhideWhenUsed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14:ligatures w14:val="standardContextual"/>
    </w:rPr>
  </w:style>
  <w:style w:type="paragraph" w:styleId="a5">
    <w:name w:val="Subtitle"/>
    <w:basedOn w:val="a"/>
    <w:next w:val="a"/>
    <w:link w:val="a6"/>
    <w:uiPriority w:val="11"/>
    <w:qFormat/>
    <w:pPr>
      <w:widowControl w:val="0"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paragraph" w:styleId="a7">
    <w:name w:val="Title"/>
    <w:basedOn w:val="a"/>
    <w:next w:val="a"/>
    <w:link w:val="a8"/>
    <w:uiPriority w:val="10"/>
    <w:qFormat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styleId="a9">
    <w:name w:val="FollowedHyperlink"/>
    <w:basedOn w:val="a0"/>
    <w:uiPriority w:val="99"/>
    <w:semiHidden/>
    <w:unhideWhenUsed/>
    <w:rPr>
      <w:color w:val="96607D" w:themeColor="followedHyperlink"/>
      <w:u w:val="single"/>
    </w:rPr>
  </w:style>
  <w:style w:type="character" w:styleId="aa">
    <w:name w:val="Hyperlink"/>
    <w:basedOn w:val="a0"/>
    <w:uiPriority w:val="99"/>
    <w:unhideWhenUsed/>
    <w:rPr>
      <w:color w:val="467886" w:themeColor="hyperlink"/>
      <w:u w:val="single"/>
    </w:rPr>
  </w:style>
  <w:style w:type="paragraph" w:customStyle="1" w:styleId="11">
    <w:name w:val="样式1"/>
    <w:basedOn w:val="TOC1"/>
    <w:qFormat/>
    <w:pPr>
      <w:tabs>
        <w:tab w:val="right" w:leader="dot" w:pos="8834"/>
      </w:tabs>
      <w:spacing w:line="440" w:lineRule="exact"/>
    </w:pPr>
    <w:rPr>
      <w:rFonts w:ascii="Times New Roman" w:eastAsia="FangSong" w:hAnsi="Times New Roman" w:cs="Times New Roman"/>
      <w:bCs/>
      <w:caps/>
      <w:sz w:val="24"/>
      <w14:ligatures w14:val="none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8">
    <w:name w:val="标题 字符"/>
    <w:basedOn w:val="a0"/>
    <w:link w:val="a7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副标题 字符"/>
    <w:basedOn w:val="a0"/>
    <w:link w:val="a5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14:ligatures w14:val="standardContextual"/>
    </w:rPr>
  </w:style>
  <w:style w:type="character" w:customStyle="1" w:styleId="ac">
    <w:name w:val="引用 字符"/>
    <w:basedOn w:val="a0"/>
    <w:link w:val="ab"/>
    <w:uiPriority w:val="29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14:ligatures w14:val="standardContextual"/>
    </w:rPr>
  </w:style>
  <w:style w:type="character" w:customStyle="1" w:styleId="12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14:ligatures w14:val="standardContextual"/>
    </w:rPr>
  </w:style>
  <w:style w:type="character" w:customStyle="1" w:styleId="af">
    <w:name w:val="明显引用 字符"/>
    <w:basedOn w:val="a0"/>
    <w:link w:val="ae"/>
    <w:uiPriority w:val="30"/>
    <w:rPr>
      <w:i/>
      <w:iCs/>
      <w:color w:val="0F4761" w:themeColor="accent1" w:themeShade="BF"/>
    </w:rPr>
  </w:style>
  <w:style w:type="character" w:customStyle="1" w:styleId="13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4">
    <w:name w:val="批注文字 字符"/>
    <w:basedOn w:val="a0"/>
    <w:link w:val="a3"/>
    <w:uiPriority w:val="99"/>
    <w:qFormat/>
    <w:rPr>
      <w:rFonts w:ascii="宋体" w:eastAsia="宋体" w:hAnsi="宋体" w:cs="宋体"/>
      <w:kern w:val="0"/>
      <w:sz w:val="24"/>
      <w14:ligatures w14:val="none"/>
    </w:rPr>
  </w:style>
  <w:style w:type="paragraph" w:customStyle="1" w:styleId="14">
    <w:name w:val="修订1"/>
    <w:hidden/>
    <w:uiPriority w:val="99"/>
    <w:semiHidden/>
    <w:rPr>
      <w:rFonts w:ascii="宋体" w:eastAsia="宋体" w:hAnsi="宋体" w:cs="宋体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</w:style>
  <w:style w:type="character" w:customStyle="1" w:styleId="EndNoteBibliographyTitle0">
    <w:name w:val="EndNote Bibliography Title 字符"/>
    <w:basedOn w:val="a0"/>
    <w:link w:val="EndNoteBibliographyTitle"/>
    <w:rPr>
      <w:rFonts w:ascii="宋体" w:eastAsia="宋体" w:hAnsi="宋体" w:cs="宋体"/>
      <w:kern w:val="0"/>
      <w:sz w:val="24"/>
      <w14:ligatures w14:val="none"/>
    </w:rPr>
  </w:style>
  <w:style w:type="paragraph" w:customStyle="1" w:styleId="EndNoteBibliography">
    <w:name w:val="EndNote Bibliography"/>
    <w:basedOn w:val="a"/>
    <w:link w:val="EndNoteBibliography0"/>
  </w:style>
  <w:style w:type="character" w:customStyle="1" w:styleId="EndNoteBibliography0">
    <w:name w:val="EndNote Bibliography 字符"/>
    <w:basedOn w:val="a0"/>
    <w:link w:val="EndNoteBibliography"/>
    <w:rPr>
      <w:rFonts w:ascii="宋体" w:eastAsia="宋体" w:hAnsi="宋体" w:cs="宋体"/>
      <w:kern w:val="0"/>
      <w:sz w:val="24"/>
      <w14:ligatures w14:val="none"/>
    </w:rPr>
  </w:style>
  <w:style w:type="character" w:customStyle="1" w:styleId="15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nchor-text">
    <w:name w:val="anchor-text"/>
    <w:basedOn w:val="a0"/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1">
    <w:name w:val="Revision"/>
    <w:hidden/>
    <w:uiPriority w:val="99"/>
    <w:unhideWhenUsed/>
    <w:rsid w:val="00964970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21/ja0257319" TargetMode="External"/><Relationship Id="rId5" Type="http://schemas.openxmlformats.org/officeDocument/2006/relationships/hyperlink" Target="https://doi.org/10.1021/ma00003a021" TargetMode="External"/><Relationship Id="rId4" Type="http://schemas.openxmlformats.org/officeDocument/2006/relationships/hyperlink" Target="mailto:lijingyu@bit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1694</Words>
  <Characters>9662</Characters>
  <Application>Microsoft Office Word</Application>
  <DocSecurity>0</DocSecurity>
  <Lines>80</Lines>
  <Paragraphs>22</Paragraphs>
  <ScaleCrop>false</ScaleCrop>
  <Company/>
  <LinksUpToDate>false</LinksUpToDate>
  <CharactersWithSpaces>11334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 Chen</dc:creator>
  <cp:lastModifiedBy>Yu Chen</cp:lastModifiedBy>
  <cp:revision>5</cp:revision>
  <dcterms:created xsi:type="dcterms:W3CDTF">2024-09-03T11:42:00Z</dcterms:created>
  <dcterms:modified xsi:type="dcterms:W3CDTF">2024-09-03T13:32:00Z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050AB08D358635FDAEF4D6661E922079_42</vt:lpwstr>
  </property>
</Properties>
</file>