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B94E7" w14:textId="77777777" w:rsidR="001901A0" w:rsidRPr="008E7580" w:rsidRDefault="001901A0">
      <w:pPr>
        <w:widowControl/>
        <w:jc w:val="left"/>
        <w:rPr>
          <w:rFonts w:ascii="Times New Roman" w:hAnsi="Times New Roman" w:cs="Times New Roman"/>
          <w:b/>
          <w:bCs/>
          <w:sz w:val="28"/>
          <w:szCs w:val="32"/>
        </w:rPr>
      </w:pPr>
      <w:r w:rsidRPr="008E7580">
        <w:rPr>
          <w:rFonts w:ascii="Times New Roman" w:hAnsi="Times New Roman" w:cs="Times New Roman"/>
          <w:b/>
          <w:bCs/>
          <w:sz w:val="28"/>
          <w:szCs w:val="32"/>
        </w:rPr>
        <w:t>Supplementary Figures</w:t>
      </w:r>
    </w:p>
    <w:p w14:paraId="3EFFD926" w14:textId="77777777" w:rsidR="001901A0" w:rsidRPr="008E7580" w:rsidRDefault="001901A0" w:rsidP="001901A0">
      <w:pPr>
        <w:widowControl/>
        <w:jc w:val="left"/>
        <w:rPr>
          <w:rFonts w:ascii="Times New Roman" w:hAnsi="Times New Roman" w:cs="Times New Roman"/>
          <w:b/>
          <w:bCs/>
          <w:noProof/>
        </w:rPr>
      </w:pPr>
    </w:p>
    <w:p w14:paraId="6172A460" w14:textId="783A50AE" w:rsidR="001901A0" w:rsidRPr="008E7580" w:rsidRDefault="001901A0" w:rsidP="001901A0">
      <w:pPr>
        <w:widowControl/>
        <w:jc w:val="left"/>
        <w:rPr>
          <w:rFonts w:ascii="Times New Roman" w:hAnsi="Times New Roman" w:cs="Times New Roman"/>
          <w:b/>
          <w:bCs/>
        </w:rPr>
      </w:pPr>
      <w:r w:rsidRPr="008E7580">
        <w:rPr>
          <w:rFonts w:ascii="Times New Roman" w:hAnsi="Times New Roman" w:cs="Times New Roman"/>
          <w:b/>
          <w:bCs/>
          <w:noProof/>
        </w:rPr>
        <w:drawing>
          <wp:inline distT="0" distB="0" distL="0" distR="0" wp14:anchorId="61FAFD18" wp14:editId="554F8AE2">
            <wp:extent cx="5640019" cy="3845753"/>
            <wp:effectExtent l="0" t="0" r="0" b="0"/>
            <wp:docPr id="10763264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326443" name="图片 1076326443"/>
                    <pic:cNvPicPr/>
                  </pic:nvPicPr>
                  <pic:blipFill rotWithShape="1">
                    <a:blip r:embed="rId6" cstate="print">
                      <a:extLst>
                        <a:ext uri="{28A0092B-C50C-407E-A947-70E740481C1C}">
                          <a14:useLocalDpi xmlns:a14="http://schemas.microsoft.com/office/drawing/2010/main" val="0"/>
                        </a:ext>
                      </a:extLst>
                    </a:blip>
                    <a:srcRect r="-1208" b="51196"/>
                    <a:stretch/>
                  </pic:blipFill>
                  <pic:spPr bwMode="auto">
                    <a:xfrm>
                      <a:off x="0" y="0"/>
                      <a:ext cx="5656978" cy="3857317"/>
                    </a:xfrm>
                    <a:prstGeom prst="rect">
                      <a:avLst/>
                    </a:prstGeom>
                    <a:ln>
                      <a:noFill/>
                    </a:ln>
                    <a:extLst>
                      <a:ext uri="{53640926-AAD7-44D8-BBD7-CCE9431645EC}">
                        <a14:shadowObscured xmlns:a14="http://schemas.microsoft.com/office/drawing/2010/main"/>
                      </a:ext>
                    </a:extLst>
                  </pic:spPr>
                </pic:pic>
              </a:graphicData>
            </a:graphic>
          </wp:inline>
        </w:drawing>
      </w:r>
    </w:p>
    <w:p w14:paraId="3DDF9605" w14:textId="68B0CB42" w:rsidR="001901A0" w:rsidRPr="008E7580" w:rsidRDefault="001901A0" w:rsidP="001901A0">
      <w:pPr>
        <w:widowControl/>
        <w:jc w:val="left"/>
        <w:rPr>
          <w:rFonts w:ascii="Times New Roman" w:hAnsi="Times New Roman" w:cs="Times New Roman"/>
          <w:b/>
          <w:bCs/>
        </w:rPr>
      </w:pPr>
      <w:r w:rsidRPr="008E7580">
        <w:rPr>
          <w:rFonts w:ascii="Times New Roman" w:hAnsi="Times New Roman" w:cs="Times New Roman"/>
          <w:b/>
          <w:bCs/>
        </w:rPr>
        <w:t>Supplementary Fig.1</w:t>
      </w:r>
    </w:p>
    <w:p w14:paraId="0AA64BF0" w14:textId="458B0D51" w:rsidR="001901A0" w:rsidRPr="008E7580" w:rsidRDefault="001901A0" w:rsidP="001901A0">
      <w:pPr>
        <w:widowControl/>
        <w:jc w:val="left"/>
        <w:rPr>
          <w:rFonts w:ascii="Times New Roman" w:hAnsi="Times New Roman" w:cs="Times New Roman"/>
          <w:b/>
          <w:bCs/>
          <w:sz w:val="28"/>
          <w:szCs w:val="32"/>
        </w:rPr>
      </w:pPr>
      <w:r w:rsidRPr="008E7580">
        <w:rPr>
          <w:rFonts w:ascii="Times New Roman" w:hAnsi="Times New Roman" w:cs="Times New Roman"/>
        </w:rPr>
        <w:t>(A-H) Synergistic distribution and Dose-response matrix (inhibition) of 5-FU and simvastatin in three PC cell lines and organoids of KPC mice.</w:t>
      </w:r>
      <w:r w:rsidRPr="008E7580">
        <w:rPr>
          <w:rFonts w:ascii="Times New Roman" w:hAnsi="Times New Roman" w:cs="Times New Roman"/>
          <w:b/>
          <w:bCs/>
          <w:sz w:val="28"/>
          <w:szCs w:val="32"/>
        </w:rPr>
        <w:br w:type="page"/>
      </w:r>
    </w:p>
    <w:p w14:paraId="57BC4333" w14:textId="77777777" w:rsidR="0018482C" w:rsidRDefault="00B1380B">
      <w:pPr>
        <w:widowControl/>
        <w:jc w:val="left"/>
        <w:rPr>
          <w:rFonts w:ascii="Times New Roman" w:hAnsi="Times New Roman" w:cs="Times New Roman"/>
          <w:b/>
          <w:bCs/>
          <w:sz w:val="28"/>
          <w:szCs w:val="32"/>
        </w:rPr>
      </w:pPr>
      <w:r w:rsidRPr="008E7580">
        <w:rPr>
          <w:rFonts w:ascii="Times New Roman" w:hAnsi="Times New Roman" w:cs="Times New Roman"/>
          <w:b/>
          <w:bCs/>
          <w:sz w:val="28"/>
          <w:szCs w:val="32"/>
        </w:rPr>
        <w:lastRenderedPageBreak/>
        <w:t xml:space="preserve">Supplementary Tables </w:t>
      </w:r>
    </w:p>
    <w:p w14:paraId="62BF5A9F" w14:textId="77777777" w:rsidR="008E7580" w:rsidRPr="008E7580" w:rsidRDefault="008E7580">
      <w:pPr>
        <w:widowControl/>
        <w:jc w:val="left"/>
        <w:rPr>
          <w:rFonts w:ascii="Times New Roman" w:hAnsi="Times New Roman" w:cs="Times New Roman"/>
          <w:b/>
          <w:bCs/>
          <w:sz w:val="28"/>
          <w:szCs w:val="32"/>
        </w:rPr>
      </w:pPr>
    </w:p>
    <w:p w14:paraId="5EABD368" w14:textId="00DA24DC" w:rsidR="008E7580" w:rsidRPr="008E7580" w:rsidRDefault="0018482C" w:rsidP="0018482C">
      <w:pPr>
        <w:widowControl/>
        <w:jc w:val="left"/>
        <w:rPr>
          <w:rFonts w:ascii="Times New Roman" w:hAnsi="Times New Roman" w:cs="Times New Roman"/>
          <w:sz w:val="24"/>
          <w:szCs w:val="28"/>
        </w:rPr>
      </w:pPr>
      <w:r w:rsidRPr="008E7580">
        <w:rPr>
          <w:rFonts w:ascii="Times New Roman" w:hAnsi="Times New Roman" w:cs="Times New Roman"/>
          <w:b/>
          <w:bCs/>
          <w:sz w:val="24"/>
          <w:szCs w:val="28"/>
        </w:rPr>
        <w:t xml:space="preserve">Supplementary Table 1. </w:t>
      </w:r>
      <w:r w:rsidRPr="008E7580">
        <w:rPr>
          <w:rFonts w:ascii="Times New Roman" w:hAnsi="Times New Roman" w:cs="Times New Roman"/>
          <w:sz w:val="24"/>
          <w:szCs w:val="28"/>
        </w:rPr>
        <w:t>The correlation between HMGCR level and age, sex, AJCC stage, differentiation degree, and CA19-9 value.</w:t>
      </w:r>
    </w:p>
    <w:tbl>
      <w:tblPr>
        <w:tblStyle w:val="a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0"/>
        <w:gridCol w:w="2309"/>
        <w:gridCol w:w="2420"/>
        <w:gridCol w:w="2420"/>
        <w:gridCol w:w="1411"/>
        <w:gridCol w:w="1211"/>
        <w:gridCol w:w="2218"/>
      </w:tblGrid>
      <w:tr w:rsidR="00982698" w:rsidRPr="008E7580" w14:paraId="2F01AA2D" w14:textId="77777777" w:rsidTr="00C5732D">
        <w:trPr>
          <w:trHeight w:val="708"/>
        </w:trPr>
        <w:tc>
          <w:tcPr>
            <w:tcW w:w="2080" w:type="dxa"/>
            <w:tcBorders>
              <w:top w:val="single" w:sz="4" w:space="0" w:color="auto"/>
              <w:bottom w:val="single" w:sz="4" w:space="0" w:color="auto"/>
            </w:tcBorders>
          </w:tcPr>
          <w:p w14:paraId="09B1719E" w14:textId="77777777" w:rsidR="0018482C" w:rsidRPr="00232C38" w:rsidRDefault="0018482C" w:rsidP="00C5732D">
            <w:pPr>
              <w:jc w:val="center"/>
              <w:rPr>
                <w:rFonts w:ascii="Times New Roman" w:hAnsi="Times New Roman" w:cs="Times New Roman"/>
                <w:sz w:val="24"/>
                <w:szCs w:val="24"/>
              </w:rPr>
            </w:pPr>
          </w:p>
        </w:tc>
        <w:tc>
          <w:tcPr>
            <w:tcW w:w="2309" w:type="dxa"/>
            <w:tcBorders>
              <w:top w:val="single" w:sz="4" w:space="0" w:color="auto"/>
              <w:bottom w:val="single" w:sz="4" w:space="0" w:color="auto"/>
            </w:tcBorders>
          </w:tcPr>
          <w:p w14:paraId="776062DB"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Variable</w:t>
            </w:r>
          </w:p>
        </w:tc>
        <w:tc>
          <w:tcPr>
            <w:tcW w:w="2420" w:type="dxa"/>
            <w:tcBorders>
              <w:top w:val="single" w:sz="4" w:space="0" w:color="auto"/>
              <w:bottom w:val="single" w:sz="4" w:space="0" w:color="auto"/>
            </w:tcBorders>
          </w:tcPr>
          <w:p w14:paraId="47BD6F0F"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High HMGCR</w:t>
            </w:r>
          </w:p>
          <w:p w14:paraId="495A63E5"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(n=31)</w:t>
            </w:r>
          </w:p>
        </w:tc>
        <w:tc>
          <w:tcPr>
            <w:tcW w:w="2420" w:type="dxa"/>
            <w:tcBorders>
              <w:top w:val="single" w:sz="4" w:space="0" w:color="auto"/>
              <w:bottom w:val="single" w:sz="4" w:space="0" w:color="auto"/>
            </w:tcBorders>
          </w:tcPr>
          <w:p w14:paraId="2BB7330A"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Low HMGCR</w:t>
            </w:r>
          </w:p>
          <w:p w14:paraId="2E2DE139"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(n=25)</w:t>
            </w:r>
          </w:p>
        </w:tc>
        <w:tc>
          <w:tcPr>
            <w:tcW w:w="1411" w:type="dxa"/>
            <w:tcBorders>
              <w:top w:val="single" w:sz="4" w:space="0" w:color="auto"/>
              <w:bottom w:val="single" w:sz="4" w:space="0" w:color="auto"/>
            </w:tcBorders>
          </w:tcPr>
          <w:p w14:paraId="31261256"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P value</w:t>
            </w:r>
          </w:p>
        </w:tc>
        <w:tc>
          <w:tcPr>
            <w:tcW w:w="1211" w:type="dxa"/>
            <w:tcBorders>
              <w:top w:val="single" w:sz="4" w:space="0" w:color="auto"/>
              <w:bottom w:val="single" w:sz="4" w:space="0" w:color="auto"/>
            </w:tcBorders>
          </w:tcPr>
          <w:p w14:paraId="1C9A43C9"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t/z</w:t>
            </w:r>
          </w:p>
        </w:tc>
        <w:tc>
          <w:tcPr>
            <w:tcW w:w="2218" w:type="dxa"/>
            <w:tcBorders>
              <w:top w:val="single" w:sz="4" w:space="0" w:color="auto"/>
              <w:bottom w:val="single" w:sz="4" w:space="0" w:color="auto"/>
            </w:tcBorders>
          </w:tcPr>
          <w:p w14:paraId="652747FD"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Chi-Square</w:t>
            </w:r>
          </w:p>
        </w:tc>
      </w:tr>
      <w:tr w:rsidR="00982698" w:rsidRPr="008E7580" w14:paraId="4C6E5816" w14:textId="77777777" w:rsidTr="00C5732D">
        <w:trPr>
          <w:trHeight w:val="428"/>
        </w:trPr>
        <w:tc>
          <w:tcPr>
            <w:tcW w:w="2080" w:type="dxa"/>
            <w:tcBorders>
              <w:top w:val="single" w:sz="4" w:space="0" w:color="auto"/>
            </w:tcBorders>
          </w:tcPr>
          <w:p w14:paraId="6DEA3E16" w14:textId="77777777" w:rsidR="0018482C" w:rsidRPr="00232C38" w:rsidRDefault="0018482C" w:rsidP="00C5732D">
            <w:pPr>
              <w:jc w:val="center"/>
              <w:rPr>
                <w:rFonts w:ascii="Times New Roman" w:hAnsi="Times New Roman" w:cs="Times New Roman"/>
                <w:b/>
                <w:bCs/>
                <w:sz w:val="24"/>
                <w:szCs w:val="24"/>
              </w:rPr>
            </w:pPr>
            <w:r w:rsidRPr="00232C38">
              <w:rPr>
                <w:rFonts w:ascii="Times New Roman" w:hAnsi="Times New Roman" w:cs="Times New Roman"/>
                <w:b/>
                <w:bCs/>
                <w:sz w:val="24"/>
                <w:szCs w:val="24"/>
              </w:rPr>
              <w:t>Age</w:t>
            </w:r>
          </w:p>
        </w:tc>
        <w:tc>
          <w:tcPr>
            <w:tcW w:w="2309" w:type="dxa"/>
            <w:tcBorders>
              <w:top w:val="single" w:sz="4" w:space="0" w:color="auto"/>
            </w:tcBorders>
          </w:tcPr>
          <w:p w14:paraId="4E5CC59B"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Mean ± SD</w:t>
            </w:r>
          </w:p>
        </w:tc>
        <w:tc>
          <w:tcPr>
            <w:tcW w:w="2420" w:type="dxa"/>
            <w:tcBorders>
              <w:top w:val="single" w:sz="4" w:space="0" w:color="auto"/>
            </w:tcBorders>
          </w:tcPr>
          <w:p w14:paraId="5815AFA3"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58.35±7.163</w:t>
            </w:r>
          </w:p>
        </w:tc>
        <w:tc>
          <w:tcPr>
            <w:tcW w:w="2420" w:type="dxa"/>
            <w:tcBorders>
              <w:top w:val="single" w:sz="4" w:space="0" w:color="auto"/>
            </w:tcBorders>
          </w:tcPr>
          <w:p w14:paraId="52FFE25F"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57.76±6.009</w:t>
            </w:r>
          </w:p>
        </w:tc>
        <w:tc>
          <w:tcPr>
            <w:tcW w:w="1411" w:type="dxa"/>
            <w:tcBorders>
              <w:top w:val="single" w:sz="4" w:space="0" w:color="auto"/>
            </w:tcBorders>
          </w:tcPr>
          <w:p w14:paraId="3D9C2E67"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0.742</w:t>
            </w:r>
          </w:p>
        </w:tc>
        <w:tc>
          <w:tcPr>
            <w:tcW w:w="1211" w:type="dxa"/>
            <w:tcBorders>
              <w:top w:val="single" w:sz="4" w:space="0" w:color="auto"/>
            </w:tcBorders>
          </w:tcPr>
          <w:p w14:paraId="2BAD01BB"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-0.332</w:t>
            </w:r>
          </w:p>
        </w:tc>
        <w:tc>
          <w:tcPr>
            <w:tcW w:w="2218" w:type="dxa"/>
            <w:tcBorders>
              <w:top w:val="single" w:sz="4" w:space="0" w:color="auto"/>
            </w:tcBorders>
          </w:tcPr>
          <w:p w14:paraId="27283462" w14:textId="77777777" w:rsidR="0018482C" w:rsidRPr="00232C38" w:rsidRDefault="0018482C" w:rsidP="00C5732D">
            <w:pPr>
              <w:jc w:val="center"/>
              <w:rPr>
                <w:rFonts w:ascii="Times New Roman" w:hAnsi="Times New Roman" w:cs="Times New Roman"/>
                <w:sz w:val="24"/>
                <w:szCs w:val="24"/>
              </w:rPr>
            </w:pPr>
          </w:p>
        </w:tc>
      </w:tr>
      <w:tr w:rsidR="00982698" w:rsidRPr="008E7580" w14:paraId="58C49D56" w14:textId="77777777" w:rsidTr="00C5732D">
        <w:trPr>
          <w:trHeight w:val="708"/>
        </w:trPr>
        <w:tc>
          <w:tcPr>
            <w:tcW w:w="2080" w:type="dxa"/>
          </w:tcPr>
          <w:p w14:paraId="40361E95" w14:textId="77777777" w:rsidR="0018482C" w:rsidRPr="00232C38" w:rsidRDefault="0018482C" w:rsidP="00C5732D">
            <w:pPr>
              <w:jc w:val="center"/>
              <w:rPr>
                <w:rFonts w:ascii="Times New Roman" w:hAnsi="Times New Roman" w:cs="Times New Roman"/>
                <w:b/>
                <w:bCs/>
                <w:sz w:val="24"/>
                <w:szCs w:val="24"/>
              </w:rPr>
            </w:pPr>
            <w:r w:rsidRPr="00232C38">
              <w:rPr>
                <w:rFonts w:ascii="Times New Roman" w:hAnsi="Times New Roman" w:cs="Times New Roman"/>
                <w:b/>
                <w:bCs/>
                <w:sz w:val="24"/>
                <w:szCs w:val="24"/>
              </w:rPr>
              <w:t>Sex</w:t>
            </w:r>
          </w:p>
        </w:tc>
        <w:tc>
          <w:tcPr>
            <w:tcW w:w="2309" w:type="dxa"/>
          </w:tcPr>
          <w:p w14:paraId="774004C1"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Male</w:t>
            </w:r>
          </w:p>
          <w:p w14:paraId="6E035D04"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Famale</w:t>
            </w:r>
          </w:p>
        </w:tc>
        <w:tc>
          <w:tcPr>
            <w:tcW w:w="2420" w:type="dxa"/>
          </w:tcPr>
          <w:p w14:paraId="12145ADE"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15</w:t>
            </w:r>
          </w:p>
          <w:p w14:paraId="31EEA63B"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16</w:t>
            </w:r>
          </w:p>
        </w:tc>
        <w:tc>
          <w:tcPr>
            <w:tcW w:w="2420" w:type="dxa"/>
          </w:tcPr>
          <w:p w14:paraId="2B6BE606"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15</w:t>
            </w:r>
          </w:p>
          <w:p w14:paraId="65643DAF"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10</w:t>
            </w:r>
          </w:p>
        </w:tc>
        <w:tc>
          <w:tcPr>
            <w:tcW w:w="1411" w:type="dxa"/>
          </w:tcPr>
          <w:p w14:paraId="519F43AE"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0.386</w:t>
            </w:r>
          </w:p>
        </w:tc>
        <w:tc>
          <w:tcPr>
            <w:tcW w:w="1211" w:type="dxa"/>
          </w:tcPr>
          <w:p w14:paraId="65F453A2" w14:textId="77777777" w:rsidR="0018482C" w:rsidRPr="00232C38" w:rsidRDefault="0018482C" w:rsidP="00C5732D">
            <w:pPr>
              <w:jc w:val="center"/>
              <w:rPr>
                <w:rFonts w:ascii="Times New Roman" w:hAnsi="Times New Roman" w:cs="Times New Roman"/>
                <w:sz w:val="24"/>
                <w:szCs w:val="24"/>
              </w:rPr>
            </w:pPr>
          </w:p>
        </w:tc>
        <w:tc>
          <w:tcPr>
            <w:tcW w:w="2218" w:type="dxa"/>
          </w:tcPr>
          <w:p w14:paraId="69395D7E"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0.750</w:t>
            </w:r>
          </w:p>
        </w:tc>
      </w:tr>
      <w:tr w:rsidR="00982698" w:rsidRPr="008E7580" w14:paraId="52B93D63" w14:textId="77777777" w:rsidTr="00C5732D">
        <w:trPr>
          <w:trHeight w:val="1063"/>
        </w:trPr>
        <w:tc>
          <w:tcPr>
            <w:tcW w:w="2080" w:type="dxa"/>
          </w:tcPr>
          <w:p w14:paraId="09D4E208" w14:textId="77777777" w:rsidR="0018482C" w:rsidRPr="00232C38" w:rsidRDefault="0018482C" w:rsidP="00C5732D">
            <w:pPr>
              <w:jc w:val="center"/>
              <w:rPr>
                <w:rFonts w:ascii="Times New Roman" w:hAnsi="Times New Roman" w:cs="Times New Roman"/>
                <w:b/>
                <w:bCs/>
                <w:sz w:val="24"/>
                <w:szCs w:val="24"/>
              </w:rPr>
            </w:pPr>
            <w:r w:rsidRPr="00232C38">
              <w:rPr>
                <w:rFonts w:ascii="Times New Roman" w:hAnsi="Times New Roman" w:cs="Times New Roman"/>
                <w:b/>
                <w:bCs/>
                <w:sz w:val="24"/>
                <w:szCs w:val="24"/>
              </w:rPr>
              <w:t>AJCC stage</w:t>
            </w:r>
          </w:p>
        </w:tc>
        <w:tc>
          <w:tcPr>
            <w:tcW w:w="2309" w:type="dxa"/>
          </w:tcPr>
          <w:p w14:paraId="46F01510"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I</w:t>
            </w:r>
          </w:p>
          <w:p w14:paraId="0364DD95"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II</w:t>
            </w:r>
          </w:p>
          <w:p w14:paraId="4F955DA4"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III</w:t>
            </w:r>
          </w:p>
        </w:tc>
        <w:tc>
          <w:tcPr>
            <w:tcW w:w="2420" w:type="dxa"/>
          </w:tcPr>
          <w:p w14:paraId="3036457B"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2</w:t>
            </w:r>
          </w:p>
          <w:p w14:paraId="2D143E8D"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22</w:t>
            </w:r>
          </w:p>
          <w:p w14:paraId="7CB069E8"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7</w:t>
            </w:r>
          </w:p>
        </w:tc>
        <w:tc>
          <w:tcPr>
            <w:tcW w:w="2420" w:type="dxa"/>
          </w:tcPr>
          <w:p w14:paraId="16DBDC73"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19</w:t>
            </w:r>
          </w:p>
          <w:p w14:paraId="0BA4E24D"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6</w:t>
            </w:r>
          </w:p>
          <w:p w14:paraId="4F8A5221"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0</w:t>
            </w:r>
          </w:p>
        </w:tc>
        <w:tc>
          <w:tcPr>
            <w:tcW w:w="1411" w:type="dxa"/>
          </w:tcPr>
          <w:p w14:paraId="087D91A3"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&lt;0.001</w:t>
            </w:r>
          </w:p>
        </w:tc>
        <w:tc>
          <w:tcPr>
            <w:tcW w:w="1211" w:type="dxa"/>
          </w:tcPr>
          <w:p w14:paraId="5448BEEE" w14:textId="77777777" w:rsidR="0018482C" w:rsidRPr="00232C38" w:rsidRDefault="0018482C" w:rsidP="00C5732D">
            <w:pPr>
              <w:jc w:val="center"/>
              <w:rPr>
                <w:rFonts w:ascii="Times New Roman" w:hAnsi="Times New Roman" w:cs="Times New Roman"/>
                <w:sz w:val="24"/>
                <w:szCs w:val="24"/>
              </w:rPr>
            </w:pPr>
          </w:p>
        </w:tc>
        <w:tc>
          <w:tcPr>
            <w:tcW w:w="2218" w:type="dxa"/>
          </w:tcPr>
          <w:p w14:paraId="05D18A74"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29.602</w:t>
            </w:r>
          </w:p>
        </w:tc>
      </w:tr>
      <w:tr w:rsidR="00982698" w:rsidRPr="008E7580" w14:paraId="313C6BAA" w14:textId="77777777" w:rsidTr="00C5732D">
        <w:trPr>
          <w:trHeight w:val="1077"/>
        </w:trPr>
        <w:tc>
          <w:tcPr>
            <w:tcW w:w="2080" w:type="dxa"/>
          </w:tcPr>
          <w:p w14:paraId="2774D01D" w14:textId="77777777" w:rsidR="0018482C" w:rsidRPr="00232C38" w:rsidRDefault="0018482C" w:rsidP="00C5732D">
            <w:pPr>
              <w:jc w:val="center"/>
              <w:rPr>
                <w:rFonts w:ascii="Times New Roman" w:hAnsi="Times New Roman" w:cs="Times New Roman"/>
                <w:b/>
                <w:bCs/>
                <w:sz w:val="24"/>
                <w:szCs w:val="24"/>
              </w:rPr>
            </w:pPr>
            <w:r w:rsidRPr="00232C38">
              <w:rPr>
                <w:rFonts w:ascii="Times New Roman" w:hAnsi="Times New Roman" w:cs="Times New Roman"/>
                <w:b/>
                <w:bCs/>
                <w:sz w:val="24"/>
                <w:szCs w:val="24"/>
              </w:rPr>
              <w:t>Differentiation</w:t>
            </w:r>
          </w:p>
          <w:p w14:paraId="4760B782" w14:textId="77777777" w:rsidR="0018482C" w:rsidRPr="00232C38" w:rsidRDefault="0018482C" w:rsidP="00C5732D">
            <w:pPr>
              <w:jc w:val="center"/>
              <w:rPr>
                <w:rFonts w:ascii="Times New Roman" w:hAnsi="Times New Roman" w:cs="Times New Roman"/>
                <w:b/>
                <w:bCs/>
                <w:sz w:val="24"/>
                <w:szCs w:val="24"/>
              </w:rPr>
            </w:pPr>
            <w:r w:rsidRPr="00232C38">
              <w:rPr>
                <w:rFonts w:ascii="Times New Roman" w:hAnsi="Times New Roman" w:cs="Times New Roman"/>
                <w:b/>
                <w:bCs/>
                <w:sz w:val="24"/>
                <w:szCs w:val="24"/>
              </w:rPr>
              <w:t>degree</w:t>
            </w:r>
          </w:p>
        </w:tc>
        <w:tc>
          <w:tcPr>
            <w:tcW w:w="2309" w:type="dxa"/>
          </w:tcPr>
          <w:p w14:paraId="646CE14C"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Poorly</w:t>
            </w:r>
          </w:p>
          <w:p w14:paraId="400C101A"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Moderately</w:t>
            </w:r>
          </w:p>
          <w:p w14:paraId="29D29A13"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Well</w:t>
            </w:r>
          </w:p>
        </w:tc>
        <w:tc>
          <w:tcPr>
            <w:tcW w:w="2420" w:type="dxa"/>
          </w:tcPr>
          <w:p w14:paraId="0F6DA292"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22</w:t>
            </w:r>
          </w:p>
          <w:p w14:paraId="7C028271"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7</w:t>
            </w:r>
          </w:p>
          <w:p w14:paraId="07532D3A"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2</w:t>
            </w:r>
          </w:p>
        </w:tc>
        <w:tc>
          <w:tcPr>
            <w:tcW w:w="2420" w:type="dxa"/>
          </w:tcPr>
          <w:p w14:paraId="1CFACD6F"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10</w:t>
            </w:r>
          </w:p>
          <w:p w14:paraId="5CA7DA1D"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9</w:t>
            </w:r>
          </w:p>
          <w:p w14:paraId="2E676C9E"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6</w:t>
            </w:r>
          </w:p>
        </w:tc>
        <w:tc>
          <w:tcPr>
            <w:tcW w:w="1411" w:type="dxa"/>
          </w:tcPr>
          <w:p w14:paraId="50BEBA52"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0.046</w:t>
            </w:r>
          </w:p>
        </w:tc>
        <w:tc>
          <w:tcPr>
            <w:tcW w:w="1211" w:type="dxa"/>
          </w:tcPr>
          <w:p w14:paraId="3FFEBC39" w14:textId="77777777" w:rsidR="0018482C" w:rsidRPr="00232C38" w:rsidRDefault="0018482C" w:rsidP="00C5732D">
            <w:pPr>
              <w:jc w:val="center"/>
              <w:rPr>
                <w:rFonts w:ascii="Times New Roman" w:hAnsi="Times New Roman" w:cs="Times New Roman"/>
                <w:sz w:val="24"/>
                <w:szCs w:val="24"/>
              </w:rPr>
            </w:pPr>
          </w:p>
        </w:tc>
        <w:tc>
          <w:tcPr>
            <w:tcW w:w="2218" w:type="dxa"/>
          </w:tcPr>
          <w:p w14:paraId="2A87A7C8"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6.178</w:t>
            </w:r>
          </w:p>
        </w:tc>
      </w:tr>
      <w:tr w:rsidR="00982698" w:rsidRPr="008E7580" w14:paraId="13287852" w14:textId="77777777" w:rsidTr="00C5732D">
        <w:trPr>
          <w:trHeight w:val="318"/>
        </w:trPr>
        <w:tc>
          <w:tcPr>
            <w:tcW w:w="2080" w:type="dxa"/>
          </w:tcPr>
          <w:p w14:paraId="75FB2196" w14:textId="77777777" w:rsidR="0018482C" w:rsidRPr="00232C38" w:rsidRDefault="0018482C" w:rsidP="00C5732D">
            <w:pPr>
              <w:jc w:val="center"/>
              <w:rPr>
                <w:rFonts w:ascii="Times New Roman" w:hAnsi="Times New Roman" w:cs="Times New Roman"/>
                <w:b/>
                <w:bCs/>
                <w:sz w:val="24"/>
                <w:szCs w:val="24"/>
              </w:rPr>
            </w:pPr>
            <w:r w:rsidRPr="00232C38">
              <w:rPr>
                <w:rFonts w:ascii="Times New Roman" w:hAnsi="Times New Roman" w:cs="Times New Roman"/>
                <w:b/>
                <w:bCs/>
                <w:sz w:val="24"/>
                <w:szCs w:val="24"/>
              </w:rPr>
              <w:t>CA 19-9 value</w:t>
            </w:r>
          </w:p>
        </w:tc>
        <w:tc>
          <w:tcPr>
            <w:tcW w:w="2309" w:type="dxa"/>
          </w:tcPr>
          <w:p w14:paraId="3E44669C"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Median (IQR)</w:t>
            </w:r>
          </w:p>
        </w:tc>
        <w:tc>
          <w:tcPr>
            <w:tcW w:w="2420" w:type="dxa"/>
          </w:tcPr>
          <w:p w14:paraId="612156E5"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564.4(516-671)</w:t>
            </w:r>
          </w:p>
        </w:tc>
        <w:tc>
          <w:tcPr>
            <w:tcW w:w="2420" w:type="dxa"/>
          </w:tcPr>
          <w:p w14:paraId="570F826E"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350(35.65-572.4)</w:t>
            </w:r>
          </w:p>
        </w:tc>
        <w:tc>
          <w:tcPr>
            <w:tcW w:w="1411" w:type="dxa"/>
          </w:tcPr>
          <w:p w14:paraId="090B9DBE"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0.003</w:t>
            </w:r>
          </w:p>
        </w:tc>
        <w:tc>
          <w:tcPr>
            <w:tcW w:w="1211" w:type="dxa"/>
          </w:tcPr>
          <w:p w14:paraId="1DAF2518" w14:textId="77777777" w:rsidR="0018482C" w:rsidRPr="00232C38" w:rsidRDefault="0018482C" w:rsidP="00C5732D">
            <w:pPr>
              <w:jc w:val="center"/>
              <w:rPr>
                <w:rFonts w:ascii="Times New Roman" w:hAnsi="Times New Roman" w:cs="Times New Roman"/>
                <w:sz w:val="24"/>
                <w:szCs w:val="24"/>
              </w:rPr>
            </w:pPr>
            <w:r w:rsidRPr="00232C38">
              <w:rPr>
                <w:rFonts w:ascii="Times New Roman" w:hAnsi="Times New Roman" w:cs="Times New Roman"/>
                <w:sz w:val="24"/>
                <w:szCs w:val="24"/>
              </w:rPr>
              <w:t>-2.992</w:t>
            </w:r>
          </w:p>
        </w:tc>
        <w:tc>
          <w:tcPr>
            <w:tcW w:w="2218" w:type="dxa"/>
          </w:tcPr>
          <w:p w14:paraId="632EBD7E" w14:textId="77777777" w:rsidR="0018482C" w:rsidRPr="00232C38" w:rsidRDefault="0018482C" w:rsidP="00C5732D">
            <w:pPr>
              <w:jc w:val="center"/>
              <w:rPr>
                <w:rFonts w:ascii="Times New Roman" w:hAnsi="Times New Roman" w:cs="Times New Roman"/>
                <w:sz w:val="24"/>
                <w:szCs w:val="24"/>
              </w:rPr>
            </w:pPr>
          </w:p>
        </w:tc>
      </w:tr>
    </w:tbl>
    <w:p w14:paraId="4DC0570F" w14:textId="66D8B077" w:rsidR="00982698" w:rsidRPr="008E7580" w:rsidRDefault="00982698">
      <w:pPr>
        <w:widowControl/>
        <w:jc w:val="left"/>
        <w:rPr>
          <w:rFonts w:ascii="Times New Roman" w:hAnsi="Times New Roman" w:cs="Times New Roman"/>
          <w:b/>
          <w:bCs/>
          <w:sz w:val="28"/>
          <w:szCs w:val="32"/>
        </w:rPr>
        <w:sectPr w:rsidR="00982698" w:rsidRPr="008E7580" w:rsidSect="00232C38">
          <w:pgSz w:w="16838" w:h="11906" w:orient="landscape"/>
          <w:pgMar w:top="1800" w:right="1440" w:bottom="1800" w:left="1440" w:header="851" w:footer="992" w:gutter="0"/>
          <w:cols w:space="425"/>
          <w:docGrid w:type="lines" w:linePitch="312"/>
        </w:sectPr>
      </w:pPr>
    </w:p>
    <w:p w14:paraId="6BC3F1FA" w14:textId="7229387E" w:rsidR="001901A0" w:rsidRPr="008E7580" w:rsidRDefault="001901A0" w:rsidP="00252654">
      <w:pPr>
        <w:widowControl/>
        <w:spacing w:line="276" w:lineRule="auto"/>
        <w:rPr>
          <w:rFonts w:ascii="Times New Roman" w:hAnsi="Times New Roman" w:cs="Times New Roman"/>
          <w:b/>
          <w:bCs/>
          <w:sz w:val="28"/>
          <w:szCs w:val="32"/>
        </w:rPr>
      </w:pPr>
      <w:r w:rsidRPr="008E7580">
        <w:rPr>
          <w:rFonts w:ascii="Times New Roman" w:hAnsi="Times New Roman" w:cs="Times New Roman"/>
          <w:b/>
          <w:bCs/>
          <w:sz w:val="28"/>
          <w:szCs w:val="32"/>
        </w:rPr>
        <w:lastRenderedPageBreak/>
        <w:t>Supplementary Materials and Methods</w:t>
      </w:r>
    </w:p>
    <w:p w14:paraId="79F7D0A3" w14:textId="2433A169" w:rsidR="00252654" w:rsidRPr="008E7580" w:rsidRDefault="00252654" w:rsidP="00252654">
      <w:pPr>
        <w:widowControl/>
        <w:spacing w:line="276" w:lineRule="auto"/>
        <w:rPr>
          <w:rFonts w:ascii="Times New Roman" w:hAnsi="Times New Roman" w:cs="Times New Roman"/>
          <w:b/>
          <w:bCs/>
          <w:sz w:val="28"/>
          <w:szCs w:val="32"/>
        </w:rPr>
      </w:pPr>
      <w:r w:rsidRPr="008E7580">
        <w:rPr>
          <w:rFonts w:ascii="Times New Roman" w:hAnsi="Times New Roman" w:cs="Times New Roman"/>
          <w:b/>
          <w:bCs/>
          <w:sz w:val="28"/>
          <w:szCs w:val="32"/>
        </w:rPr>
        <w:t>Cell Viability Assay</w:t>
      </w:r>
    </w:p>
    <w:p w14:paraId="330BF780" w14:textId="77777777" w:rsidR="00252654" w:rsidRPr="008E7580" w:rsidRDefault="00252654" w:rsidP="00252654">
      <w:pPr>
        <w:widowControl/>
        <w:spacing w:line="276" w:lineRule="auto"/>
        <w:rPr>
          <w:rFonts w:ascii="Times New Roman" w:hAnsi="Times New Roman" w:cs="Times New Roman"/>
        </w:rPr>
      </w:pPr>
      <w:r w:rsidRPr="008E7580">
        <w:rPr>
          <w:rFonts w:ascii="Times New Roman" w:hAnsi="Times New Roman" w:cs="Times New Roman"/>
        </w:rPr>
        <w:t>Approximately 2000 Panc 02 cells or 4000 PANC-1 and MIA PaCa-2 cells were seeded into  96-well plates. After 24 hours, allowing for cell adhesion, the cells were treated with varying concentrations of 5-FU or simvastatin. After 72 hours, Cell viability was measured by the Cell Counting Kit-8 (Selleck, #B34302).</w:t>
      </w:r>
    </w:p>
    <w:p w14:paraId="674D839D" w14:textId="77777777" w:rsidR="006818CC" w:rsidRPr="008E7580" w:rsidRDefault="006818CC" w:rsidP="006818CC">
      <w:pPr>
        <w:widowControl/>
        <w:spacing w:line="276" w:lineRule="auto"/>
        <w:rPr>
          <w:rFonts w:ascii="Times New Roman" w:hAnsi="Times New Roman" w:cs="Times New Roman"/>
          <w:b/>
          <w:bCs/>
          <w:sz w:val="28"/>
          <w:szCs w:val="32"/>
        </w:rPr>
      </w:pPr>
      <w:r w:rsidRPr="008E7580">
        <w:rPr>
          <w:rFonts w:ascii="Times New Roman" w:hAnsi="Times New Roman" w:cs="Times New Roman"/>
          <w:b/>
          <w:bCs/>
          <w:sz w:val="28"/>
          <w:szCs w:val="32"/>
        </w:rPr>
        <w:t>Cell Count Assay</w:t>
      </w:r>
    </w:p>
    <w:p w14:paraId="222B0437" w14:textId="1EB135A4" w:rsidR="006818CC" w:rsidRPr="008E7580" w:rsidRDefault="006818CC" w:rsidP="00A31A1E">
      <w:pPr>
        <w:widowControl/>
        <w:spacing w:line="276" w:lineRule="auto"/>
        <w:rPr>
          <w:rFonts w:ascii="Times New Roman" w:hAnsi="Times New Roman" w:cs="Times New Roman"/>
        </w:rPr>
      </w:pPr>
      <w:r w:rsidRPr="008E7580">
        <w:rPr>
          <w:rFonts w:ascii="Times New Roman" w:hAnsi="Times New Roman" w:cs="Times New Roman"/>
        </w:rPr>
        <w:t>Approximately 2000 Panc 02 cells or 4000 PANC-1 and MIA PaCa-2 cells were seeded into  96-well plates. After 24 hours, allowing for cell adhesion, the cells were treated with specified concentrations of 5-FU or simvastatin. During the subsequent 72 hours of treatment, images of the 96-well plate were captured every 12 hours using the Operetta CLS™ high-content analysis system (PerkinElmer, USA), and cell counts were analyzed with Harmony software (version 4.9, USA).</w:t>
      </w:r>
    </w:p>
    <w:p w14:paraId="0E4A44BC" w14:textId="273E7569" w:rsidR="00A31A1E" w:rsidRPr="008E7580" w:rsidRDefault="00A31A1E" w:rsidP="00A31A1E">
      <w:pPr>
        <w:widowControl/>
        <w:spacing w:line="276" w:lineRule="auto"/>
        <w:rPr>
          <w:rFonts w:ascii="Times New Roman" w:hAnsi="Times New Roman" w:cs="Times New Roman"/>
          <w:b/>
          <w:bCs/>
          <w:sz w:val="24"/>
          <w:szCs w:val="28"/>
        </w:rPr>
      </w:pPr>
      <w:r w:rsidRPr="008E7580">
        <w:rPr>
          <w:rFonts w:ascii="Times New Roman" w:hAnsi="Times New Roman" w:cs="Times New Roman"/>
          <w:b/>
          <w:bCs/>
          <w:sz w:val="28"/>
          <w:szCs w:val="32"/>
        </w:rPr>
        <w:t>Working Concentration and Synergy Analysis of 5-Fluorouracil and Simvastatin</w:t>
      </w:r>
    </w:p>
    <w:p w14:paraId="02F50EED" w14:textId="149F5467" w:rsidR="00A31A1E" w:rsidRPr="008E7580" w:rsidRDefault="00A31A1E" w:rsidP="00A31A1E">
      <w:pPr>
        <w:widowControl/>
        <w:spacing w:line="276" w:lineRule="auto"/>
        <w:rPr>
          <w:rFonts w:ascii="Times New Roman" w:hAnsi="Times New Roman" w:cs="Times New Roman"/>
          <w:szCs w:val="21"/>
        </w:rPr>
      </w:pPr>
      <w:r w:rsidRPr="008E7580">
        <w:rPr>
          <w:rFonts w:ascii="Times New Roman" w:hAnsi="Times New Roman" w:cs="Times New Roman"/>
          <w:szCs w:val="21"/>
        </w:rPr>
        <w:t xml:space="preserve">5-FU (HY-9006) and simvastatin (HY-17502) are both sourced from MCE (MedChemExpress) company.For both dose-response curves, the gradient concentrations ranged from 0 to 100 </w:t>
      </w:r>
      <w:r w:rsidRPr="008E7580">
        <w:rPr>
          <w:rFonts w:ascii="Times New Roman" w:eastAsia="等线" w:hAnsi="Times New Roman" w:cs="Times New Roman"/>
          <w:szCs w:val="21"/>
        </w:rPr>
        <w:t>μ</w:t>
      </w:r>
      <w:r w:rsidRPr="008E7580">
        <w:rPr>
          <w:rFonts w:ascii="Times New Roman" w:hAnsi="Times New Roman" w:cs="Times New Roman"/>
          <w:szCs w:val="21"/>
        </w:rPr>
        <w:t>M.The three-dimensional synergy visualization model (LOEWE) and synergy score for 5-FU and simvastatin in PC cells were generated using Combenefit software and the SynergyFinder web application (version 3.0).</w:t>
      </w:r>
    </w:p>
    <w:p w14:paraId="468FFCD8" w14:textId="210975B3" w:rsidR="00A31A1E" w:rsidRPr="008E7580" w:rsidRDefault="00A31A1E" w:rsidP="00A31A1E">
      <w:pPr>
        <w:widowControl/>
        <w:spacing w:line="276" w:lineRule="auto"/>
        <w:rPr>
          <w:rFonts w:ascii="Times New Roman" w:hAnsi="Times New Roman" w:cs="Times New Roman"/>
          <w:b/>
          <w:bCs/>
          <w:sz w:val="28"/>
          <w:szCs w:val="32"/>
        </w:rPr>
      </w:pPr>
      <w:r w:rsidRPr="008E7580">
        <w:rPr>
          <w:rFonts w:ascii="Times New Roman" w:hAnsi="Times New Roman" w:cs="Times New Roman"/>
          <w:b/>
          <w:bCs/>
          <w:sz w:val="28"/>
          <w:szCs w:val="32"/>
        </w:rPr>
        <w:t>Antibody information</w:t>
      </w:r>
    </w:p>
    <w:p w14:paraId="1CE3C309" w14:textId="3B269051" w:rsidR="00A31A1E" w:rsidRPr="008E7580" w:rsidRDefault="00A31A1E" w:rsidP="00A31A1E">
      <w:pPr>
        <w:widowControl/>
        <w:spacing w:line="276" w:lineRule="auto"/>
        <w:rPr>
          <w:rFonts w:ascii="Times New Roman" w:hAnsi="Times New Roman" w:cs="Times New Roman"/>
        </w:rPr>
      </w:pPr>
      <w:r w:rsidRPr="008E7580">
        <w:rPr>
          <w:rFonts w:ascii="Times New Roman" w:hAnsi="Times New Roman" w:cs="Times New Roman"/>
        </w:rPr>
        <w:t>The primary antibodies used in</w:t>
      </w:r>
      <w:r w:rsidRPr="008E7580">
        <w:rPr>
          <w:rFonts w:ascii="Times New Roman" w:hAnsi="Times New Roman" w:cs="Times New Roman"/>
          <w:szCs w:val="21"/>
        </w:rPr>
        <w:t xml:space="preserve"> immunofluorescence</w:t>
      </w:r>
      <w:r w:rsidRPr="008E7580">
        <w:rPr>
          <w:rFonts w:ascii="Times New Roman" w:hAnsi="Times New Roman" w:cs="Times New Roman"/>
        </w:rPr>
        <w:t xml:space="preserve"> (IF)</w:t>
      </w:r>
      <w:r w:rsidRPr="008E7580">
        <w:rPr>
          <w:rFonts w:ascii="Times New Roman" w:hAnsi="Times New Roman" w:cs="Times New Roman"/>
          <w:szCs w:val="21"/>
        </w:rPr>
        <w:t xml:space="preserve"> staining</w:t>
      </w:r>
      <w:r w:rsidRPr="008E7580">
        <w:rPr>
          <w:rFonts w:ascii="Times New Roman" w:hAnsi="Times New Roman" w:cs="Times New Roman"/>
        </w:rPr>
        <w:t xml:space="preserve"> assay were as follows:</w:t>
      </w:r>
      <w:r w:rsidRPr="008E7580">
        <w:rPr>
          <w:rFonts w:ascii="Times New Roman" w:hAnsi="Times New Roman" w:cs="Times New Roman"/>
          <w:sz w:val="18"/>
          <w:szCs w:val="20"/>
        </w:rPr>
        <w:t xml:space="preserve"> </w:t>
      </w:r>
      <w:r w:rsidRPr="008E7580">
        <w:rPr>
          <w:rFonts w:ascii="Times New Roman" w:hAnsi="Times New Roman" w:cs="Times New Roman"/>
        </w:rPr>
        <w:t>rabbit anti-Ki67</w:t>
      </w:r>
      <w:r w:rsidRPr="008E7580">
        <w:rPr>
          <w:rFonts w:ascii="Times New Roman" w:hAnsi="Times New Roman" w:cs="Times New Roman"/>
          <w:sz w:val="18"/>
          <w:szCs w:val="20"/>
        </w:rPr>
        <w:t xml:space="preserve"> </w:t>
      </w:r>
      <w:r w:rsidRPr="008E7580">
        <w:rPr>
          <w:rFonts w:ascii="Times New Roman" w:hAnsi="Times New Roman" w:cs="Times New Roman"/>
        </w:rPr>
        <w:t>(1:200, Abcam, #ab16667), mouse anti-Pan-Keratin (1:200, Cell Signaling Technology, #4545S), rabbit anti-NLRP3 (1:200, Proteintech, #27458-1-AP).</w:t>
      </w:r>
      <w:r w:rsidRPr="008E7580">
        <w:rPr>
          <w:rFonts w:ascii="Times New Roman" w:hAnsi="Times New Roman" w:cs="Times New Roman"/>
          <w:sz w:val="18"/>
          <w:szCs w:val="20"/>
        </w:rPr>
        <w:t xml:space="preserve"> </w:t>
      </w:r>
      <w:r w:rsidRPr="008E7580">
        <w:rPr>
          <w:rFonts w:ascii="Times New Roman" w:hAnsi="Times New Roman" w:cs="Times New Roman"/>
        </w:rPr>
        <w:t xml:space="preserve">And the secondary antibodies were goat anti-rabbit IgG H&amp;L (Alexa Fluor® 488,1:500, Abcam, #ab150077), goat anti-mouse IgG H&amp;L (Alexa Fluor® 594,1:500, Abcam, #ab150116). The primary antibodies used in </w:t>
      </w:r>
      <w:r w:rsidR="00C87F80" w:rsidRPr="008E7580">
        <w:rPr>
          <w:rFonts w:ascii="Times New Roman" w:hAnsi="Times New Roman" w:cs="Times New Roman"/>
        </w:rPr>
        <w:t>immunohistochemistry</w:t>
      </w:r>
      <w:r w:rsidRPr="008E7580">
        <w:rPr>
          <w:rFonts w:ascii="Times New Roman" w:hAnsi="Times New Roman" w:cs="Times New Roman"/>
          <w:szCs w:val="21"/>
        </w:rPr>
        <w:t xml:space="preserve"> </w:t>
      </w:r>
      <w:r w:rsidRPr="008E7580">
        <w:rPr>
          <w:rFonts w:ascii="Times New Roman" w:hAnsi="Times New Roman" w:cs="Times New Roman"/>
        </w:rPr>
        <w:t>(IHC)</w:t>
      </w:r>
      <w:r w:rsidRPr="008E7580">
        <w:rPr>
          <w:rFonts w:ascii="Times New Roman" w:hAnsi="Times New Roman" w:cs="Times New Roman"/>
          <w:szCs w:val="21"/>
        </w:rPr>
        <w:t xml:space="preserve"> staining</w:t>
      </w:r>
      <w:r w:rsidRPr="008E7580">
        <w:rPr>
          <w:rFonts w:ascii="Times New Roman" w:hAnsi="Times New Roman" w:cs="Times New Roman"/>
        </w:rPr>
        <w:t xml:space="preserve">  assay were as follows: rabbit anti-</w:t>
      </w:r>
      <w:r w:rsidRPr="008E7580">
        <w:rPr>
          <w:rFonts w:ascii="Times New Roman" w:hAnsi="Times New Roman" w:cs="Times New Roman"/>
          <w:szCs w:val="21"/>
        </w:rPr>
        <w:t>HMGCR (1:100,</w:t>
      </w:r>
      <w:r w:rsidRPr="008E7580">
        <w:rPr>
          <w:rFonts w:ascii="Times New Roman" w:hAnsi="Times New Roman" w:cs="Times New Roman"/>
        </w:rPr>
        <w:t xml:space="preserve"> Proteintech, #13533-1-AP</w:t>
      </w:r>
      <w:r w:rsidRPr="008E7580">
        <w:rPr>
          <w:rFonts w:ascii="Times New Roman" w:hAnsi="Times New Roman" w:cs="Times New Roman"/>
          <w:szCs w:val="21"/>
        </w:rPr>
        <w:t xml:space="preserve">) and </w:t>
      </w:r>
      <w:r w:rsidRPr="008E7580">
        <w:rPr>
          <w:rFonts w:ascii="Times New Roman" w:hAnsi="Times New Roman" w:cs="Times New Roman"/>
        </w:rPr>
        <w:t>rabbit anti-GSDMD (1:100, Proteintech, #20770-1-AP).</w:t>
      </w:r>
    </w:p>
    <w:p w14:paraId="347BE10F" w14:textId="77777777" w:rsidR="006818CC" w:rsidRPr="008E7580" w:rsidRDefault="006818CC" w:rsidP="006818CC">
      <w:pPr>
        <w:widowControl/>
        <w:spacing w:line="276" w:lineRule="auto"/>
        <w:rPr>
          <w:rFonts w:ascii="Times New Roman" w:hAnsi="Times New Roman" w:cs="Times New Roman"/>
          <w:b/>
          <w:bCs/>
          <w:sz w:val="28"/>
          <w:szCs w:val="32"/>
        </w:rPr>
      </w:pPr>
      <w:bookmarkStart w:id="0" w:name="OLE_LINK4"/>
      <w:r w:rsidRPr="008E7580">
        <w:rPr>
          <w:rFonts w:ascii="Times New Roman" w:hAnsi="Times New Roman" w:cs="Times New Roman"/>
          <w:b/>
          <w:bCs/>
          <w:sz w:val="28"/>
          <w:szCs w:val="32"/>
        </w:rPr>
        <w:t>Immunoblotting</w:t>
      </w:r>
    </w:p>
    <w:p w14:paraId="6D95FDBA" w14:textId="77777777" w:rsidR="00173080" w:rsidRPr="008E7580" w:rsidRDefault="006818CC" w:rsidP="00A31A1E">
      <w:pPr>
        <w:widowControl/>
        <w:spacing w:line="276" w:lineRule="auto"/>
        <w:rPr>
          <w:rFonts w:ascii="Times New Roman" w:hAnsi="Times New Roman" w:cs="Times New Roman"/>
          <w:sz w:val="18"/>
          <w:szCs w:val="20"/>
        </w:rPr>
      </w:pPr>
      <w:r w:rsidRPr="008E7580">
        <w:rPr>
          <w:rFonts w:ascii="Times New Roman" w:hAnsi="Times New Roman" w:cs="Times New Roman"/>
          <w:sz w:val="22"/>
          <w:szCs w:val="24"/>
        </w:rPr>
        <w:t>The</w:t>
      </w:r>
      <w:r w:rsidRPr="008E7580">
        <w:rPr>
          <w:rFonts w:ascii="Times New Roman" w:hAnsi="Times New Roman" w:cs="Times New Roman"/>
        </w:rPr>
        <w:t xml:space="preserve"> </w:t>
      </w:r>
      <w:r w:rsidRPr="008E7580">
        <w:rPr>
          <w:rFonts w:ascii="Times New Roman" w:hAnsi="Times New Roman" w:cs="Times New Roman"/>
          <w:sz w:val="22"/>
          <w:szCs w:val="24"/>
        </w:rPr>
        <w:t>detailed methodologies for immunoblotting have been earlier mentioned</w:t>
      </w:r>
      <w:r w:rsidRPr="008E7580">
        <w:rPr>
          <w:rFonts w:ascii="Times New Roman" w:hAnsi="Times New Roman" w:cs="Times New Roman"/>
          <w:sz w:val="22"/>
          <w:szCs w:val="24"/>
        </w:rPr>
        <w:fldChar w:fldCharType="begin">
          <w:fldData xml:space="preserve">PEVuZE5vdGU+PENpdGU+PEF1dGhvcj5ZdTwvQXV0aG9yPjxZZWFyPjIwMjE8L1llYXI+PFJlY051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</w:fldData>
        </w:fldChar>
      </w:r>
      <w:r w:rsidRPr="008E7580">
        <w:rPr>
          <w:rFonts w:ascii="Times New Roman" w:hAnsi="Times New Roman" w:cs="Times New Roman"/>
          <w:sz w:val="22"/>
          <w:szCs w:val="24"/>
        </w:rPr>
        <w:instrText xml:space="preserve"> ADDIN EN.CITE </w:instrText>
      </w:r>
      <w:r w:rsidRPr="008E7580">
        <w:rPr>
          <w:rFonts w:ascii="Times New Roman" w:hAnsi="Times New Roman" w:cs="Times New Roman"/>
          <w:sz w:val="22"/>
          <w:szCs w:val="24"/>
        </w:rPr>
        <w:fldChar w:fldCharType="begin">
          <w:fldData xml:space="preserve">PEVuZE5vdGU+PENpdGU+PEF1dGhvcj5ZdTwvQXV0aG9yPjxZZWFyPjIwMjE8L1llYXI+PFJlY051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</w:fldData>
        </w:fldChar>
      </w:r>
      <w:r w:rsidRPr="008E7580">
        <w:rPr>
          <w:rFonts w:ascii="Times New Roman" w:hAnsi="Times New Roman" w:cs="Times New Roman"/>
          <w:sz w:val="22"/>
          <w:szCs w:val="24"/>
        </w:rPr>
        <w:instrText xml:space="preserve"> ADDIN EN.CITE.DATA </w:instrText>
      </w:r>
      <w:r w:rsidRPr="008E7580">
        <w:rPr>
          <w:rFonts w:ascii="Times New Roman" w:hAnsi="Times New Roman" w:cs="Times New Roman"/>
          <w:sz w:val="22"/>
          <w:szCs w:val="24"/>
        </w:rPr>
      </w:r>
      <w:r w:rsidRPr="008E7580">
        <w:rPr>
          <w:rFonts w:ascii="Times New Roman" w:hAnsi="Times New Roman" w:cs="Times New Roman"/>
          <w:sz w:val="22"/>
          <w:szCs w:val="24"/>
        </w:rPr>
        <w:fldChar w:fldCharType="end"/>
      </w:r>
      <w:r w:rsidRPr="008E7580">
        <w:rPr>
          <w:rFonts w:ascii="Times New Roman" w:hAnsi="Times New Roman" w:cs="Times New Roman"/>
          <w:sz w:val="22"/>
          <w:szCs w:val="24"/>
        </w:rPr>
      </w:r>
      <w:r w:rsidRPr="008E7580">
        <w:rPr>
          <w:rFonts w:ascii="Times New Roman" w:hAnsi="Times New Roman" w:cs="Times New Roman"/>
          <w:sz w:val="22"/>
          <w:szCs w:val="24"/>
        </w:rPr>
        <w:fldChar w:fldCharType="separate"/>
      </w:r>
      <w:r w:rsidRPr="008E7580">
        <w:rPr>
          <w:rFonts w:ascii="Times New Roman" w:hAnsi="Times New Roman" w:cs="Times New Roman"/>
          <w:noProof/>
          <w:sz w:val="22"/>
          <w:szCs w:val="24"/>
        </w:rPr>
        <w:t>[1]</w:t>
      </w:r>
      <w:r w:rsidRPr="008E7580">
        <w:rPr>
          <w:rFonts w:ascii="Times New Roman" w:hAnsi="Times New Roman" w:cs="Times New Roman"/>
          <w:sz w:val="22"/>
          <w:szCs w:val="24"/>
        </w:rPr>
        <w:fldChar w:fldCharType="end"/>
      </w:r>
      <w:r w:rsidRPr="008E7580">
        <w:rPr>
          <w:rFonts w:ascii="Times New Roman" w:hAnsi="Times New Roman" w:cs="Times New Roman"/>
          <w:sz w:val="22"/>
          <w:szCs w:val="24"/>
        </w:rPr>
        <w:t>.</w:t>
      </w:r>
      <w:r w:rsidRPr="008E7580">
        <w:rPr>
          <w:rFonts w:ascii="Times New Roman" w:hAnsi="Times New Roman" w:cs="Times New Roman"/>
        </w:rPr>
        <w:t xml:space="preserve"> The primary antibodies used in immunoblotting assay were as follows: rabbit anti-Caspase 1 (1:2500, Proteintech, #222915-1-AP), rabbit anti-GSDMD (1:1000, Proteintech, #20770-1-AP),rabbit </w:t>
      </w:r>
      <w:r w:rsidRPr="008E7580">
        <w:rPr>
          <w:rFonts w:ascii="Times New Roman" w:hAnsi="Times New Roman" w:cs="Times New Roman"/>
        </w:rPr>
        <w:lastRenderedPageBreak/>
        <w:t>anti-GAPDH (1:1000, Proteintech, #10494-1-AP).</w:t>
      </w:r>
      <w:r w:rsidRPr="008E7580">
        <w:rPr>
          <w:rFonts w:ascii="Times New Roman" w:hAnsi="Times New Roman" w:cs="Times New Roman"/>
          <w:sz w:val="18"/>
          <w:szCs w:val="20"/>
        </w:rPr>
        <w:t xml:space="preserve"> </w:t>
      </w:r>
      <w:r w:rsidRPr="008E7580">
        <w:rPr>
          <w:rFonts w:ascii="Times New Roman" w:hAnsi="Times New Roman" w:cs="Times New Roman"/>
        </w:rPr>
        <w:t>The ratio of secondary antibody of</w:t>
      </w:r>
      <w:r w:rsidRPr="008E7580">
        <w:rPr>
          <w:rFonts w:ascii="Times New Roman" w:hAnsi="Times New Roman" w:cs="Times New Roman"/>
          <w:sz w:val="18"/>
          <w:szCs w:val="20"/>
        </w:rPr>
        <w:t xml:space="preserve"> </w:t>
      </w:r>
      <w:r w:rsidRPr="008E7580">
        <w:rPr>
          <w:rFonts w:ascii="Times New Roman" w:hAnsi="Times New Roman" w:cs="Times New Roman"/>
        </w:rPr>
        <w:t>goat anti-rabbit IgG (ABclonal, #</w:t>
      </w:r>
      <w:r w:rsidRPr="008E7580">
        <w:rPr>
          <w:rFonts w:ascii="Times New Roman" w:hAnsi="Times New Roman" w:cs="Times New Roman"/>
          <w:sz w:val="18"/>
          <w:szCs w:val="20"/>
        </w:rPr>
        <w:t xml:space="preserve"> </w:t>
      </w:r>
      <w:r w:rsidRPr="008E7580">
        <w:rPr>
          <w:rFonts w:ascii="Times New Roman" w:hAnsi="Times New Roman" w:cs="Times New Roman"/>
        </w:rPr>
        <w:t>AS014) was 1:10000.</w:t>
      </w:r>
      <w:bookmarkEnd w:id="0"/>
    </w:p>
    <w:p w14:paraId="65B63443" w14:textId="44412454" w:rsidR="00173080" w:rsidRPr="008E7580" w:rsidRDefault="00173080" w:rsidP="00A31A1E">
      <w:pPr>
        <w:widowControl/>
        <w:spacing w:line="276" w:lineRule="auto"/>
        <w:rPr>
          <w:rFonts w:ascii="Times New Roman" w:hAnsi="Times New Roman" w:cs="Times New Roman"/>
          <w:b/>
          <w:bCs/>
          <w:sz w:val="28"/>
          <w:szCs w:val="32"/>
        </w:rPr>
      </w:pPr>
      <w:r w:rsidRPr="008E7580">
        <w:rPr>
          <w:rFonts w:ascii="Times New Roman" w:hAnsi="Times New Roman" w:cs="Times New Roman"/>
          <w:b/>
          <w:bCs/>
          <w:sz w:val="28"/>
          <w:szCs w:val="32"/>
        </w:rPr>
        <w:t>Immunofluorescence</w:t>
      </w:r>
    </w:p>
    <w:p w14:paraId="21F87793" w14:textId="3E024E66" w:rsidR="00E660A8" w:rsidRPr="008E7580" w:rsidRDefault="00173080" w:rsidP="00E660A8">
      <w:pPr>
        <w:widowControl/>
        <w:spacing w:line="276" w:lineRule="auto"/>
        <w:rPr>
          <w:rFonts w:ascii="Times New Roman" w:hAnsi="Times New Roman" w:cs="Times New Roman"/>
          <w:szCs w:val="21"/>
        </w:rPr>
      </w:pPr>
      <w:r w:rsidRPr="008E7580">
        <w:rPr>
          <w:rFonts w:ascii="Times New Roman" w:hAnsi="Times New Roman" w:cs="Times New Roman"/>
          <w:szCs w:val="21"/>
        </w:rPr>
        <w:t>PC cells  were seeded in 10</w:t>
      </w:r>
      <w:r w:rsidR="00AD12D3">
        <w:rPr>
          <w:rFonts w:ascii="Times New Roman" w:hAnsi="Times New Roman" w:cs="Times New Roman" w:hint="eastAsia"/>
          <w:szCs w:val="21"/>
        </w:rPr>
        <w:t>-</w:t>
      </w:r>
      <w:r w:rsidRPr="008E7580">
        <w:rPr>
          <w:rFonts w:ascii="Times New Roman" w:hAnsi="Times New Roman" w:cs="Times New Roman"/>
          <w:szCs w:val="21"/>
        </w:rPr>
        <w:t>mm diameter cell culture dishes, permeabilized with 4% paraformaldehyde fixative (Biosharp,#BL539A)</w:t>
      </w:r>
      <w:r w:rsidR="00E660A8" w:rsidRPr="008E7580">
        <w:rPr>
          <w:rFonts w:ascii="Times New Roman" w:hAnsi="Times New Roman" w:cs="Times New Roman"/>
          <w:szCs w:val="21"/>
        </w:rPr>
        <w:t xml:space="preserve">.Cells or </w:t>
      </w:r>
      <w:r w:rsidR="0010206C" w:rsidRPr="008E7580">
        <w:rPr>
          <w:rFonts w:ascii="Times New Roman" w:hAnsi="Times New Roman" w:cs="Times New Roman"/>
          <w:szCs w:val="21"/>
        </w:rPr>
        <w:t xml:space="preserve">antigen-retrieved </w:t>
      </w:r>
      <w:r w:rsidR="00E660A8" w:rsidRPr="008E7580">
        <w:rPr>
          <w:rFonts w:ascii="Times New Roman" w:hAnsi="Times New Roman" w:cs="Times New Roman"/>
          <w:szCs w:val="21"/>
        </w:rPr>
        <w:t xml:space="preserve">sections were </w:t>
      </w:r>
      <w:r w:rsidRPr="008E7580">
        <w:rPr>
          <w:rFonts w:ascii="Times New Roman" w:hAnsi="Times New Roman" w:cs="Times New Roman"/>
          <w:szCs w:val="21"/>
        </w:rPr>
        <w:t>blocked with IF blocking solution (Beyotime,#P0260) for 1 hour.</w:t>
      </w:r>
      <w:r w:rsidRPr="008E7580">
        <w:rPr>
          <w:rFonts w:ascii="Times New Roman" w:hAnsi="Times New Roman" w:cs="Times New Roman"/>
        </w:rPr>
        <w:t xml:space="preserve"> </w:t>
      </w:r>
      <w:r w:rsidRPr="008E7580">
        <w:rPr>
          <w:rFonts w:ascii="Times New Roman" w:hAnsi="Times New Roman" w:cs="Times New Roman"/>
          <w:szCs w:val="21"/>
        </w:rPr>
        <w:t>The primary antibody was incubated overnight at 4°C after blocking.</w:t>
      </w:r>
      <w:r w:rsidRPr="008E7580">
        <w:rPr>
          <w:rFonts w:ascii="Times New Roman" w:hAnsi="Times New Roman" w:cs="Times New Roman"/>
        </w:rPr>
        <w:t xml:space="preserve"> </w:t>
      </w:r>
      <w:r w:rsidRPr="008E7580">
        <w:rPr>
          <w:rFonts w:ascii="Times New Roman" w:hAnsi="Times New Roman" w:cs="Times New Roman"/>
          <w:szCs w:val="21"/>
        </w:rPr>
        <w:t xml:space="preserve">The following day, the cells </w:t>
      </w:r>
      <w:r w:rsidR="00E660A8" w:rsidRPr="008E7580">
        <w:rPr>
          <w:rFonts w:ascii="Times New Roman" w:hAnsi="Times New Roman" w:cs="Times New Roman"/>
          <w:szCs w:val="21"/>
        </w:rPr>
        <w:t xml:space="preserve">or sections </w:t>
      </w:r>
      <w:r w:rsidRPr="008E7580">
        <w:rPr>
          <w:rFonts w:ascii="Times New Roman" w:hAnsi="Times New Roman" w:cs="Times New Roman"/>
          <w:szCs w:val="21"/>
        </w:rPr>
        <w:t>were washed with PBST (0.05% Tween-20</w:t>
      </w:r>
      <w:r w:rsidR="00107C1B">
        <w:rPr>
          <w:rFonts w:ascii="Times New Roman" w:hAnsi="Times New Roman" w:cs="Times New Roman" w:hint="eastAsia"/>
          <w:szCs w:val="21"/>
        </w:rPr>
        <w:t xml:space="preserve"> in PBS</w:t>
      </w:r>
      <w:r w:rsidRPr="008E7580">
        <w:rPr>
          <w:rFonts w:ascii="Times New Roman" w:hAnsi="Times New Roman" w:cs="Times New Roman"/>
          <w:szCs w:val="21"/>
        </w:rPr>
        <w:t>) and incubated with the corresponding fluorescent secondary antibody for 2 hours at room temperature.</w:t>
      </w:r>
      <w:r w:rsidR="00E660A8" w:rsidRPr="008E7580">
        <w:rPr>
          <w:rFonts w:ascii="Times New Roman" w:hAnsi="Times New Roman" w:cs="Times New Roman"/>
          <w:szCs w:val="21"/>
        </w:rPr>
        <w:t xml:space="preserve"> The staining was then captured using the TISSUE FAXS PLUS system (TissueGnostics, Austria).</w:t>
      </w:r>
    </w:p>
    <w:p w14:paraId="42362550" w14:textId="036096AD" w:rsidR="00173080" w:rsidRPr="008E7580" w:rsidRDefault="00E660A8" w:rsidP="00A31A1E">
      <w:pPr>
        <w:widowControl/>
        <w:spacing w:line="276" w:lineRule="auto"/>
        <w:rPr>
          <w:rFonts w:ascii="Times New Roman" w:hAnsi="Times New Roman" w:cs="Times New Roman"/>
          <w:b/>
          <w:bCs/>
          <w:sz w:val="28"/>
          <w:szCs w:val="32"/>
        </w:rPr>
      </w:pPr>
      <w:r w:rsidRPr="008E7580">
        <w:rPr>
          <w:rFonts w:ascii="Times New Roman" w:hAnsi="Times New Roman" w:cs="Times New Roman"/>
          <w:b/>
          <w:bCs/>
          <w:sz w:val="28"/>
          <w:szCs w:val="32"/>
        </w:rPr>
        <w:t>Immunohistochemistry</w:t>
      </w:r>
    </w:p>
    <w:p w14:paraId="589020A7" w14:textId="493078E0" w:rsidR="00E660A8" w:rsidRPr="008E7580" w:rsidRDefault="0010206C" w:rsidP="0010206C">
      <w:pPr>
        <w:widowControl/>
        <w:spacing w:line="276" w:lineRule="auto"/>
        <w:rPr>
          <w:rFonts w:ascii="Times New Roman" w:hAnsi="Times New Roman" w:cs="Times New Roman"/>
          <w:szCs w:val="21"/>
        </w:rPr>
      </w:pPr>
      <w:r w:rsidRPr="008E7580">
        <w:rPr>
          <w:rFonts w:ascii="Times New Roman" w:hAnsi="Times New Roman" w:cs="Times New Roman"/>
        </w:rPr>
        <w:t>Paraffinembedded tumor tissues were cut into 4-</w:t>
      </w:r>
      <w:r w:rsidRPr="008E7580">
        <w:rPr>
          <w:rFonts w:ascii="Times New Roman" w:eastAsia="等线" w:hAnsi="Times New Roman" w:cs="Times New Roman"/>
          <w:szCs w:val="21"/>
        </w:rPr>
        <w:t>μ</w:t>
      </w:r>
      <w:r w:rsidRPr="008E7580">
        <w:rPr>
          <w:rFonts w:ascii="Times New Roman" w:hAnsi="Times New Roman" w:cs="Times New Roman"/>
        </w:rPr>
        <w:t>m-thick sections. The sections were deparaffinized, rehydrated in consecutive ethanol solution, and antigens were retrieved in a pressure pot with citrate repair solution (pH 6.0).</w:t>
      </w:r>
      <w:r w:rsidR="00E660A8" w:rsidRPr="008E7580">
        <w:rPr>
          <w:rFonts w:ascii="Times New Roman" w:hAnsi="Times New Roman" w:cs="Times New Roman"/>
          <w:szCs w:val="21"/>
        </w:rPr>
        <w:t xml:space="preserve"> </w:t>
      </w:r>
      <w:r w:rsidRPr="008E7580">
        <w:rPr>
          <w:rFonts w:ascii="Times New Roman" w:hAnsi="Times New Roman" w:cs="Times New Roman"/>
          <w:szCs w:val="21"/>
        </w:rPr>
        <w:t xml:space="preserve">Subsequent staining was performed using the UltraSensitiveTM SP (mouse/rabbit) IHC kit (MXB, #KIT-9710) and then the color reaction was performed with diamino hydrazine and hematoxylin. </w:t>
      </w:r>
      <w:r w:rsidR="00E660A8" w:rsidRPr="008E7580">
        <w:rPr>
          <w:rFonts w:ascii="Times New Roman" w:hAnsi="Times New Roman" w:cs="Times New Roman"/>
          <w:szCs w:val="21"/>
        </w:rPr>
        <w:t>The staining was then captured using the TISSUE FAXS PLUS system (TissueGnostics, Austria). The staining intensity (grade from 0 to 3) and the percentage of positive cells (0-100%) were evaluated by three pathologists at the Second Hospital of Lanzhou University. The IHC score was calculated based on these assessments, with high and low expression levels of HMGCR and GSDMD distinguished by the median IHC score</w:t>
      </w:r>
      <w:r w:rsidR="0002342B" w:rsidRPr="008E7580">
        <w:rPr>
          <w:rFonts w:ascii="Times New Roman" w:hAnsi="Times New Roman" w:cs="Times New Roman"/>
          <w:szCs w:val="21"/>
        </w:rPr>
        <w:t xml:space="preserve"> (HMGCR,</w:t>
      </w:r>
      <w:r w:rsidR="00E660A8" w:rsidRPr="008E7580">
        <w:rPr>
          <w:rFonts w:ascii="Times New Roman" w:hAnsi="Times New Roman" w:cs="Times New Roman"/>
          <w:szCs w:val="21"/>
        </w:rPr>
        <w:t>162.5</w:t>
      </w:r>
      <w:r w:rsidR="0002342B" w:rsidRPr="008E7580">
        <w:rPr>
          <w:rFonts w:ascii="Times New Roman" w:hAnsi="Times New Roman" w:cs="Times New Roman"/>
          <w:szCs w:val="21"/>
        </w:rPr>
        <w:t>;GSDMD,</w:t>
      </w:r>
      <w:r w:rsidR="00E660A8" w:rsidRPr="008E7580">
        <w:rPr>
          <w:rFonts w:ascii="Times New Roman" w:hAnsi="Times New Roman" w:cs="Times New Roman"/>
          <w:szCs w:val="21"/>
        </w:rPr>
        <w:t>165</w:t>
      </w:r>
      <w:r w:rsidR="0002342B" w:rsidRPr="008E7580">
        <w:rPr>
          <w:rFonts w:ascii="Times New Roman" w:hAnsi="Times New Roman" w:cs="Times New Roman"/>
          <w:szCs w:val="21"/>
        </w:rPr>
        <w:t>)</w:t>
      </w:r>
      <w:r w:rsidR="00E660A8" w:rsidRPr="008E7580">
        <w:rPr>
          <w:rFonts w:ascii="Times New Roman" w:hAnsi="Times New Roman" w:cs="Times New Roman"/>
          <w:szCs w:val="21"/>
        </w:rPr>
        <w:t>.</w:t>
      </w:r>
    </w:p>
    <w:p w14:paraId="483F0298" w14:textId="77777777" w:rsidR="006818CC" w:rsidRPr="008E7580" w:rsidRDefault="006818CC">
      <w:pPr>
        <w:rPr>
          <w:rFonts w:ascii="Times New Roman" w:hAnsi="Times New Roman" w:cs="Times New Roman"/>
        </w:rPr>
      </w:pPr>
    </w:p>
    <w:p w14:paraId="7CCDA0A3" w14:textId="77777777" w:rsidR="006818CC" w:rsidRPr="008E7580" w:rsidRDefault="006818CC">
      <w:pPr>
        <w:rPr>
          <w:rFonts w:ascii="Times New Roman" w:hAnsi="Times New Roman" w:cs="Times New Roman"/>
        </w:rPr>
      </w:pPr>
    </w:p>
    <w:p w14:paraId="05488408" w14:textId="77777777" w:rsidR="006818CC" w:rsidRPr="008E7580" w:rsidRDefault="006818CC" w:rsidP="006818CC">
      <w:pPr>
        <w:widowControl/>
        <w:spacing w:line="276" w:lineRule="auto"/>
        <w:rPr>
          <w:rFonts w:ascii="Times New Roman" w:hAnsi="Times New Roman" w:cs="Times New Roman"/>
          <w:b/>
          <w:bCs/>
          <w:sz w:val="36"/>
          <w:szCs w:val="40"/>
        </w:rPr>
      </w:pPr>
      <w:r w:rsidRPr="008E7580">
        <w:rPr>
          <w:rFonts w:ascii="Times New Roman" w:hAnsi="Times New Roman" w:cs="Times New Roman"/>
          <w:b/>
          <w:bCs/>
          <w:sz w:val="36"/>
          <w:szCs w:val="40"/>
        </w:rPr>
        <w:t>Reference</w:t>
      </w:r>
    </w:p>
    <w:p w14:paraId="2F1D7A29" w14:textId="77777777" w:rsidR="006818CC" w:rsidRPr="008E7580" w:rsidRDefault="006818CC">
      <w:pPr>
        <w:rPr>
          <w:rFonts w:ascii="Times New Roman" w:hAnsi="Times New Roman" w:cs="Times New Roman"/>
        </w:rPr>
      </w:pPr>
    </w:p>
    <w:p w14:paraId="61E11E94" w14:textId="77777777" w:rsidR="006818CC" w:rsidRPr="008E7580" w:rsidRDefault="006818CC" w:rsidP="006818CC">
      <w:pPr>
        <w:pStyle w:val="EndNoteBibliography"/>
        <w:ind w:left="720" w:hanging="720"/>
        <w:rPr>
          <w:rFonts w:ascii="Times New Roman" w:hAnsi="Times New Roman" w:cs="Times New Roman"/>
        </w:rPr>
      </w:pPr>
      <w:r w:rsidRPr="008E7580">
        <w:rPr>
          <w:rFonts w:ascii="Times New Roman" w:hAnsi="Times New Roman" w:cs="Times New Roman"/>
        </w:rPr>
        <w:fldChar w:fldCharType="begin"/>
      </w:r>
      <w:r w:rsidRPr="008E7580">
        <w:rPr>
          <w:rFonts w:ascii="Times New Roman" w:hAnsi="Times New Roman" w:cs="Times New Roman"/>
        </w:rPr>
        <w:instrText xml:space="preserve"> ADDIN EN.REFLIST </w:instrText>
      </w:r>
      <w:r w:rsidRPr="008E7580">
        <w:rPr>
          <w:rFonts w:ascii="Times New Roman" w:hAnsi="Times New Roman" w:cs="Times New Roman"/>
        </w:rPr>
        <w:fldChar w:fldCharType="separate"/>
      </w:r>
      <w:r w:rsidRPr="008E7580">
        <w:rPr>
          <w:rFonts w:ascii="Times New Roman" w:hAnsi="Times New Roman" w:cs="Times New Roman"/>
        </w:rPr>
        <w:t>1.</w:t>
      </w:r>
      <w:r w:rsidRPr="008E7580">
        <w:rPr>
          <w:rFonts w:ascii="Times New Roman" w:hAnsi="Times New Roman" w:cs="Times New Roman"/>
        </w:rPr>
        <w:tab/>
        <w:t>Yu Z, Jiang X, Qin L, Deng H, Wang J, Ren W, Li H, Zhao L, Liu H, Yan H</w:t>
      </w:r>
      <w:r w:rsidRPr="008E7580">
        <w:rPr>
          <w:rFonts w:ascii="Times New Roman" w:hAnsi="Times New Roman" w:cs="Times New Roman"/>
          <w:i/>
        </w:rPr>
        <w:t xml:space="preserve"> et al</w:t>
      </w:r>
      <w:r w:rsidRPr="008E7580">
        <w:rPr>
          <w:rFonts w:ascii="Times New Roman" w:hAnsi="Times New Roman" w:cs="Times New Roman"/>
        </w:rPr>
        <w:t xml:space="preserve">: </w:t>
      </w:r>
      <w:r w:rsidRPr="008E7580">
        <w:rPr>
          <w:rFonts w:ascii="Times New Roman" w:hAnsi="Times New Roman" w:cs="Times New Roman"/>
          <w:b/>
        </w:rPr>
        <w:t>A novel UBE2T inhibitor suppresses Wnt/β-catenin signaling hyperactivation and gastric cancer progression by blocking RACK1 ubiquitination</w:t>
      </w:r>
      <w:r w:rsidRPr="008E7580">
        <w:rPr>
          <w:rFonts w:ascii="Times New Roman" w:hAnsi="Times New Roman" w:cs="Times New Roman"/>
        </w:rPr>
        <w:t xml:space="preserve">. </w:t>
      </w:r>
      <w:r w:rsidRPr="008E7580">
        <w:rPr>
          <w:rFonts w:ascii="Times New Roman" w:hAnsi="Times New Roman" w:cs="Times New Roman"/>
          <w:i/>
        </w:rPr>
        <w:t xml:space="preserve">Oncogene </w:t>
      </w:r>
      <w:r w:rsidRPr="008E7580">
        <w:rPr>
          <w:rFonts w:ascii="Times New Roman" w:hAnsi="Times New Roman" w:cs="Times New Roman"/>
        </w:rPr>
        <w:t xml:space="preserve">2021, </w:t>
      </w:r>
      <w:r w:rsidRPr="008E7580">
        <w:rPr>
          <w:rFonts w:ascii="Times New Roman" w:hAnsi="Times New Roman" w:cs="Times New Roman"/>
          <w:b/>
        </w:rPr>
        <w:t>40</w:t>
      </w:r>
      <w:r w:rsidRPr="008E7580">
        <w:rPr>
          <w:rFonts w:ascii="Times New Roman" w:hAnsi="Times New Roman" w:cs="Times New Roman"/>
        </w:rPr>
        <w:t>(5):1027-1042.</w:t>
      </w:r>
    </w:p>
    <w:p w14:paraId="50CD574C" w14:textId="72B9EDB5" w:rsidR="00F27681" w:rsidRPr="008E7580" w:rsidRDefault="006818CC">
      <w:pPr>
        <w:rPr>
          <w:rFonts w:ascii="Times New Roman" w:hAnsi="Times New Roman" w:cs="Times New Roman"/>
        </w:rPr>
      </w:pPr>
      <w:r w:rsidRPr="008E7580">
        <w:rPr>
          <w:rFonts w:ascii="Times New Roman" w:hAnsi="Times New Roman" w:cs="Times New Roman"/>
        </w:rPr>
        <w:fldChar w:fldCharType="end"/>
      </w:r>
    </w:p>
    <w:sectPr w:rsidR="00F27681" w:rsidRPr="008E7580" w:rsidSect="00982698">
      <w:pgSz w:w="11906" w:h="16838" w:code="9"/>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0B849" w14:textId="77777777" w:rsidR="007E1B95" w:rsidRDefault="007E1B95" w:rsidP="0018482C">
      <w:pPr>
        <w:rPr>
          <w:rFonts w:hint="eastAsia"/>
        </w:rPr>
      </w:pPr>
      <w:r>
        <w:separator/>
      </w:r>
    </w:p>
  </w:endnote>
  <w:endnote w:type="continuationSeparator" w:id="0">
    <w:p w14:paraId="14A9F7AF" w14:textId="77777777" w:rsidR="007E1B95" w:rsidRDefault="007E1B95" w:rsidP="0018482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AAFEA" w14:textId="77777777" w:rsidR="007E1B95" w:rsidRDefault="007E1B95" w:rsidP="0018482C">
      <w:pPr>
        <w:rPr>
          <w:rFonts w:hint="eastAsia"/>
        </w:rPr>
      </w:pPr>
      <w:r>
        <w:separator/>
      </w:r>
    </w:p>
  </w:footnote>
  <w:footnote w:type="continuationSeparator" w:id="0">
    <w:p w14:paraId="68CEE9FA" w14:textId="77777777" w:rsidR="007E1B95" w:rsidRDefault="007E1B95" w:rsidP="0018482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Carcinogenesis&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twz0r925swaw0ee5fuvs2apwx2zzf5w9vtp&quot;&gt;My EndNote Library&lt;record-ids&gt;&lt;item&gt;47&lt;/item&gt;&lt;/record-ids&gt;&lt;/item&gt;&lt;/Libraries&gt;"/>
  </w:docVars>
  <w:rsids>
    <w:rsidRoot w:val="00A31A1E"/>
    <w:rsid w:val="0002342B"/>
    <w:rsid w:val="00034FCA"/>
    <w:rsid w:val="000435A1"/>
    <w:rsid w:val="00076A3A"/>
    <w:rsid w:val="000B2CA8"/>
    <w:rsid w:val="0010206C"/>
    <w:rsid w:val="00107C1B"/>
    <w:rsid w:val="00173080"/>
    <w:rsid w:val="0018482C"/>
    <w:rsid w:val="001901A0"/>
    <w:rsid w:val="00232C38"/>
    <w:rsid w:val="00252654"/>
    <w:rsid w:val="00386181"/>
    <w:rsid w:val="00415993"/>
    <w:rsid w:val="0045284D"/>
    <w:rsid w:val="0048721A"/>
    <w:rsid w:val="004876D1"/>
    <w:rsid w:val="005E65D8"/>
    <w:rsid w:val="00641772"/>
    <w:rsid w:val="006818CC"/>
    <w:rsid w:val="007C2F05"/>
    <w:rsid w:val="007E1B95"/>
    <w:rsid w:val="00822900"/>
    <w:rsid w:val="008A7DAD"/>
    <w:rsid w:val="008B0A29"/>
    <w:rsid w:val="008C7099"/>
    <w:rsid w:val="008E7580"/>
    <w:rsid w:val="00982698"/>
    <w:rsid w:val="00A31A1E"/>
    <w:rsid w:val="00A56256"/>
    <w:rsid w:val="00A80E08"/>
    <w:rsid w:val="00AD12D3"/>
    <w:rsid w:val="00B1380B"/>
    <w:rsid w:val="00C87F80"/>
    <w:rsid w:val="00CD1CB0"/>
    <w:rsid w:val="00E21BA1"/>
    <w:rsid w:val="00E372A4"/>
    <w:rsid w:val="00E660A8"/>
    <w:rsid w:val="00EC3A1D"/>
    <w:rsid w:val="00F03471"/>
    <w:rsid w:val="00F27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56FA1"/>
  <w15:chartTrackingRefBased/>
  <w15:docId w15:val="{723DD145-CD90-4054-B5AE-0E8C8A388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0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BibliographyTitle">
    <w:name w:val="EndNote Bibliography Title"/>
    <w:basedOn w:val="a"/>
    <w:link w:val="EndNoteBibliographyTitle0"/>
    <w:rsid w:val="006818CC"/>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6818CC"/>
    <w:rPr>
      <w:rFonts w:ascii="等线" w:eastAsia="等线" w:hAnsi="等线"/>
      <w:noProof/>
      <w:sz w:val="20"/>
    </w:rPr>
  </w:style>
  <w:style w:type="paragraph" w:customStyle="1" w:styleId="EndNoteBibliography">
    <w:name w:val="EndNote Bibliography"/>
    <w:basedOn w:val="a"/>
    <w:link w:val="EndNoteBibliography0"/>
    <w:rsid w:val="006818CC"/>
    <w:rPr>
      <w:rFonts w:ascii="等线" w:eastAsia="等线" w:hAnsi="等线"/>
      <w:noProof/>
      <w:sz w:val="20"/>
    </w:rPr>
  </w:style>
  <w:style w:type="character" w:customStyle="1" w:styleId="EndNoteBibliography0">
    <w:name w:val="EndNote Bibliography 字符"/>
    <w:basedOn w:val="a0"/>
    <w:link w:val="EndNoteBibliography"/>
    <w:rsid w:val="006818CC"/>
    <w:rPr>
      <w:rFonts w:ascii="等线" w:eastAsia="等线" w:hAnsi="等线"/>
      <w:noProof/>
      <w:sz w:val="20"/>
    </w:rPr>
  </w:style>
  <w:style w:type="character" w:styleId="a3">
    <w:name w:val="Hyperlink"/>
    <w:basedOn w:val="a0"/>
    <w:uiPriority w:val="99"/>
    <w:unhideWhenUsed/>
    <w:rsid w:val="00173080"/>
    <w:rPr>
      <w:color w:val="467886" w:themeColor="hyperlink"/>
      <w:u w:val="single"/>
    </w:rPr>
  </w:style>
  <w:style w:type="character" w:styleId="a4">
    <w:name w:val="Unresolved Mention"/>
    <w:basedOn w:val="a0"/>
    <w:uiPriority w:val="99"/>
    <w:semiHidden/>
    <w:unhideWhenUsed/>
    <w:rsid w:val="00173080"/>
    <w:rPr>
      <w:color w:val="605E5C"/>
      <w:shd w:val="clear" w:color="auto" w:fill="E1DFDD"/>
    </w:rPr>
  </w:style>
  <w:style w:type="paragraph" w:styleId="a5">
    <w:name w:val="header"/>
    <w:basedOn w:val="a"/>
    <w:link w:val="a6"/>
    <w:uiPriority w:val="99"/>
    <w:unhideWhenUsed/>
    <w:rsid w:val="0018482C"/>
    <w:pPr>
      <w:tabs>
        <w:tab w:val="center" w:pos="4153"/>
        <w:tab w:val="right" w:pos="8306"/>
      </w:tabs>
      <w:snapToGrid w:val="0"/>
      <w:jc w:val="center"/>
    </w:pPr>
    <w:rPr>
      <w:sz w:val="18"/>
      <w:szCs w:val="18"/>
    </w:rPr>
  </w:style>
  <w:style w:type="character" w:customStyle="1" w:styleId="a6">
    <w:name w:val="页眉 字符"/>
    <w:basedOn w:val="a0"/>
    <w:link w:val="a5"/>
    <w:uiPriority w:val="99"/>
    <w:rsid w:val="0018482C"/>
    <w:rPr>
      <w:sz w:val="18"/>
      <w:szCs w:val="18"/>
    </w:rPr>
  </w:style>
  <w:style w:type="paragraph" w:styleId="a7">
    <w:name w:val="footer"/>
    <w:basedOn w:val="a"/>
    <w:link w:val="a8"/>
    <w:uiPriority w:val="99"/>
    <w:unhideWhenUsed/>
    <w:rsid w:val="0018482C"/>
    <w:pPr>
      <w:tabs>
        <w:tab w:val="center" w:pos="4153"/>
        <w:tab w:val="right" w:pos="8306"/>
      </w:tabs>
      <w:snapToGrid w:val="0"/>
      <w:jc w:val="left"/>
    </w:pPr>
    <w:rPr>
      <w:sz w:val="18"/>
      <w:szCs w:val="18"/>
    </w:rPr>
  </w:style>
  <w:style w:type="character" w:customStyle="1" w:styleId="a8">
    <w:name w:val="页脚 字符"/>
    <w:basedOn w:val="a0"/>
    <w:link w:val="a7"/>
    <w:uiPriority w:val="99"/>
    <w:rsid w:val="0018482C"/>
    <w:rPr>
      <w:sz w:val="18"/>
      <w:szCs w:val="18"/>
    </w:rPr>
  </w:style>
  <w:style w:type="table" w:styleId="a9">
    <w:name w:val="Table Grid"/>
    <w:basedOn w:val="a1"/>
    <w:uiPriority w:val="39"/>
    <w:rsid w:val="00184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729</Words>
  <Characters>4156</Characters>
  <Application>Microsoft Office Word</Application>
  <DocSecurity>0</DocSecurity>
  <Lines>34</Lines>
  <Paragraphs>9</Paragraphs>
  <ScaleCrop>false</ScaleCrop>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宗睿 邢</dc:creator>
  <cp:keywords/>
  <dc:description/>
  <cp:lastModifiedBy>宗睿 邢</cp:lastModifiedBy>
  <cp:revision>20</cp:revision>
  <dcterms:created xsi:type="dcterms:W3CDTF">2024-11-05T03:40:00Z</dcterms:created>
  <dcterms:modified xsi:type="dcterms:W3CDTF">2024-11-05T11:54:00Z</dcterms:modified>
</cp:coreProperties>
</file>