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62A9">
      <w:r>
        <w:drawing>
          <wp:inline distT="0" distB="0" distL="114300" distR="114300">
            <wp:extent cx="4352925" cy="4013200"/>
            <wp:effectExtent l="0" t="0" r="3175" b="0"/>
            <wp:docPr id="2" name="图片 2" descr="六大洲面积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六大洲面积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C3C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Area of different types of suitable areas in six continents under current climate scenarios.</w:t>
      </w:r>
      <w:bookmarkStart w:id="0" w:name="_GoBack"/>
      <w:bookmarkEnd w:id="0"/>
    </w:p>
    <w:p w14:paraId="3E1AE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ODZlNTgzZTk5YzhlNzU2NDBlMDQ2NDMwNGVmYzYifQ=="/>
  </w:docVars>
  <w:rsids>
    <w:rsidRoot w:val="00000000"/>
    <w:rsid w:val="4665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2024-11-14T01:32:11Z</dcterms:created>
  <dc:creator>王沛霖</dc:creator>
  <cp:lastModifiedBy>Peilin Wang</cp:lastModifiedBy>
  <dcterms:modified xsi:type="dcterms:W3CDTF">2024-11-14T01:32:51Z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EE8CFF3A19144F4596E19E75D4C5517A_12</vt:lpwstr>
  </property>
</Properties>
</file>