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1F45" w14:textId="1FF44E94" w:rsidR="00485DD2" w:rsidRDefault="00485DD2">
      <w:pPr>
        <w:rPr>
          <w:b/>
          <w:lang w:val="en-US"/>
        </w:rPr>
      </w:pPr>
      <w:r>
        <w:rPr>
          <w:b/>
          <w:lang w:val="en-US"/>
        </w:rPr>
        <w:t>SUPPLEMENTARY INFORMATION</w:t>
      </w:r>
    </w:p>
    <w:p w14:paraId="333CA78F" w14:textId="77777777" w:rsidR="00485DD2" w:rsidRDefault="00485DD2">
      <w:pPr>
        <w:rPr>
          <w:b/>
          <w:lang w:val="en-US"/>
        </w:rPr>
      </w:pPr>
    </w:p>
    <w:p w14:paraId="49F085AB" w14:textId="10E16DC4" w:rsidR="00F147FE" w:rsidRDefault="00F147FE">
      <w:pPr>
        <w:rPr>
          <w:b/>
          <w:lang w:val="en-US"/>
        </w:rPr>
      </w:pPr>
      <w:r>
        <w:rPr>
          <w:b/>
          <w:lang w:val="en-US"/>
        </w:rPr>
        <w:t>Evaluating interviewers’ reliabilities and compensating for potential shortcomings</w:t>
      </w:r>
    </w:p>
    <w:p w14:paraId="4D87F029" w14:textId="0CEFAC34" w:rsidR="00916147" w:rsidRDefault="00E72424" w:rsidP="00916147">
      <w:pPr>
        <w:rPr>
          <w:lang w:val="en-US"/>
        </w:rPr>
      </w:pPr>
      <w:r>
        <w:rPr>
          <w:lang w:val="en-US"/>
        </w:rPr>
        <w:t xml:space="preserve">Our data is gathered in remote villages in a low-income </w:t>
      </w:r>
      <w:r w:rsidR="004E589B">
        <w:rPr>
          <w:lang w:val="en-US"/>
        </w:rPr>
        <w:t>country</w:t>
      </w:r>
      <w:r>
        <w:rPr>
          <w:lang w:val="en-US"/>
        </w:rPr>
        <w:t>. Further, for practical and also for ethical reasons, we relied on locally based assistants in gathering the data from the respondents (i.e. the farmers). In field campaigns of this sort, interviewer reliability can be an issue due to difficulties in accomplishing adequate training that would prepare the interviewers for a range of situations they could encounter in the field. Further, fully comprehending the intention behind the questions we indent to ask the respondents could also be associated with difficulties due to different education and cultural backgrounds of the assistants and the researchers. The same applies when interpreting the answers provided by the respondents. Hence, to ensure that data gathered by the different interviewers were compatible and in accordance with our aims and intentions</w:t>
      </w:r>
      <w:r w:rsidR="00CA13FD">
        <w:rPr>
          <w:lang w:val="en-US"/>
        </w:rPr>
        <w:t xml:space="preserve">, we performed some </w:t>
      </w:r>
      <w:r w:rsidR="004E589B">
        <w:rPr>
          <w:lang w:val="en-US"/>
        </w:rPr>
        <w:t xml:space="preserve">descriptive </w:t>
      </w:r>
      <w:r w:rsidR="00CA13FD">
        <w:rPr>
          <w:lang w:val="en-US"/>
        </w:rPr>
        <w:t xml:space="preserve">analyses where we compared the responses gathered by the different interviewers. We focused on two things; number of reported social ties per respondent, and the relative proportions of the reported fertilize uses. The first could differ based </w:t>
      </w:r>
      <w:r w:rsidR="00DE0C9E">
        <w:rPr>
          <w:lang w:val="en-US"/>
        </w:rPr>
        <w:t xml:space="preserve">on </w:t>
      </w:r>
      <w:r w:rsidR="004E589B">
        <w:rPr>
          <w:lang w:val="en-US"/>
        </w:rPr>
        <w:t>how much</w:t>
      </w:r>
      <w:r w:rsidR="00CA13FD">
        <w:rPr>
          <w:lang w:val="en-US"/>
        </w:rPr>
        <w:t xml:space="preserve"> prompting the interviewer appl</w:t>
      </w:r>
      <w:r w:rsidR="004E589B">
        <w:rPr>
          <w:lang w:val="en-US"/>
        </w:rPr>
        <w:t>ies</w:t>
      </w:r>
      <w:r w:rsidR="00CA13FD">
        <w:rPr>
          <w:lang w:val="en-US"/>
        </w:rPr>
        <w:t xml:space="preserve"> when asking the respondents about their social ties. For example, would the interviewer be satisfied when they got one reported tie from a given respondent, or would they continue to prompt the respondent for more ties? </w:t>
      </w:r>
      <w:r w:rsidR="00916147">
        <w:rPr>
          <w:lang w:val="en-US"/>
        </w:rPr>
        <w:t xml:space="preserve">The latter would likely yield more ties. However, our analyses showed there were no </w:t>
      </w:r>
      <w:r w:rsidR="00BC1C42">
        <w:rPr>
          <w:lang w:val="en-US"/>
        </w:rPr>
        <w:t>clear</w:t>
      </w:r>
      <w:r w:rsidR="00916147">
        <w:rPr>
          <w:lang w:val="en-US"/>
        </w:rPr>
        <w:t xml:space="preserve"> differences, on average, in how many </w:t>
      </w:r>
      <w:proofErr w:type="spellStart"/>
      <w:r w:rsidR="00916147">
        <w:rPr>
          <w:lang w:val="en-US"/>
        </w:rPr>
        <w:t>ties</w:t>
      </w:r>
      <w:proofErr w:type="spellEnd"/>
      <w:r w:rsidR="00916147">
        <w:rPr>
          <w:lang w:val="en-US"/>
        </w:rPr>
        <w:t xml:space="preserve"> each </w:t>
      </w:r>
      <w:r w:rsidR="0041365B">
        <w:rPr>
          <w:lang w:val="en-US"/>
        </w:rPr>
        <w:t xml:space="preserve">interviewer </w:t>
      </w:r>
      <w:r w:rsidR="00916147">
        <w:rPr>
          <w:lang w:val="en-US"/>
        </w:rPr>
        <w:t>reported</w:t>
      </w:r>
      <w:r w:rsidR="00BC1C42">
        <w:rPr>
          <w:lang w:val="en-US"/>
        </w:rPr>
        <w:t xml:space="preserve"> for their village</w:t>
      </w:r>
      <w:r w:rsidR="00916147">
        <w:rPr>
          <w:lang w:val="en-US"/>
        </w:rPr>
        <w:t xml:space="preserve">. Since </w:t>
      </w:r>
      <w:r w:rsidR="00BC1C42">
        <w:rPr>
          <w:lang w:val="en-US"/>
        </w:rPr>
        <w:t>most of the</w:t>
      </w:r>
      <w:r w:rsidR="00916147">
        <w:rPr>
          <w:lang w:val="en-US"/>
        </w:rPr>
        <w:t xml:space="preserve"> interviewers were sampling </w:t>
      </w:r>
      <w:r w:rsidR="00BC1C42">
        <w:rPr>
          <w:lang w:val="en-US"/>
        </w:rPr>
        <w:t xml:space="preserve">several villages, any village specific biases were thus kept low, and </w:t>
      </w:r>
      <w:r w:rsidR="00916147">
        <w:rPr>
          <w:lang w:val="en-US"/>
        </w:rPr>
        <w:t xml:space="preserve">thus </w:t>
      </w:r>
      <w:r w:rsidR="00BC1C42">
        <w:rPr>
          <w:lang w:val="en-US"/>
        </w:rPr>
        <w:t xml:space="preserve">we </w:t>
      </w:r>
      <w:r w:rsidR="00916147">
        <w:rPr>
          <w:lang w:val="en-US"/>
        </w:rPr>
        <w:t xml:space="preserve">concluded the </w:t>
      </w:r>
      <w:r w:rsidR="00BC1C42">
        <w:rPr>
          <w:lang w:val="en-US"/>
        </w:rPr>
        <w:t>interviewers</w:t>
      </w:r>
      <w:r w:rsidR="00916147">
        <w:rPr>
          <w:lang w:val="en-US"/>
        </w:rPr>
        <w:t xml:space="preserve"> </w:t>
      </w:r>
      <w:r w:rsidR="00BC1C42">
        <w:rPr>
          <w:lang w:val="en-US"/>
        </w:rPr>
        <w:t>did report</w:t>
      </w:r>
      <w:r w:rsidR="00916147">
        <w:rPr>
          <w:lang w:val="en-US"/>
        </w:rPr>
        <w:t xml:space="preserve"> ties to the same extent.</w:t>
      </w:r>
    </w:p>
    <w:p w14:paraId="4BF2D7B3" w14:textId="4BA7BF2E" w:rsidR="00E72424" w:rsidRDefault="004E589B">
      <w:pPr>
        <w:rPr>
          <w:lang w:val="en-US"/>
        </w:rPr>
      </w:pPr>
      <w:r>
        <w:rPr>
          <w:lang w:val="en-US"/>
        </w:rPr>
        <w:t>Furthermore, potential skewedness</w:t>
      </w:r>
      <w:r w:rsidR="00CA13FD">
        <w:rPr>
          <w:lang w:val="en-US"/>
        </w:rPr>
        <w:t xml:space="preserve"> </w:t>
      </w:r>
      <w:r>
        <w:rPr>
          <w:lang w:val="en-US"/>
        </w:rPr>
        <w:t>in regards to</w:t>
      </w:r>
      <w:r w:rsidR="00CA13FD">
        <w:rPr>
          <w:lang w:val="en-US"/>
        </w:rPr>
        <w:t xml:space="preserve"> the </w:t>
      </w:r>
      <w:r>
        <w:rPr>
          <w:lang w:val="en-US"/>
        </w:rPr>
        <w:t>proportion of fertilize uses</w:t>
      </w:r>
      <w:r w:rsidR="00CA13FD">
        <w:rPr>
          <w:lang w:val="en-US"/>
        </w:rPr>
        <w:t xml:space="preserve"> could </w:t>
      </w:r>
      <w:r>
        <w:rPr>
          <w:lang w:val="en-US"/>
        </w:rPr>
        <w:t>stem</w:t>
      </w:r>
      <w:r w:rsidR="00CA13FD">
        <w:rPr>
          <w:lang w:val="en-US"/>
        </w:rPr>
        <w:t xml:space="preserve"> from </w:t>
      </w:r>
      <w:r>
        <w:rPr>
          <w:lang w:val="en-US"/>
        </w:rPr>
        <w:t xml:space="preserve">different </w:t>
      </w:r>
      <w:r w:rsidR="00CA13FD">
        <w:rPr>
          <w:lang w:val="en-US"/>
        </w:rPr>
        <w:t>perception</w:t>
      </w:r>
      <w:r>
        <w:rPr>
          <w:lang w:val="en-US"/>
        </w:rPr>
        <w:t>s</w:t>
      </w:r>
      <w:r w:rsidR="00CA13FD">
        <w:rPr>
          <w:lang w:val="en-US"/>
        </w:rPr>
        <w:t xml:space="preserve"> </w:t>
      </w:r>
      <w:r>
        <w:rPr>
          <w:lang w:val="en-US"/>
        </w:rPr>
        <w:t xml:space="preserve">among the interviewers </w:t>
      </w:r>
      <w:r w:rsidR="00CA13FD">
        <w:rPr>
          <w:lang w:val="en-US"/>
        </w:rPr>
        <w:t xml:space="preserve">on </w:t>
      </w:r>
      <w:r>
        <w:rPr>
          <w:lang w:val="en-US"/>
        </w:rPr>
        <w:t>how certain</w:t>
      </w:r>
      <w:r w:rsidR="00CA13FD">
        <w:rPr>
          <w:lang w:val="en-US"/>
        </w:rPr>
        <w:t xml:space="preserve"> use</w:t>
      </w:r>
      <w:r>
        <w:rPr>
          <w:lang w:val="en-US"/>
        </w:rPr>
        <w:t>s</w:t>
      </w:r>
      <w:r w:rsidR="00CA13FD">
        <w:rPr>
          <w:lang w:val="en-US"/>
        </w:rPr>
        <w:t xml:space="preserve"> of fertilizer </w:t>
      </w:r>
      <w:r>
        <w:rPr>
          <w:lang w:val="en-US"/>
        </w:rPr>
        <w:t>should be coded when filling in the questionnaires</w:t>
      </w:r>
      <w:r w:rsidR="00CA13FD">
        <w:rPr>
          <w:lang w:val="en-US"/>
        </w:rPr>
        <w:t xml:space="preserve">. </w:t>
      </w:r>
      <w:r w:rsidR="00916147">
        <w:rPr>
          <w:lang w:val="en-US"/>
        </w:rPr>
        <w:t xml:space="preserve"> We identified interviewers that essentially only reported the same fertilize uses across a range of network (i.e. villages) since that indicates there </w:t>
      </w:r>
      <w:r w:rsidR="00424AE9">
        <w:rPr>
          <w:lang w:val="en-US"/>
        </w:rPr>
        <w:t>is</w:t>
      </w:r>
      <w:r w:rsidR="00916147">
        <w:rPr>
          <w:lang w:val="en-US"/>
        </w:rPr>
        <w:t xml:space="preserve"> bias</w:t>
      </w:r>
      <w:r w:rsidR="00316E0F">
        <w:rPr>
          <w:lang w:val="en-US"/>
        </w:rPr>
        <w:t xml:space="preserve"> (Fig. </w:t>
      </w:r>
      <w:r w:rsidR="00DF1BD5">
        <w:rPr>
          <w:lang w:val="en-US"/>
        </w:rPr>
        <w:t>S</w:t>
      </w:r>
      <w:r w:rsidR="00316E0F">
        <w:rPr>
          <w:lang w:val="en-US"/>
        </w:rPr>
        <w:t>1)</w:t>
      </w:r>
      <w:r w:rsidR="00916147">
        <w:rPr>
          <w:lang w:val="en-US"/>
        </w:rPr>
        <w:t xml:space="preserve">. </w:t>
      </w:r>
      <w:r w:rsidR="00A54DAD">
        <w:rPr>
          <w:lang w:val="en-US"/>
        </w:rPr>
        <w:t>A</w:t>
      </w:r>
      <w:r w:rsidR="00916147">
        <w:rPr>
          <w:lang w:val="en-US"/>
        </w:rPr>
        <w:t xml:space="preserve">ll reported </w:t>
      </w:r>
      <w:r w:rsidR="00C8780D">
        <w:rPr>
          <w:lang w:val="en-US"/>
        </w:rPr>
        <w:t>fertilizer uses</w:t>
      </w:r>
      <w:r w:rsidR="00916147">
        <w:rPr>
          <w:lang w:val="en-US"/>
        </w:rPr>
        <w:t xml:space="preserve"> </w:t>
      </w:r>
      <w:r w:rsidR="00A54DAD">
        <w:rPr>
          <w:lang w:val="en-US"/>
        </w:rPr>
        <w:t xml:space="preserve">sampled </w:t>
      </w:r>
      <w:r w:rsidR="00916147">
        <w:rPr>
          <w:lang w:val="en-US"/>
        </w:rPr>
        <w:t>by these identified interviewers</w:t>
      </w:r>
      <w:r w:rsidR="00A54DAD">
        <w:rPr>
          <w:lang w:val="en-US"/>
        </w:rPr>
        <w:t xml:space="preserve"> where therefore removed</w:t>
      </w:r>
      <w:r w:rsidR="00C8780D">
        <w:rPr>
          <w:lang w:val="en-US"/>
        </w:rPr>
        <w:t xml:space="preserve"> (set to N/A)</w:t>
      </w:r>
      <w:r w:rsidR="00A54DAD">
        <w:rPr>
          <w:lang w:val="en-US"/>
        </w:rPr>
        <w:t>. I</w:t>
      </w:r>
      <w:r w:rsidR="00916147">
        <w:rPr>
          <w:lang w:val="en-US"/>
        </w:rPr>
        <w:t xml:space="preserve">f those removals decreased the rate of </w:t>
      </w:r>
      <w:r w:rsidR="00A54DAD">
        <w:rPr>
          <w:lang w:val="en-US"/>
        </w:rPr>
        <w:t xml:space="preserve">farmers </w:t>
      </w:r>
      <w:r w:rsidR="00C8780D">
        <w:rPr>
          <w:lang w:val="en-US"/>
        </w:rPr>
        <w:t xml:space="preserve">that had a valid response in regards to their fertilizer use </w:t>
      </w:r>
      <w:r w:rsidR="00A54DAD">
        <w:rPr>
          <w:lang w:val="en-US"/>
        </w:rPr>
        <w:t xml:space="preserve">in </w:t>
      </w:r>
      <w:r w:rsidR="00916147">
        <w:rPr>
          <w:lang w:val="en-US"/>
        </w:rPr>
        <w:t xml:space="preserve">a village below </w:t>
      </w:r>
      <w:r w:rsidR="00C8780D">
        <w:rPr>
          <w:lang w:val="en-US"/>
        </w:rPr>
        <w:t>5</w:t>
      </w:r>
      <w:r w:rsidR="00916147">
        <w:rPr>
          <w:lang w:val="en-US"/>
        </w:rPr>
        <w:t>0%, we remove</w:t>
      </w:r>
      <w:r w:rsidR="00A54DAD">
        <w:rPr>
          <w:lang w:val="en-US"/>
        </w:rPr>
        <w:t>d that village in its entirely (eq</w:t>
      </w:r>
      <w:r w:rsidR="00C8780D">
        <w:rPr>
          <w:lang w:val="en-US"/>
        </w:rPr>
        <w:t>uivalent of setting a limit of 5</w:t>
      </w:r>
      <w:r w:rsidR="00A54DAD">
        <w:rPr>
          <w:lang w:val="en-US"/>
        </w:rPr>
        <w:t>0% response rate</w:t>
      </w:r>
      <w:r w:rsidR="001D555F">
        <w:rPr>
          <w:lang w:val="en-US"/>
        </w:rPr>
        <w:t xml:space="preserve"> in</w:t>
      </w:r>
      <w:r w:rsidR="00C8780D">
        <w:rPr>
          <w:lang w:val="en-US"/>
        </w:rPr>
        <w:t xml:space="preserve"> regards to fertilizer use</w:t>
      </w:r>
      <w:r w:rsidR="00A54DAD">
        <w:rPr>
          <w:lang w:val="en-US"/>
        </w:rPr>
        <w:t>)</w:t>
      </w:r>
      <w:r w:rsidR="00316E0F">
        <w:rPr>
          <w:lang w:val="en-US"/>
        </w:rPr>
        <w:t>.</w:t>
      </w:r>
    </w:p>
    <w:p w14:paraId="0F8EA88E" w14:textId="61ADF9D7" w:rsidR="00316E0F" w:rsidRPr="00721E61" w:rsidRDefault="008059F5">
      <w:r>
        <w:rPr>
          <w:noProof/>
          <w:lang w:eastAsia="sv-SE"/>
        </w:rPr>
        <w:lastRenderedPageBreak/>
        <w:drawing>
          <wp:inline distT="0" distB="0" distL="0" distR="0" wp14:anchorId="52415AA0" wp14:editId="53D22246">
            <wp:extent cx="3695700" cy="382313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um-reliable.png"/>
                    <pic:cNvPicPr/>
                  </pic:nvPicPr>
                  <pic:blipFill>
                    <a:blip r:embed="rId5">
                      <a:extLst>
                        <a:ext uri="{28A0092B-C50C-407E-A947-70E740481C1C}">
                          <a14:useLocalDpi xmlns:a14="http://schemas.microsoft.com/office/drawing/2010/main" val="0"/>
                        </a:ext>
                      </a:extLst>
                    </a:blip>
                    <a:stretch>
                      <a:fillRect/>
                    </a:stretch>
                  </pic:blipFill>
                  <pic:spPr>
                    <a:xfrm>
                      <a:off x="0" y="0"/>
                      <a:ext cx="3715689" cy="3843816"/>
                    </a:xfrm>
                    <a:prstGeom prst="rect">
                      <a:avLst/>
                    </a:prstGeom>
                  </pic:spPr>
                </pic:pic>
              </a:graphicData>
            </a:graphic>
          </wp:inline>
        </w:drawing>
      </w:r>
    </w:p>
    <w:p w14:paraId="781E45A7" w14:textId="2709D4E9" w:rsidR="00316E0F" w:rsidRPr="00721E61" w:rsidRDefault="00316E0F">
      <w:pPr>
        <w:rPr>
          <w:lang w:val="en-US"/>
        </w:rPr>
      </w:pPr>
      <w:r w:rsidRPr="00721E61">
        <w:rPr>
          <w:b/>
          <w:lang w:val="en-US"/>
        </w:rPr>
        <w:t xml:space="preserve">Fig. </w:t>
      </w:r>
      <w:r w:rsidR="00DF1BD5" w:rsidRPr="00721E61">
        <w:rPr>
          <w:b/>
          <w:lang w:val="en-US"/>
        </w:rPr>
        <w:t>S</w:t>
      </w:r>
      <w:r w:rsidRPr="00721E61">
        <w:rPr>
          <w:b/>
          <w:lang w:val="en-US"/>
        </w:rPr>
        <w:t xml:space="preserve">1. Plot of </w:t>
      </w:r>
      <w:r w:rsidR="00C43AD7" w:rsidRPr="00721E61">
        <w:rPr>
          <w:b/>
          <w:lang w:val="en-US"/>
        </w:rPr>
        <w:t>interviewers’</w:t>
      </w:r>
      <w:r w:rsidRPr="00721E61">
        <w:rPr>
          <w:b/>
          <w:lang w:val="en-US"/>
        </w:rPr>
        <w:t xml:space="preserve"> reported fertilizer uses by their respondents.</w:t>
      </w:r>
      <w:r w:rsidRPr="00721E61">
        <w:rPr>
          <w:lang w:val="en-US"/>
        </w:rPr>
        <w:t xml:space="preserve"> If an </w:t>
      </w:r>
      <w:r w:rsidR="00C43AD7" w:rsidRPr="00721E61">
        <w:rPr>
          <w:lang w:val="en-US"/>
        </w:rPr>
        <w:t>interviewer</w:t>
      </w:r>
      <w:r w:rsidRPr="00721E61">
        <w:rPr>
          <w:lang w:val="en-US"/>
        </w:rPr>
        <w:t xml:space="preserve"> had a skewed ratio (&gt;10 in either direction), the </w:t>
      </w:r>
      <w:r w:rsidR="00C43AD7" w:rsidRPr="00721E61">
        <w:rPr>
          <w:lang w:val="en-US"/>
        </w:rPr>
        <w:t>interviewer’s</w:t>
      </w:r>
      <w:r w:rsidRPr="00721E61">
        <w:rPr>
          <w:lang w:val="en-US"/>
        </w:rPr>
        <w:t xml:space="preserve"> data was removed from the sample. The circles correspond to how many villages the </w:t>
      </w:r>
      <w:r w:rsidR="00C43AD7" w:rsidRPr="00721E61">
        <w:rPr>
          <w:lang w:val="en-US"/>
        </w:rPr>
        <w:t>interviewer</w:t>
      </w:r>
      <w:r w:rsidRPr="00721E61">
        <w:rPr>
          <w:lang w:val="en-US"/>
        </w:rPr>
        <w:t xml:space="preserve"> covered, and if the circle is red, their data was removed.</w:t>
      </w:r>
      <w:r w:rsidR="00C43AD7" w:rsidRPr="00721E61">
        <w:rPr>
          <w:lang w:val="en-US"/>
        </w:rPr>
        <w:t xml:space="preserve"> Data from interviewers that never reported on fertilizer use were also removed (thus several red circles </w:t>
      </w:r>
      <w:r w:rsidR="00786012">
        <w:rPr>
          <w:lang w:val="en-US"/>
        </w:rPr>
        <w:t xml:space="preserve">are </w:t>
      </w:r>
      <w:r w:rsidR="00C43AD7" w:rsidRPr="00721E61">
        <w:rPr>
          <w:lang w:val="en-US"/>
        </w:rPr>
        <w:t>at the 0,0).</w:t>
      </w:r>
    </w:p>
    <w:p w14:paraId="18C6BC6B" w14:textId="32DDEBD6" w:rsidR="00916147" w:rsidRDefault="004E589B">
      <w:pPr>
        <w:rPr>
          <w:lang w:val="en-US"/>
        </w:rPr>
      </w:pPr>
      <w:r>
        <w:rPr>
          <w:lang w:val="en-US"/>
        </w:rPr>
        <w:t>In addition to the above,</w:t>
      </w:r>
      <w:r w:rsidR="00F147FE">
        <w:rPr>
          <w:lang w:val="en-US"/>
        </w:rPr>
        <w:t xml:space="preserve"> </w:t>
      </w:r>
      <w:r>
        <w:rPr>
          <w:lang w:val="en-US"/>
        </w:rPr>
        <w:t xml:space="preserve">we also </w:t>
      </w:r>
      <w:r w:rsidR="00F147FE">
        <w:rPr>
          <w:lang w:val="en-US"/>
        </w:rPr>
        <w:t>remove</w:t>
      </w:r>
      <w:r w:rsidR="00DE0C9E">
        <w:rPr>
          <w:lang w:val="en-US"/>
        </w:rPr>
        <w:t>d</w:t>
      </w:r>
      <w:r w:rsidR="00F147FE">
        <w:rPr>
          <w:lang w:val="en-US"/>
        </w:rPr>
        <w:t xml:space="preserve"> </w:t>
      </w:r>
      <w:r>
        <w:rPr>
          <w:lang w:val="en-US"/>
        </w:rPr>
        <w:t xml:space="preserve">all </w:t>
      </w:r>
      <w:r w:rsidR="00AD53B2">
        <w:rPr>
          <w:lang w:val="en-US"/>
        </w:rPr>
        <w:t>reported ties</w:t>
      </w:r>
      <w:r w:rsidR="00F147FE">
        <w:rPr>
          <w:lang w:val="en-US"/>
        </w:rPr>
        <w:t xml:space="preserve"> sampled before the date </w:t>
      </w:r>
      <w:r>
        <w:rPr>
          <w:lang w:val="en-US"/>
        </w:rPr>
        <w:t>of</w:t>
      </w:r>
      <w:r w:rsidR="00F147FE">
        <w:rPr>
          <w:lang w:val="en-US"/>
        </w:rPr>
        <w:t xml:space="preserve"> </w:t>
      </w:r>
      <w:r w:rsidR="00916147">
        <w:rPr>
          <w:lang w:val="en-US"/>
        </w:rPr>
        <w:t xml:space="preserve">a </w:t>
      </w:r>
      <w:r w:rsidR="00F147FE">
        <w:rPr>
          <w:lang w:val="en-US"/>
        </w:rPr>
        <w:t>training event</w:t>
      </w:r>
      <w:r>
        <w:rPr>
          <w:lang w:val="en-US"/>
        </w:rPr>
        <w:t xml:space="preserve">. The training event was set up to </w:t>
      </w:r>
      <w:r w:rsidR="00916147">
        <w:rPr>
          <w:lang w:val="en-US"/>
        </w:rPr>
        <w:t>elaborate</w:t>
      </w:r>
      <w:r>
        <w:rPr>
          <w:lang w:val="en-US"/>
        </w:rPr>
        <w:t xml:space="preserve"> the interviewers’ first experiences in the field, and </w:t>
      </w:r>
      <w:r w:rsidR="00916147">
        <w:rPr>
          <w:lang w:val="en-US"/>
        </w:rPr>
        <w:t xml:space="preserve">to jointly sort out different issues being raised. Since this was a crucial step in ensuring cross-interviewer reliability, </w:t>
      </w:r>
      <w:r w:rsidR="00AD53B2">
        <w:rPr>
          <w:lang w:val="en-US"/>
        </w:rPr>
        <w:t xml:space="preserve">social </w:t>
      </w:r>
      <w:r w:rsidR="00916147">
        <w:rPr>
          <w:lang w:val="en-US"/>
        </w:rPr>
        <w:t xml:space="preserve">data gathered before this event was considered unreliable and therefore removed. </w:t>
      </w:r>
      <w:r w:rsidR="00AD53B2">
        <w:rPr>
          <w:lang w:val="en-US"/>
        </w:rPr>
        <w:t xml:space="preserve">If any village had more than 10% of its reported ties removed due to this procedure, the village was removed in its entirely (equivalent to requiring a 90% </w:t>
      </w:r>
      <w:r w:rsidR="00931225">
        <w:rPr>
          <w:lang w:val="en-US"/>
        </w:rPr>
        <w:t xml:space="preserve">valid </w:t>
      </w:r>
      <w:r w:rsidR="00AD53B2">
        <w:rPr>
          <w:lang w:val="en-US"/>
        </w:rPr>
        <w:t>response rate</w:t>
      </w:r>
      <w:r w:rsidR="00931225">
        <w:rPr>
          <w:lang w:val="en-US"/>
        </w:rPr>
        <w:t>, albeit the true response rate could be lower since there could, in spite of best efforts by the enumerators, exist a few farmers that were never interviewed</w:t>
      </w:r>
      <w:r w:rsidR="00AD53B2">
        <w:rPr>
          <w:lang w:val="en-US"/>
        </w:rPr>
        <w:t>)</w:t>
      </w:r>
      <w:r w:rsidR="00931225">
        <w:rPr>
          <w:lang w:val="en-US"/>
        </w:rPr>
        <w:t>.</w:t>
      </w:r>
    </w:p>
    <w:p w14:paraId="0006E111" w14:textId="186C22C1" w:rsidR="00AD53B2" w:rsidRDefault="00AD53B2">
      <w:pPr>
        <w:rPr>
          <w:lang w:val="en-US"/>
        </w:rPr>
      </w:pPr>
      <w:r>
        <w:rPr>
          <w:lang w:val="en-US"/>
        </w:rPr>
        <w:t xml:space="preserve">Finally, we excluded villages with less than 10 farmers, and with a mean degree centrality less than 0.1 (essentially no reported ties) </w:t>
      </w:r>
    </w:p>
    <w:p w14:paraId="6D631250" w14:textId="5FAF9DB7" w:rsidR="00A54DAD" w:rsidRDefault="00A54DAD">
      <w:pPr>
        <w:rPr>
          <w:lang w:val="en-US"/>
        </w:rPr>
      </w:pPr>
      <w:r>
        <w:rPr>
          <w:lang w:val="en-US"/>
        </w:rPr>
        <w:t>After th</w:t>
      </w:r>
      <w:r w:rsidR="00C8780D">
        <w:rPr>
          <w:lang w:val="en-US"/>
        </w:rPr>
        <w:t xml:space="preserve">ese measures had been taken, 30 </w:t>
      </w:r>
      <w:r>
        <w:rPr>
          <w:lang w:val="en-US"/>
        </w:rPr>
        <w:t xml:space="preserve">networks remained out of the original </w:t>
      </w:r>
      <w:r w:rsidR="00C8780D">
        <w:rPr>
          <w:lang w:val="en-US"/>
        </w:rPr>
        <w:t>175</w:t>
      </w:r>
      <w:r>
        <w:rPr>
          <w:lang w:val="en-US"/>
        </w:rPr>
        <w:t xml:space="preserve">. </w:t>
      </w:r>
      <w:r w:rsidR="00AE158E">
        <w:rPr>
          <w:lang w:val="en-US"/>
        </w:rPr>
        <w:t>Before any data was removed due to potentially unreliable estimations of fertilizer use (but still removing small or very sparsely connected networks, and villages where were data was gathered before the training event), 70 networks remained. Hence, 105 villages were removed due to data being gathered before the training event, or being too small, or to sparsely connected.</w:t>
      </w:r>
    </w:p>
    <w:p w14:paraId="520CEBEA" w14:textId="3C7CD863" w:rsidR="00F95F1D" w:rsidRDefault="00E72424">
      <w:pPr>
        <w:rPr>
          <w:lang w:val="en-US"/>
        </w:rPr>
      </w:pPr>
      <w:r>
        <w:rPr>
          <w:lang w:val="en-US"/>
        </w:rPr>
        <w:t>We acknowledge that these measures have likely removed certain amounts of perfectly valid data. But nonetheless, in balancing the value of having more data at out disposals for subsequent analyses with the uncertainties that follow from potentially unreliable data, we opted for this rather strict approach.</w:t>
      </w:r>
      <w:r w:rsidR="00AD53B2">
        <w:rPr>
          <w:lang w:val="en-US"/>
        </w:rPr>
        <w:t xml:space="preserve"> Further, we argue that the measures </w:t>
      </w:r>
      <w:r w:rsidR="00E1476D">
        <w:rPr>
          <w:lang w:val="en-US"/>
        </w:rPr>
        <w:t xml:space="preserve">taken to select the sample of 30 networks used for </w:t>
      </w:r>
      <w:r w:rsidR="00E1476D">
        <w:rPr>
          <w:lang w:val="en-US"/>
        </w:rPr>
        <w:lastRenderedPageBreak/>
        <w:t xml:space="preserve">the present study </w:t>
      </w:r>
      <w:r w:rsidR="00AE158E">
        <w:rPr>
          <w:lang w:val="en-US"/>
        </w:rPr>
        <w:t>out of the 70 networks (i.e. before excluding data due to potentially unreliable estimations of fertilizer use –</w:t>
      </w:r>
      <w:r w:rsidR="008E5CA6">
        <w:rPr>
          <w:lang w:val="en-US"/>
        </w:rPr>
        <w:t xml:space="preserve"> which we argue is the most critical</w:t>
      </w:r>
      <w:r w:rsidR="00AE158E">
        <w:rPr>
          <w:lang w:val="en-US"/>
        </w:rPr>
        <w:t xml:space="preserve"> filtering procedure</w:t>
      </w:r>
      <w:r w:rsidR="008E5CA6">
        <w:rPr>
          <w:lang w:val="en-US"/>
        </w:rPr>
        <w:t xml:space="preserve"> since the other filtering procedures, in practice, only removed </w:t>
      </w:r>
      <w:r w:rsidR="00786012">
        <w:rPr>
          <w:lang w:val="en-US"/>
        </w:rPr>
        <w:t xml:space="preserve">villages with </w:t>
      </w:r>
      <w:r w:rsidR="008E5CA6">
        <w:rPr>
          <w:lang w:val="en-US"/>
        </w:rPr>
        <w:t>incomplete</w:t>
      </w:r>
      <w:r w:rsidR="00786012">
        <w:rPr>
          <w:lang w:val="en-US"/>
        </w:rPr>
        <w:t>, tiny,</w:t>
      </w:r>
      <w:r w:rsidR="008E5CA6">
        <w:rPr>
          <w:lang w:val="en-US"/>
        </w:rPr>
        <w:t xml:space="preserve"> or </w:t>
      </w:r>
      <w:r w:rsidR="00786012">
        <w:rPr>
          <w:lang w:val="en-US"/>
        </w:rPr>
        <w:t xml:space="preserve">unquestionable </w:t>
      </w:r>
      <w:r w:rsidR="008E5CA6">
        <w:rPr>
          <w:lang w:val="en-US"/>
        </w:rPr>
        <w:t>erroneous data</w:t>
      </w:r>
      <w:r w:rsidR="00AE158E">
        <w:rPr>
          <w:lang w:val="en-US"/>
        </w:rPr>
        <w:t xml:space="preserve">) </w:t>
      </w:r>
      <w:r w:rsidR="00AD53B2">
        <w:rPr>
          <w:lang w:val="en-US"/>
        </w:rPr>
        <w:t xml:space="preserve">did not introduce any </w:t>
      </w:r>
      <w:r w:rsidR="00FC6EB0">
        <w:rPr>
          <w:lang w:val="en-US"/>
        </w:rPr>
        <w:t xml:space="preserve">substantial </w:t>
      </w:r>
      <w:r w:rsidR="00AD53B2">
        <w:rPr>
          <w:lang w:val="en-US"/>
        </w:rPr>
        <w:t xml:space="preserve">biases in terms of favoring villages </w:t>
      </w:r>
      <w:r w:rsidR="008E5CA6">
        <w:rPr>
          <w:lang w:val="en-US"/>
        </w:rPr>
        <w:t xml:space="preserve">with networks that differed from the more complete sample </w:t>
      </w:r>
      <w:r w:rsidR="00AE158E">
        <w:rPr>
          <w:lang w:val="en-US"/>
        </w:rPr>
        <w:t>(see table S1</w:t>
      </w:r>
      <w:r w:rsidR="008E5CA6">
        <w:rPr>
          <w:lang w:val="en-US"/>
        </w:rPr>
        <w:t xml:space="preserve"> – all means in </w:t>
      </w:r>
      <w:r w:rsidR="00D51887">
        <w:rPr>
          <w:lang w:val="en-US"/>
        </w:rPr>
        <w:t>the fully filtered</w:t>
      </w:r>
      <w:r w:rsidR="008E5CA6">
        <w:rPr>
          <w:lang w:val="en-US"/>
        </w:rPr>
        <w:t xml:space="preserve"> group are well within the standard deviations in the </w:t>
      </w:r>
      <w:r w:rsidR="00D51887">
        <w:rPr>
          <w:lang w:val="en-US"/>
        </w:rPr>
        <w:t>less filtered</w:t>
      </w:r>
      <w:r w:rsidR="008E5CA6">
        <w:rPr>
          <w:lang w:val="en-US"/>
        </w:rPr>
        <w:t xml:space="preserve"> group</w:t>
      </w:r>
      <w:r w:rsidR="000610C3">
        <w:rPr>
          <w:lang w:val="en-US"/>
        </w:rPr>
        <w:t xml:space="preserve"> as well as the group of excluded villages</w:t>
      </w:r>
      <w:r w:rsidR="00AE158E">
        <w:rPr>
          <w:lang w:val="en-US"/>
        </w:rPr>
        <w:t>)</w:t>
      </w:r>
      <w:r w:rsidR="00AD53B2">
        <w:rPr>
          <w:lang w:val="en-US"/>
        </w:rPr>
        <w:t xml:space="preserve">. </w:t>
      </w:r>
    </w:p>
    <w:p w14:paraId="61D28890" w14:textId="3D2B4716" w:rsidR="00F95F1D" w:rsidRDefault="00F95F1D">
      <w:pPr>
        <w:rPr>
          <w:lang w:val="en-US"/>
        </w:rPr>
      </w:pPr>
      <w:r w:rsidRPr="00721E61">
        <w:rPr>
          <w:b/>
          <w:lang w:val="en-US"/>
        </w:rPr>
        <w:t xml:space="preserve">Table S1 – </w:t>
      </w:r>
      <w:r w:rsidR="00540FF5" w:rsidRPr="00721E61">
        <w:rPr>
          <w:b/>
          <w:lang w:val="en-US"/>
        </w:rPr>
        <w:t>Descriptive network statistics.</w:t>
      </w:r>
      <w:r w:rsidR="00540FF5">
        <w:rPr>
          <w:lang w:val="en-US"/>
        </w:rPr>
        <w:t xml:space="preserve"> The table presents d</w:t>
      </w:r>
      <w:r>
        <w:rPr>
          <w:lang w:val="en-US"/>
        </w:rPr>
        <w:t xml:space="preserve">escriptive statistics of the </w:t>
      </w:r>
      <w:r w:rsidR="00AE158E">
        <w:rPr>
          <w:lang w:val="en-US"/>
        </w:rPr>
        <w:t xml:space="preserve">fully </w:t>
      </w:r>
      <w:r>
        <w:rPr>
          <w:lang w:val="en-US"/>
        </w:rPr>
        <w:t>cleaned dataset, the dataset where no data was removed due to potentially unreliable estimations of fertilizer use</w:t>
      </w:r>
      <w:r w:rsidR="000610C3">
        <w:rPr>
          <w:lang w:val="en-US"/>
        </w:rPr>
        <w:t xml:space="preserve">, and the excluded data </w:t>
      </w:r>
      <w:r w:rsidR="008E5CA6">
        <w:rPr>
          <w:lang w:val="en-US"/>
        </w:rPr>
        <w:t>(standard deviations within parenthesis)</w:t>
      </w:r>
      <w:r>
        <w:rPr>
          <w:lang w:val="en-US"/>
        </w:rPr>
        <w:t>.</w:t>
      </w:r>
    </w:p>
    <w:tbl>
      <w:tblPr>
        <w:tblStyle w:val="TableGrid"/>
        <w:tblW w:w="0" w:type="auto"/>
        <w:tblLook w:val="04A0" w:firstRow="1" w:lastRow="0" w:firstColumn="1" w:lastColumn="0" w:noHBand="0" w:noVBand="1"/>
      </w:tblPr>
      <w:tblGrid>
        <w:gridCol w:w="2434"/>
        <w:gridCol w:w="2261"/>
        <w:gridCol w:w="2330"/>
        <w:gridCol w:w="1991"/>
      </w:tblGrid>
      <w:tr w:rsidR="000610C3" w14:paraId="306D705D" w14:textId="6A483636" w:rsidTr="00721E61">
        <w:tc>
          <w:tcPr>
            <w:tcW w:w="2434" w:type="dxa"/>
          </w:tcPr>
          <w:p w14:paraId="0548DB48" w14:textId="7D60338B" w:rsidR="000610C3" w:rsidRPr="00721E61" w:rsidRDefault="000610C3" w:rsidP="00D931F7">
            <w:pPr>
              <w:rPr>
                <w:b/>
                <w:lang w:val="en-US"/>
              </w:rPr>
            </w:pPr>
            <w:r w:rsidRPr="00721E61">
              <w:rPr>
                <w:b/>
                <w:lang w:val="en-US"/>
              </w:rPr>
              <w:t>Network metric</w:t>
            </w:r>
          </w:p>
        </w:tc>
        <w:tc>
          <w:tcPr>
            <w:tcW w:w="2261" w:type="dxa"/>
          </w:tcPr>
          <w:p w14:paraId="57110177" w14:textId="7002BD8C" w:rsidR="000610C3" w:rsidRPr="00721E61" w:rsidRDefault="000610C3">
            <w:pPr>
              <w:rPr>
                <w:b/>
                <w:lang w:val="en-US"/>
              </w:rPr>
            </w:pPr>
            <w:r w:rsidRPr="00721E61">
              <w:rPr>
                <w:b/>
                <w:lang w:val="en-US"/>
              </w:rPr>
              <w:t>Filtered</w:t>
            </w:r>
            <w:r>
              <w:rPr>
                <w:b/>
                <w:lang w:val="en-US"/>
              </w:rPr>
              <w:t xml:space="preserve"> data</w:t>
            </w:r>
            <w:r w:rsidRPr="00721E61">
              <w:rPr>
                <w:b/>
                <w:lang w:val="en-US"/>
              </w:rPr>
              <w:t xml:space="preserve"> </w:t>
            </w:r>
            <w:r w:rsidR="00540FF5">
              <w:rPr>
                <w:b/>
                <w:lang w:val="en-US"/>
              </w:rPr>
              <w:t xml:space="preserve">used for all analyses </w:t>
            </w:r>
            <w:r w:rsidRPr="00721E61">
              <w:rPr>
                <w:b/>
                <w:lang w:val="en-US"/>
              </w:rPr>
              <w:t>(30 villages)</w:t>
            </w:r>
          </w:p>
        </w:tc>
        <w:tc>
          <w:tcPr>
            <w:tcW w:w="2330" w:type="dxa"/>
          </w:tcPr>
          <w:p w14:paraId="427227CB" w14:textId="3021311E" w:rsidR="000610C3" w:rsidRPr="00721E61" w:rsidRDefault="000610C3">
            <w:pPr>
              <w:rPr>
                <w:b/>
                <w:lang w:val="en-US"/>
              </w:rPr>
            </w:pPr>
            <w:r w:rsidRPr="00721E61">
              <w:rPr>
                <w:b/>
                <w:lang w:val="en-US"/>
              </w:rPr>
              <w:t xml:space="preserve">Unfiltered </w:t>
            </w:r>
            <w:r>
              <w:rPr>
                <w:b/>
                <w:lang w:val="en-US"/>
              </w:rPr>
              <w:t xml:space="preserve">data </w:t>
            </w:r>
            <w:r w:rsidRPr="00721E61">
              <w:rPr>
                <w:b/>
                <w:lang w:val="en-US"/>
              </w:rPr>
              <w:t>(70 villages)</w:t>
            </w:r>
          </w:p>
        </w:tc>
        <w:tc>
          <w:tcPr>
            <w:tcW w:w="1991" w:type="dxa"/>
          </w:tcPr>
          <w:p w14:paraId="6F54B7EA" w14:textId="091D45B6" w:rsidR="000610C3" w:rsidRPr="00D931F7" w:rsidRDefault="000610C3">
            <w:pPr>
              <w:rPr>
                <w:b/>
                <w:lang w:val="en-US"/>
              </w:rPr>
            </w:pPr>
            <w:r>
              <w:rPr>
                <w:b/>
                <w:lang w:val="en-US"/>
              </w:rPr>
              <w:t>Removed data (40 villages)</w:t>
            </w:r>
          </w:p>
        </w:tc>
      </w:tr>
      <w:tr w:rsidR="000610C3" w14:paraId="0BDCCCCC" w14:textId="20208758" w:rsidTr="00721E61">
        <w:tc>
          <w:tcPr>
            <w:tcW w:w="2434" w:type="dxa"/>
          </w:tcPr>
          <w:p w14:paraId="717C5C8D" w14:textId="7C00F5E9" w:rsidR="000610C3" w:rsidRDefault="000610C3">
            <w:pPr>
              <w:rPr>
                <w:lang w:val="en-US"/>
              </w:rPr>
            </w:pPr>
            <w:r>
              <w:rPr>
                <w:lang w:val="en-US"/>
              </w:rPr>
              <w:t>Mean network size</w:t>
            </w:r>
          </w:p>
        </w:tc>
        <w:tc>
          <w:tcPr>
            <w:tcW w:w="2261" w:type="dxa"/>
          </w:tcPr>
          <w:p w14:paraId="4AF772FA" w14:textId="02D21BF0" w:rsidR="000610C3" w:rsidRDefault="000610C3">
            <w:pPr>
              <w:rPr>
                <w:lang w:val="en-US"/>
              </w:rPr>
            </w:pPr>
            <w:r>
              <w:rPr>
                <w:lang w:val="en-US"/>
              </w:rPr>
              <w:t>91.1 (65.5)</w:t>
            </w:r>
          </w:p>
        </w:tc>
        <w:tc>
          <w:tcPr>
            <w:tcW w:w="2330" w:type="dxa"/>
          </w:tcPr>
          <w:p w14:paraId="1202AE13" w14:textId="2150D0D1" w:rsidR="000610C3" w:rsidRDefault="000610C3">
            <w:pPr>
              <w:rPr>
                <w:lang w:val="en-US"/>
              </w:rPr>
            </w:pPr>
            <w:r>
              <w:rPr>
                <w:lang w:val="en-US"/>
              </w:rPr>
              <w:t>73.5 (57.6)</w:t>
            </w:r>
          </w:p>
        </w:tc>
        <w:tc>
          <w:tcPr>
            <w:tcW w:w="1991" w:type="dxa"/>
          </w:tcPr>
          <w:p w14:paraId="1AF4EDD9" w14:textId="19984E22" w:rsidR="000610C3" w:rsidRDefault="000610C3">
            <w:pPr>
              <w:rPr>
                <w:lang w:val="en-US"/>
              </w:rPr>
            </w:pPr>
            <w:r>
              <w:rPr>
                <w:lang w:val="en-US"/>
              </w:rPr>
              <w:t>60.3 (47.6)</w:t>
            </w:r>
          </w:p>
        </w:tc>
      </w:tr>
      <w:tr w:rsidR="000610C3" w14:paraId="4FB8F741" w14:textId="41555E1F" w:rsidTr="00721E61">
        <w:tc>
          <w:tcPr>
            <w:tcW w:w="2434" w:type="dxa"/>
          </w:tcPr>
          <w:p w14:paraId="30A962EF" w14:textId="2C75F46D" w:rsidR="000610C3" w:rsidRDefault="000610C3">
            <w:pPr>
              <w:rPr>
                <w:lang w:val="en-US"/>
              </w:rPr>
            </w:pPr>
            <w:r>
              <w:rPr>
                <w:lang w:val="en-US"/>
              </w:rPr>
              <w:t>Mean degree</w:t>
            </w:r>
          </w:p>
        </w:tc>
        <w:tc>
          <w:tcPr>
            <w:tcW w:w="2261" w:type="dxa"/>
          </w:tcPr>
          <w:p w14:paraId="6D4546D5" w14:textId="3467E72A" w:rsidR="000610C3" w:rsidRDefault="000610C3">
            <w:pPr>
              <w:rPr>
                <w:lang w:val="en-US"/>
              </w:rPr>
            </w:pPr>
            <w:r>
              <w:rPr>
                <w:lang w:val="en-US"/>
              </w:rPr>
              <w:t>2.29 (0.58)</w:t>
            </w:r>
          </w:p>
        </w:tc>
        <w:tc>
          <w:tcPr>
            <w:tcW w:w="2330" w:type="dxa"/>
          </w:tcPr>
          <w:p w14:paraId="15BB5BAF" w14:textId="1C064C12" w:rsidR="000610C3" w:rsidRDefault="000610C3">
            <w:pPr>
              <w:rPr>
                <w:lang w:val="en-US"/>
              </w:rPr>
            </w:pPr>
            <w:r>
              <w:rPr>
                <w:lang w:val="en-US"/>
              </w:rPr>
              <w:t>2.42 (0.58)</w:t>
            </w:r>
          </w:p>
        </w:tc>
        <w:tc>
          <w:tcPr>
            <w:tcW w:w="1991" w:type="dxa"/>
          </w:tcPr>
          <w:p w14:paraId="03089F43" w14:textId="63CB201C" w:rsidR="000610C3" w:rsidRDefault="000610C3">
            <w:pPr>
              <w:rPr>
                <w:lang w:val="en-US"/>
              </w:rPr>
            </w:pPr>
            <w:r>
              <w:rPr>
                <w:lang w:val="en-US"/>
              </w:rPr>
              <w:t>2.52 (0.57)</w:t>
            </w:r>
          </w:p>
        </w:tc>
      </w:tr>
      <w:tr w:rsidR="000610C3" w14:paraId="3BAD78B2" w14:textId="7CD27234" w:rsidTr="00721E61">
        <w:tc>
          <w:tcPr>
            <w:tcW w:w="2434" w:type="dxa"/>
          </w:tcPr>
          <w:p w14:paraId="05F258AD" w14:textId="35F54920" w:rsidR="000610C3" w:rsidRDefault="000610C3">
            <w:pPr>
              <w:rPr>
                <w:lang w:val="en-US"/>
              </w:rPr>
            </w:pPr>
            <w:r>
              <w:rPr>
                <w:lang w:val="en-US"/>
              </w:rPr>
              <w:t>Mean centralization</w:t>
            </w:r>
          </w:p>
        </w:tc>
        <w:tc>
          <w:tcPr>
            <w:tcW w:w="2261" w:type="dxa"/>
          </w:tcPr>
          <w:p w14:paraId="3D409314" w14:textId="72E4312E" w:rsidR="000610C3" w:rsidRDefault="000610C3">
            <w:pPr>
              <w:rPr>
                <w:lang w:val="en-US"/>
              </w:rPr>
            </w:pPr>
            <w:r>
              <w:rPr>
                <w:lang w:val="en-US"/>
              </w:rPr>
              <w:t>0.33 (0.20)</w:t>
            </w:r>
          </w:p>
        </w:tc>
        <w:tc>
          <w:tcPr>
            <w:tcW w:w="2330" w:type="dxa"/>
          </w:tcPr>
          <w:p w14:paraId="715742E0" w14:textId="4103688B" w:rsidR="000610C3" w:rsidRDefault="000610C3">
            <w:pPr>
              <w:rPr>
                <w:lang w:val="en-US"/>
              </w:rPr>
            </w:pPr>
            <w:r>
              <w:rPr>
                <w:lang w:val="en-US"/>
              </w:rPr>
              <w:t>0.38 (0.21)</w:t>
            </w:r>
          </w:p>
        </w:tc>
        <w:tc>
          <w:tcPr>
            <w:tcW w:w="1991" w:type="dxa"/>
          </w:tcPr>
          <w:p w14:paraId="30741CD2" w14:textId="20FEB54C" w:rsidR="000610C3" w:rsidRDefault="000610C3">
            <w:pPr>
              <w:rPr>
                <w:lang w:val="en-US"/>
              </w:rPr>
            </w:pPr>
            <w:r>
              <w:rPr>
                <w:lang w:val="en-US"/>
              </w:rPr>
              <w:t>0.42 (0.21)</w:t>
            </w:r>
          </w:p>
        </w:tc>
      </w:tr>
      <w:tr w:rsidR="00FC6EB0" w14:paraId="1A297F95" w14:textId="77777777" w:rsidTr="000610C3">
        <w:tc>
          <w:tcPr>
            <w:tcW w:w="2434" w:type="dxa"/>
          </w:tcPr>
          <w:p w14:paraId="3A6A34A9" w14:textId="36D03E97" w:rsidR="00FC6EB0" w:rsidRDefault="00FC6EB0">
            <w:pPr>
              <w:rPr>
                <w:lang w:val="en-US"/>
              </w:rPr>
            </w:pPr>
            <w:r>
              <w:rPr>
                <w:lang w:val="en-US"/>
              </w:rPr>
              <w:t>Mean modularity</w:t>
            </w:r>
          </w:p>
        </w:tc>
        <w:tc>
          <w:tcPr>
            <w:tcW w:w="2261" w:type="dxa"/>
          </w:tcPr>
          <w:p w14:paraId="17731C40" w14:textId="1AE6C62F" w:rsidR="00FC6EB0" w:rsidRDefault="00FC6EB0">
            <w:pPr>
              <w:rPr>
                <w:lang w:val="en-US"/>
              </w:rPr>
            </w:pPr>
            <w:r>
              <w:rPr>
                <w:lang w:val="en-US"/>
              </w:rPr>
              <w:t>0.63 (0.19)</w:t>
            </w:r>
          </w:p>
        </w:tc>
        <w:tc>
          <w:tcPr>
            <w:tcW w:w="2330" w:type="dxa"/>
          </w:tcPr>
          <w:p w14:paraId="360F8975" w14:textId="10D1AA42" w:rsidR="00FC6EB0" w:rsidRDefault="00FC6EB0">
            <w:pPr>
              <w:rPr>
                <w:lang w:val="en-US"/>
              </w:rPr>
            </w:pPr>
            <w:r>
              <w:rPr>
                <w:lang w:val="en-US"/>
              </w:rPr>
              <w:t>0.57 (0.20)</w:t>
            </w:r>
          </w:p>
        </w:tc>
        <w:tc>
          <w:tcPr>
            <w:tcW w:w="1991" w:type="dxa"/>
          </w:tcPr>
          <w:p w14:paraId="0D192EEA" w14:textId="26D84E82" w:rsidR="00FC6EB0" w:rsidRDefault="00FC6EB0">
            <w:pPr>
              <w:rPr>
                <w:lang w:val="en-US"/>
              </w:rPr>
            </w:pPr>
            <w:r>
              <w:rPr>
                <w:lang w:val="en-US"/>
              </w:rPr>
              <w:t>0.52 (0.19)</w:t>
            </w:r>
          </w:p>
        </w:tc>
      </w:tr>
    </w:tbl>
    <w:p w14:paraId="1C987E31" w14:textId="3F39A425" w:rsidR="00782F03" w:rsidRDefault="00782F03">
      <w:pPr>
        <w:rPr>
          <w:lang w:val="en-US"/>
        </w:rPr>
      </w:pPr>
    </w:p>
    <w:p w14:paraId="7560A6DC" w14:textId="687270E0" w:rsidR="00782F03" w:rsidRPr="00721E61" w:rsidRDefault="00DF1BD5">
      <w:pPr>
        <w:rPr>
          <w:b/>
          <w:lang w:val="en-US"/>
        </w:rPr>
      </w:pPr>
      <w:r w:rsidRPr="00721E61">
        <w:rPr>
          <w:b/>
          <w:lang w:val="en-US"/>
        </w:rPr>
        <w:t xml:space="preserve">Multivariate regression </w:t>
      </w:r>
      <w:r w:rsidR="00540FF5">
        <w:rPr>
          <w:b/>
          <w:lang w:val="en-US"/>
        </w:rPr>
        <w:t>with</w:t>
      </w:r>
      <w:r w:rsidRPr="00721E61">
        <w:rPr>
          <w:b/>
          <w:lang w:val="en-US"/>
        </w:rPr>
        <w:t xml:space="preserve"> full set of controls</w:t>
      </w:r>
    </w:p>
    <w:p w14:paraId="2C5FB768" w14:textId="4A2D839B" w:rsidR="00DF1BD5" w:rsidRDefault="00DF1BD5">
      <w:pPr>
        <w:rPr>
          <w:lang w:val="en-US"/>
        </w:rPr>
      </w:pPr>
      <w:r>
        <w:rPr>
          <w:lang w:val="en-US"/>
        </w:rPr>
        <w:t xml:space="preserve">In table </w:t>
      </w:r>
      <w:r w:rsidR="00540FF5">
        <w:rPr>
          <w:lang w:val="en-US"/>
        </w:rPr>
        <w:t>S</w:t>
      </w:r>
      <w:r>
        <w:rPr>
          <w:lang w:val="en-US"/>
        </w:rPr>
        <w:t>2 we present the regression results where all controls were included (although note that modularity and centralization are strong correlated, the Pearson correlation coefficient is -0.85)</w:t>
      </w:r>
    </w:p>
    <w:p w14:paraId="41BB6B78" w14:textId="2472C4DA" w:rsidR="00DF1BD5" w:rsidRPr="00721E61" w:rsidRDefault="00DF1BD5" w:rsidP="00DF1BD5">
      <w:pPr>
        <w:rPr>
          <w:b/>
          <w:lang w:val="en-US"/>
        </w:rPr>
      </w:pPr>
      <w:r w:rsidRPr="00721E61">
        <w:rPr>
          <w:b/>
          <w:lang w:val="en-US"/>
        </w:rPr>
        <w:t>Table S2 - The relation between network structure and fertilizer adoption at the village level</w:t>
      </w:r>
    </w:p>
    <w:tbl>
      <w:tblPr>
        <w:tblW w:w="6379" w:type="dxa"/>
        <w:tblLook w:val="04A0" w:firstRow="1" w:lastRow="0" w:firstColumn="1" w:lastColumn="0" w:noHBand="0" w:noVBand="1"/>
      </w:tblPr>
      <w:tblGrid>
        <w:gridCol w:w="3402"/>
        <w:gridCol w:w="2977"/>
      </w:tblGrid>
      <w:tr w:rsidR="00DF1BD5" w:rsidRPr="00DF1BD5" w14:paraId="18BE7321" w14:textId="77777777" w:rsidTr="009704B4">
        <w:trPr>
          <w:trHeight w:val="288"/>
        </w:trPr>
        <w:tc>
          <w:tcPr>
            <w:tcW w:w="3402" w:type="dxa"/>
            <w:tcBorders>
              <w:top w:val="nil"/>
              <w:left w:val="nil"/>
              <w:bottom w:val="single" w:sz="4" w:space="0" w:color="auto"/>
              <w:right w:val="nil"/>
            </w:tcBorders>
            <w:shd w:val="clear" w:color="auto" w:fill="auto"/>
            <w:noWrap/>
            <w:vAlign w:val="bottom"/>
            <w:hideMark/>
          </w:tcPr>
          <w:p w14:paraId="4E16C212" w14:textId="77777777" w:rsidR="00DF1BD5" w:rsidRPr="00721E61" w:rsidRDefault="00DF1BD5" w:rsidP="009704B4">
            <w:pPr>
              <w:spacing w:after="0" w:line="240" w:lineRule="auto"/>
              <w:rPr>
                <w:rFonts w:ascii="Calibri" w:eastAsia="Times New Roman" w:hAnsi="Calibri" w:cs="Calibri"/>
                <w:color w:val="000000"/>
              </w:rPr>
            </w:pPr>
            <w:r w:rsidRPr="00721E61">
              <w:rPr>
                <w:rFonts w:ascii="Calibri" w:eastAsia="Times New Roman" w:hAnsi="Calibri" w:cs="Calibri"/>
                <w:color w:val="000000"/>
              </w:rPr>
              <w:t>Network structure</w:t>
            </w:r>
          </w:p>
        </w:tc>
        <w:tc>
          <w:tcPr>
            <w:tcW w:w="2977" w:type="dxa"/>
            <w:tcBorders>
              <w:top w:val="nil"/>
              <w:left w:val="nil"/>
              <w:bottom w:val="single" w:sz="4" w:space="0" w:color="auto"/>
              <w:right w:val="nil"/>
            </w:tcBorders>
            <w:shd w:val="clear" w:color="auto" w:fill="auto"/>
            <w:noWrap/>
            <w:vAlign w:val="bottom"/>
            <w:hideMark/>
          </w:tcPr>
          <w:p w14:paraId="5A200075" w14:textId="77777777" w:rsidR="00DF1BD5" w:rsidRPr="00721E61" w:rsidRDefault="00DF1BD5" w:rsidP="009704B4">
            <w:pPr>
              <w:spacing w:after="0" w:line="240" w:lineRule="auto"/>
              <w:jc w:val="center"/>
              <w:rPr>
                <w:rFonts w:ascii="Calibri" w:eastAsia="Times New Roman" w:hAnsi="Calibri" w:cs="Calibri"/>
                <w:color w:val="000000"/>
              </w:rPr>
            </w:pPr>
            <w:r w:rsidRPr="00721E61">
              <w:rPr>
                <w:rFonts w:ascii="Calibri" w:eastAsia="Times New Roman" w:hAnsi="Calibri" w:cs="Calibri"/>
                <w:color w:val="000000"/>
              </w:rPr>
              <w:t>Coefficients (SE in parenthesis)</w:t>
            </w:r>
          </w:p>
        </w:tc>
      </w:tr>
      <w:tr w:rsidR="00DF1BD5" w:rsidRPr="00DF1BD5" w14:paraId="200814BE" w14:textId="77777777" w:rsidTr="009704B4">
        <w:trPr>
          <w:trHeight w:val="288"/>
        </w:trPr>
        <w:tc>
          <w:tcPr>
            <w:tcW w:w="3402" w:type="dxa"/>
            <w:tcBorders>
              <w:top w:val="nil"/>
              <w:left w:val="nil"/>
              <w:bottom w:val="nil"/>
              <w:right w:val="nil"/>
            </w:tcBorders>
            <w:shd w:val="clear" w:color="auto" w:fill="auto"/>
            <w:noWrap/>
            <w:vAlign w:val="bottom"/>
            <w:hideMark/>
          </w:tcPr>
          <w:p w14:paraId="5D537EAC" w14:textId="77777777" w:rsidR="00DF1BD5" w:rsidRPr="00721E61" w:rsidRDefault="00DF1BD5" w:rsidP="009704B4">
            <w:pPr>
              <w:spacing w:after="0" w:line="240" w:lineRule="auto"/>
              <w:rPr>
                <w:rFonts w:ascii="Calibri" w:eastAsia="Times New Roman" w:hAnsi="Calibri" w:cs="Calibri"/>
                <w:color w:val="000000"/>
              </w:rPr>
            </w:pPr>
            <w:r w:rsidRPr="00721E61">
              <w:rPr>
                <w:rFonts w:ascii="Calibri" w:eastAsia="Times New Roman" w:hAnsi="Calibri" w:cs="Calibri"/>
                <w:color w:val="000000"/>
              </w:rPr>
              <w:t>Centralization (Freeman degree, log)</w:t>
            </w:r>
          </w:p>
        </w:tc>
        <w:tc>
          <w:tcPr>
            <w:tcW w:w="2977" w:type="dxa"/>
            <w:tcBorders>
              <w:top w:val="nil"/>
              <w:left w:val="nil"/>
              <w:bottom w:val="nil"/>
              <w:right w:val="nil"/>
            </w:tcBorders>
            <w:shd w:val="clear" w:color="auto" w:fill="auto"/>
            <w:noWrap/>
            <w:vAlign w:val="bottom"/>
            <w:hideMark/>
          </w:tcPr>
          <w:p w14:paraId="672F6379" w14:textId="77777777" w:rsidR="00DF1BD5" w:rsidRPr="00721E61" w:rsidRDefault="00DF1BD5" w:rsidP="009704B4">
            <w:pPr>
              <w:spacing w:after="0" w:line="240" w:lineRule="auto"/>
              <w:jc w:val="center"/>
              <w:rPr>
                <w:rFonts w:ascii="Calibri" w:eastAsia="Times New Roman" w:hAnsi="Calibri" w:cs="Calibri"/>
                <w:color w:val="000000"/>
              </w:rPr>
            </w:pPr>
            <w:r w:rsidRPr="00721E61">
              <w:rPr>
                <w:rFonts w:ascii="Calibri" w:eastAsia="Times New Roman" w:hAnsi="Calibri" w:cs="Calibri"/>
                <w:color w:val="000000"/>
              </w:rPr>
              <w:t>-0.181(0.0754)*</w:t>
            </w:r>
          </w:p>
        </w:tc>
      </w:tr>
      <w:tr w:rsidR="00DF1BD5" w:rsidRPr="00DF1BD5" w14:paraId="30324597" w14:textId="77777777" w:rsidTr="009704B4">
        <w:trPr>
          <w:trHeight w:val="288"/>
        </w:trPr>
        <w:tc>
          <w:tcPr>
            <w:tcW w:w="3402" w:type="dxa"/>
            <w:tcBorders>
              <w:top w:val="nil"/>
              <w:left w:val="nil"/>
              <w:bottom w:val="nil"/>
              <w:right w:val="nil"/>
            </w:tcBorders>
            <w:shd w:val="clear" w:color="auto" w:fill="auto"/>
            <w:noWrap/>
            <w:vAlign w:val="bottom"/>
          </w:tcPr>
          <w:p w14:paraId="71107332" w14:textId="77777777" w:rsidR="00DF1BD5" w:rsidRPr="00721E61" w:rsidRDefault="00DF1BD5" w:rsidP="009704B4">
            <w:pPr>
              <w:spacing w:after="0" w:line="240" w:lineRule="auto"/>
              <w:rPr>
                <w:rFonts w:ascii="Calibri" w:eastAsia="Times New Roman" w:hAnsi="Calibri" w:cs="Calibri"/>
                <w:color w:val="000000"/>
              </w:rPr>
            </w:pPr>
            <w:r w:rsidRPr="00721E61">
              <w:rPr>
                <w:rFonts w:ascii="Calibri" w:eastAsia="Times New Roman" w:hAnsi="Calibri" w:cs="Calibri"/>
                <w:color w:val="000000"/>
              </w:rPr>
              <w:t>Modularity (Cluster coefficient)</w:t>
            </w:r>
          </w:p>
        </w:tc>
        <w:tc>
          <w:tcPr>
            <w:tcW w:w="2977" w:type="dxa"/>
            <w:tcBorders>
              <w:top w:val="nil"/>
              <w:left w:val="nil"/>
              <w:bottom w:val="nil"/>
              <w:right w:val="nil"/>
            </w:tcBorders>
            <w:shd w:val="clear" w:color="auto" w:fill="auto"/>
            <w:noWrap/>
            <w:vAlign w:val="bottom"/>
          </w:tcPr>
          <w:p w14:paraId="1F202B85" w14:textId="77777777" w:rsidR="00DF1BD5" w:rsidRPr="00721E61" w:rsidRDefault="00DF1BD5" w:rsidP="009704B4">
            <w:pPr>
              <w:spacing w:after="0" w:line="240" w:lineRule="auto"/>
              <w:jc w:val="center"/>
              <w:rPr>
                <w:rFonts w:ascii="Calibri" w:eastAsia="Times New Roman" w:hAnsi="Calibri" w:cs="Calibri"/>
                <w:color w:val="000000"/>
              </w:rPr>
            </w:pPr>
            <w:r w:rsidRPr="00721E61">
              <w:rPr>
                <w:rFonts w:ascii="Calibri" w:eastAsia="Times New Roman" w:hAnsi="Calibri" w:cs="Calibri"/>
                <w:color w:val="000000"/>
              </w:rPr>
              <w:t>-0.00558 (0.246)</w:t>
            </w:r>
          </w:p>
        </w:tc>
      </w:tr>
      <w:tr w:rsidR="00DF1BD5" w:rsidRPr="00DF1BD5" w14:paraId="482C248B" w14:textId="77777777" w:rsidTr="009704B4">
        <w:trPr>
          <w:trHeight w:val="288"/>
        </w:trPr>
        <w:tc>
          <w:tcPr>
            <w:tcW w:w="3402" w:type="dxa"/>
            <w:tcBorders>
              <w:top w:val="nil"/>
              <w:left w:val="nil"/>
              <w:bottom w:val="nil"/>
              <w:right w:val="nil"/>
            </w:tcBorders>
            <w:shd w:val="clear" w:color="auto" w:fill="auto"/>
            <w:noWrap/>
            <w:vAlign w:val="bottom"/>
            <w:hideMark/>
          </w:tcPr>
          <w:p w14:paraId="13A47525" w14:textId="77777777" w:rsidR="00DF1BD5" w:rsidRPr="00721E61" w:rsidRDefault="00DF1BD5" w:rsidP="009704B4">
            <w:pPr>
              <w:spacing w:after="0" w:line="240" w:lineRule="auto"/>
              <w:rPr>
                <w:rFonts w:ascii="Calibri" w:eastAsia="Times New Roman" w:hAnsi="Calibri" w:cs="Calibri"/>
                <w:color w:val="000000"/>
                <w:lang w:val="en-US"/>
              </w:rPr>
            </w:pPr>
            <w:r w:rsidRPr="00721E61">
              <w:rPr>
                <w:rFonts w:ascii="Calibri" w:eastAsia="Times New Roman" w:hAnsi="Calibri" w:cs="Calibri"/>
                <w:color w:val="000000"/>
                <w:lang w:val="en-US"/>
              </w:rPr>
              <w:t>Network size (number of nodes)</w:t>
            </w:r>
          </w:p>
        </w:tc>
        <w:tc>
          <w:tcPr>
            <w:tcW w:w="2977" w:type="dxa"/>
            <w:tcBorders>
              <w:top w:val="nil"/>
              <w:left w:val="nil"/>
              <w:bottom w:val="nil"/>
              <w:right w:val="nil"/>
            </w:tcBorders>
            <w:shd w:val="clear" w:color="auto" w:fill="auto"/>
            <w:noWrap/>
            <w:vAlign w:val="bottom"/>
            <w:hideMark/>
          </w:tcPr>
          <w:p w14:paraId="272EC444" w14:textId="77777777" w:rsidR="00DF1BD5" w:rsidRPr="00721E61" w:rsidRDefault="00DF1BD5" w:rsidP="009704B4">
            <w:pPr>
              <w:spacing w:after="0" w:line="240" w:lineRule="auto"/>
              <w:jc w:val="center"/>
              <w:rPr>
                <w:rFonts w:ascii="Calibri" w:eastAsia="Times New Roman" w:hAnsi="Calibri" w:cs="Calibri"/>
                <w:color w:val="000000"/>
              </w:rPr>
            </w:pPr>
            <w:r w:rsidRPr="00721E61">
              <w:rPr>
                <w:rFonts w:ascii="Calibri" w:eastAsia="Times New Roman" w:hAnsi="Calibri" w:cs="Calibri"/>
                <w:color w:val="000000"/>
              </w:rPr>
              <w:t>0.0000874 (0.000369)</w:t>
            </w:r>
          </w:p>
        </w:tc>
      </w:tr>
      <w:tr w:rsidR="00DF1BD5" w:rsidRPr="00DF1BD5" w14:paraId="680755F4" w14:textId="77777777" w:rsidTr="009704B4">
        <w:trPr>
          <w:trHeight w:val="288"/>
        </w:trPr>
        <w:tc>
          <w:tcPr>
            <w:tcW w:w="3402" w:type="dxa"/>
            <w:tcBorders>
              <w:top w:val="nil"/>
              <w:left w:val="nil"/>
              <w:bottom w:val="single" w:sz="4" w:space="0" w:color="auto"/>
              <w:right w:val="nil"/>
            </w:tcBorders>
            <w:shd w:val="clear" w:color="auto" w:fill="auto"/>
            <w:noWrap/>
            <w:vAlign w:val="bottom"/>
            <w:hideMark/>
          </w:tcPr>
          <w:p w14:paraId="6082B90B" w14:textId="77777777" w:rsidR="00DF1BD5" w:rsidRPr="00721E61" w:rsidRDefault="00DF1BD5" w:rsidP="009704B4">
            <w:pPr>
              <w:spacing w:after="0" w:line="240" w:lineRule="auto"/>
              <w:rPr>
                <w:rFonts w:ascii="Calibri" w:eastAsia="Times New Roman" w:hAnsi="Calibri" w:cs="Calibri"/>
                <w:color w:val="000000"/>
              </w:rPr>
            </w:pPr>
            <w:r w:rsidRPr="00721E61">
              <w:rPr>
                <w:rFonts w:ascii="Calibri" w:eastAsia="Times New Roman" w:hAnsi="Calibri" w:cs="Calibri"/>
                <w:color w:val="000000"/>
              </w:rPr>
              <w:t>Network density (mean degree)</w:t>
            </w:r>
          </w:p>
        </w:tc>
        <w:tc>
          <w:tcPr>
            <w:tcW w:w="2977" w:type="dxa"/>
            <w:tcBorders>
              <w:top w:val="nil"/>
              <w:left w:val="nil"/>
              <w:bottom w:val="single" w:sz="4" w:space="0" w:color="auto"/>
              <w:right w:val="nil"/>
            </w:tcBorders>
            <w:shd w:val="clear" w:color="auto" w:fill="auto"/>
            <w:noWrap/>
            <w:vAlign w:val="bottom"/>
            <w:hideMark/>
          </w:tcPr>
          <w:p w14:paraId="1201BEF4" w14:textId="77777777" w:rsidR="00DF1BD5" w:rsidRPr="00721E61" w:rsidRDefault="00DF1BD5" w:rsidP="009704B4">
            <w:pPr>
              <w:spacing w:after="0" w:line="240" w:lineRule="auto"/>
              <w:jc w:val="center"/>
              <w:rPr>
                <w:rFonts w:ascii="Calibri" w:eastAsia="Times New Roman" w:hAnsi="Calibri" w:cs="Calibri"/>
                <w:color w:val="000000"/>
              </w:rPr>
            </w:pPr>
            <w:r w:rsidRPr="00721E61">
              <w:rPr>
                <w:rFonts w:ascii="Calibri" w:eastAsia="Times New Roman" w:hAnsi="Calibri" w:cs="Calibri"/>
                <w:color w:val="000000"/>
              </w:rPr>
              <w:t>0.0194 (0.0738)</w:t>
            </w:r>
          </w:p>
        </w:tc>
      </w:tr>
    </w:tbl>
    <w:p w14:paraId="08C0B5D4" w14:textId="1C8624F6" w:rsidR="00F147FE" w:rsidRDefault="00DF1BD5">
      <w:pPr>
        <w:rPr>
          <w:b/>
          <w:lang w:val="en-US"/>
        </w:rPr>
      </w:pPr>
      <w:r w:rsidRPr="00721E61">
        <w:rPr>
          <w:lang w:val="en-US"/>
        </w:rPr>
        <w:t xml:space="preserve">Linear regression with the dependent variable indicating village-level fertilizer adoption rates (0-1). N=30. *Significance at p&lt;0.05. To account for heteroscedasticity, the reported standard errors are based on the White-Huber sandwich estimator of variance (i.e. ‘robust’ standard error). </w:t>
      </w:r>
      <w:r w:rsidRPr="00DF1BD5">
        <w:rPr>
          <w:lang w:val="en-US"/>
        </w:rPr>
        <w:t>Adjusted R-squared is 0.</w:t>
      </w:r>
      <w:r>
        <w:rPr>
          <w:lang w:val="en-US"/>
        </w:rPr>
        <w:t>186</w:t>
      </w:r>
      <w:r w:rsidRPr="00DF1BD5">
        <w:rPr>
          <w:lang w:val="en-US"/>
        </w:rPr>
        <w:t>.</w:t>
      </w:r>
    </w:p>
    <w:p w14:paraId="72F55E3F" w14:textId="77777777" w:rsidR="00540FF5" w:rsidRDefault="00540FF5">
      <w:pPr>
        <w:rPr>
          <w:b/>
          <w:lang w:val="en-US"/>
        </w:rPr>
      </w:pPr>
    </w:p>
    <w:p w14:paraId="4489E852" w14:textId="09614088" w:rsidR="00EA1660" w:rsidRPr="00EA1660" w:rsidRDefault="000A3727">
      <w:pPr>
        <w:rPr>
          <w:b/>
          <w:lang w:val="en-US"/>
        </w:rPr>
      </w:pPr>
      <w:r>
        <w:rPr>
          <w:b/>
          <w:lang w:val="en-US"/>
        </w:rPr>
        <w:t xml:space="preserve">Simulating social influence mechanisms using Agent Based Modeling (ABM) </w:t>
      </w:r>
    </w:p>
    <w:p w14:paraId="79A26B53" w14:textId="0635C57F" w:rsidR="00EA1660" w:rsidRDefault="00EA1660">
      <w:pPr>
        <w:rPr>
          <w:lang w:val="en-US"/>
        </w:rPr>
      </w:pPr>
      <w:r w:rsidRPr="00EA1660">
        <w:rPr>
          <w:lang w:val="en-US"/>
        </w:rPr>
        <w:t xml:space="preserve">As a way to elaborate if a set of social </w:t>
      </w:r>
      <w:r>
        <w:rPr>
          <w:lang w:val="en-US"/>
        </w:rPr>
        <w:t>influence</w:t>
      </w:r>
      <w:r w:rsidRPr="00EA1660">
        <w:rPr>
          <w:lang w:val="en-US"/>
        </w:rPr>
        <w:t xml:space="preserve"> mecha</w:t>
      </w:r>
      <w:r>
        <w:rPr>
          <w:lang w:val="en-US"/>
        </w:rPr>
        <w:t xml:space="preserve">nisms could have created the observed qualitative differences </w:t>
      </w:r>
      <w:r w:rsidR="000A3727">
        <w:rPr>
          <w:lang w:val="en-US"/>
        </w:rPr>
        <w:t xml:space="preserve">in fertilizer use </w:t>
      </w:r>
      <w:r>
        <w:rPr>
          <w:lang w:val="en-US"/>
        </w:rPr>
        <w:t>between the network above or below the 0.4 centralization threshold, we built a set of simplistic ABMs. Although simplistic, we used the empirical networks</w:t>
      </w:r>
      <w:r w:rsidR="0098092B">
        <w:rPr>
          <w:lang w:val="en-US"/>
        </w:rPr>
        <w:t>, below and above the threshold,</w:t>
      </w:r>
      <w:r>
        <w:rPr>
          <w:lang w:val="en-US"/>
        </w:rPr>
        <w:t xml:space="preserve"> </w:t>
      </w:r>
      <w:r w:rsidR="0098092B">
        <w:rPr>
          <w:lang w:val="en-US"/>
        </w:rPr>
        <w:t>w</w:t>
      </w:r>
      <w:r>
        <w:rPr>
          <w:lang w:val="en-US"/>
        </w:rPr>
        <w:t xml:space="preserve">hen simulating </w:t>
      </w:r>
      <w:r w:rsidR="000A3727">
        <w:rPr>
          <w:lang w:val="en-US"/>
        </w:rPr>
        <w:t xml:space="preserve">how the farmers’ fertilizer uses </w:t>
      </w:r>
      <w:r>
        <w:rPr>
          <w:lang w:val="en-US"/>
        </w:rPr>
        <w:t>change and evolve over time.</w:t>
      </w:r>
      <w:r w:rsidR="0098092B">
        <w:rPr>
          <w:lang w:val="en-US"/>
        </w:rPr>
        <w:t xml:space="preserve"> If a social influence mechanism was able to reproduce networks with similar distributions of fertilize uses as in the empirical networks </w:t>
      </w:r>
      <w:r w:rsidR="000A3727" w:rsidRPr="000A3727">
        <w:rPr>
          <w:b/>
          <w:lang w:val="en-US"/>
        </w:rPr>
        <w:t>both</w:t>
      </w:r>
      <w:r w:rsidR="000A3727">
        <w:rPr>
          <w:lang w:val="en-US"/>
        </w:rPr>
        <w:t xml:space="preserve"> </w:t>
      </w:r>
      <w:r w:rsidR="0098092B">
        <w:rPr>
          <w:lang w:val="en-US"/>
        </w:rPr>
        <w:t xml:space="preserve">above </w:t>
      </w:r>
      <w:r w:rsidR="0098092B" w:rsidRPr="000A3727">
        <w:rPr>
          <w:b/>
          <w:lang w:val="en-US"/>
        </w:rPr>
        <w:t>and</w:t>
      </w:r>
      <w:r w:rsidR="0098092B">
        <w:rPr>
          <w:lang w:val="en-US"/>
        </w:rPr>
        <w:t xml:space="preserve"> below the threshold, we deemed is as a potential relevant mechanism. </w:t>
      </w:r>
      <w:r w:rsidR="005C513D">
        <w:rPr>
          <w:lang w:val="en-US"/>
        </w:rPr>
        <w:t>These evaluations were not intendent to single out what mechanisms are explaining the observed data, but rather to evaluate if a given mechanism could have possibly given rise to the observed reality.</w:t>
      </w:r>
    </w:p>
    <w:p w14:paraId="345CCC01" w14:textId="57E6583A" w:rsidR="00EA716F" w:rsidRDefault="00EA1660">
      <w:pPr>
        <w:rPr>
          <w:lang w:val="en-US"/>
        </w:rPr>
      </w:pPr>
      <w:r>
        <w:rPr>
          <w:lang w:val="en-US"/>
        </w:rPr>
        <w:lastRenderedPageBreak/>
        <w:t xml:space="preserve">All ABMs </w:t>
      </w:r>
      <w:r w:rsidR="00DE0C9E">
        <w:rPr>
          <w:lang w:val="en-US"/>
        </w:rPr>
        <w:t xml:space="preserve">were </w:t>
      </w:r>
      <w:r>
        <w:rPr>
          <w:lang w:val="en-US"/>
        </w:rPr>
        <w:t>buil</w:t>
      </w:r>
      <w:r w:rsidR="00DE0C9E">
        <w:rPr>
          <w:lang w:val="en-US"/>
        </w:rPr>
        <w:t>t</w:t>
      </w:r>
      <w:r>
        <w:rPr>
          <w:lang w:val="en-US"/>
        </w:rPr>
        <w:t xml:space="preserve"> on one basic principle; all farmers could change their </w:t>
      </w:r>
      <w:r w:rsidR="00C71474">
        <w:rPr>
          <w:lang w:val="en-US"/>
        </w:rPr>
        <w:t>uses</w:t>
      </w:r>
      <w:r>
        <w:rPr>
          <w:lang w:val="en-US"/>
        </w:rPr>
        <w:t xml:space="preserve"> randomly. </w:t>
      </w:r>
      <w:r w:rsidR="00C71474">
        <w:rPr>
          <w:lang w:val="en-US"/>
        </w:rPr>
        <w:t xml:space="preserve">In modeling term, at each time </w:t>
      </w:r>
      <w:r w:rsidR="00EA716F">
        <w:rPr>
          <w:lang w:val="en-US"/>
        </w:rPr>
        <w:t>unit</w:t>
      </w:r>
      <w:r w:rsidR="00C71474">
        <w:rPr>
          <w:lang w:val="en-US"/>
        </w:rPr>
        <w:t xml:space="preserve"> every farmer</w:t>
      </w:r>
      <w:r w:rsidR="000A3727">
        <w:rPr>
          <w:lang w:val="en-US"/>
        </w:rPr>
        <w:t xml:space="preserve"> (‘agent’)</w:t>
      </w:r>
      <w:r w:rsidR="00C71474">
        <w:rPr>
          <w:lang w:val="en-US"/>
        </w:rPr>
        <w:t xml:space="preserve"> </w:t>
      </w:r>
      <w:r w:rsidR="00E22F43">
        <w:rPr>
          <w:lang w:val="en-US"/>
        </w:rPr>
        <w:t>is</w:t>
      </w:r>
      <w:r w:rsidR="00EA716F">
        <w:rPr>
          <w:lang w:val="en-US"/>
        </w:rPr>
        <w:t>, at</w:t>
      </w:r>
      <w:r w:rsidR="00E22F43">
        <w:rPr>
          <w:lang w:val="en-US"/>
        </w:rPr>
        <w:t xml:space="preserve"> first</w:t>
      </w:r>
      <w:r w:rsidR="00EA716F">
        <w:rPr>
          <w:lang w:val="en-US"/>
        </w:rPr>
        <w:t>,</w:t>
      </w:r>
      <w:r w:rsidR="00E22F43">
        <w:rPr>
          <w:lang w:val="en-US"/>
        </w:rPr>
        <w:t xml:space="preserve"> potentially changing their uses, albeit the probability for such truly random change was kept low (typically not more than 10%). This </w:t>
      </w:r>
      <w:r w:rsidR="00C71474">
        <w:rPr>
          <w:lang w:val="en-US"/>
        </w:rPr>
        <w:t>is</w:t>
      </w:r>
      <w:r w:rsidR="00E22F43">
        <w:rPr>
          <w:lang w:val="en-US"/>
        </w:rPr>
        <w:t xml:space="preserve"> followed by the agent being</w:t>
      </w:r>
      <w:r w:rsidR="00C71474">
        <w:rPr>
          <w:lang w:val="en-US"/>
        </w:rPr>
        <w:t xml:space="preserve"> probed to potentially change its current </w:t>
      </w:r>
      <w:r w:rsidR="00E22F43">
        <w:rPr>
          <w:lang w:val="en-US"/>
        </w:rPr>
        <w:t xml:space="preserve">(or new) </w:t>
      </w:r>
      <w:r w:rsidR="00C71474">
        <w:rPr>
          <w:lang w:val="en-US"/>
        </w:rPr>
        <w:t>fertilize use (actually changing the use is conditional on the social influence mechanism being evaluated</w:t>
      </w:r>
      <w:r w:rsidR="00677C6E">
        <w:rPr>
          <w:lang w:val="en-US"/>
        </w:rPr>
        <w:t>, along with some stochastics</w:t>
      </w:r>
      <w:r w:rsidR="00C71474">
        <w:rPr>
          <w:lang w:val="en-US"/>
        </w:rPr>
        <w:t xml:space="preserve">). </w:t>
      </w:r>
      <w:r w:rsidR="00E22F43">
        <w:rPr>
          <w:lang w:val="en-US"/>
        </w:rPr>
        <w:t xml:space="preserve">Hence, the potential random change </w:t>
      </w:r>
      <w:r w:rsidR="00EA716F">
        <w:rPr>
          <w:lang w:val="en-US"/>
        </w:rPr>
        <w:t xml:space="preserve">in the first step </w:t>
      </w:r>
      <w:r w:rsidR="00E22F43">
        <w:rPr>
          <w:lang w:val="en-US"/>
        </w:rPr>
        <w:t xml:space="preserve">could, conditional on social influence, be changed back. </w:t>
      </w:r>
      <w:r w:rsidR="00EA716F">
        <w:rPr>
          <w:lang w:val="en-US"/>
        </w:rPr>
        <w:t>T</w:t>
      </w:r>
      <w:r w:rsidR="00E22F43">
        <w:rPr>
          <w:lang w:val="en-US"/>
        </w:rPr>
        <w:t xml:space="preserve">hrough these two </w:t>
      </w:r>
      <w:r w:rsidR="00EA716F">
        <w:rPr>
          <w:lang w:val="en-US"/>
        </w:rPr>
        <w:t xml:space="preserve">sequential </w:t>
      </w:r>
      <w:r w:rsidR="00E22F43">
        <w:rPr>
          <w:lang w:val="en-US"/>
        </w:rPr>
        <w:t xml:space="preserve">steps, the </w:t>
      </w:r>
      <w:r w:rsidR="00EA716F">
        <w:rPr>
          <w:lang w:val="en-US"/>
        </w:rPr>
        <w:t xml:space="preserve">total </w:t>
      </w:r>
      <w:r w:rsidR="00E22F43">
        <w:rPr>
          <w:lang w:val="en-US"/>
        </w:rPr>
        <w:t xml:space="preserve">probability for change is made asymmetric. The first truly random change is symmetrical </w:t>
      </w:r>
      <w:r w:rsidR="00D8610D">
        <w:rPr>
          <w:lang w:val="en-US"/>
        </w:rPr>
        <w:t xml:space="preserve">since </w:t>
      </w:r>
      <w:r w:rsidR="00E22F43">
        <w:rPr>
          <w:lang w:val="en-US"/>
        </w:rPr>
        <w:t>there is no bias</w:t>
      </w:r>
      <w:r w:rsidR="00EA716F">
        <w:rPr>
          <w:lang w:val="en-US"/>
        </w:rPr>
        <w:t xml:space="preserve"> that would favor</w:t>
      </w:r>
      <w:r w:rsidR="00E22F43">
        <w:rPr>
          <w:lang w:val="en-US"/>
        </w:rPr>
        <w:t xml:space="preserve"> </w:t>
      </w:r>
      <w:r w:rsidR="00EA716F">
        <w:rPr>
          <w:lang w:val="en-US"/>
        </w:rPr>
        <w:t xml:space="preserve">the potential change in </w:t>
      </w:r>
      <w:r w:rsidR="00E22F43">
        <w:rPr>
          <w:lang w:val="en-US"/>
        </w:rPr>
        <w:t xml:space="preserve">any </w:t>
      </w:r>
      <w:r w:rsidR="00EA716F">
        <w:rPr>
          <w:lang w:val="en-US"/>
        </w:rPr>
        <w:t xml:space="preserve">certain </w:t>
      </w:r>
      <w:r w:rsidR="00E22F43">
        <w:rPr>
          <w:lang w:val="en-US"/>
        </w:rPr>
        <w:t>direction.</w:t>
      </w:r>
      <w:r w:rsidR="00EA716F">
        <w:rPr>
          <w:lang w:val="en-US"/>
        </w:rPr>
        <w:t xml:space="preserve"> The second step, however, introduces bias </w:t>
      </w:r>
      <w:r w:rsidR="00D8610D">
        <w:rPr>
          <w:lang w:val="en-US"/>
        </w:rPr>
        <w:t>since</w:t>
      </w:r>
      <w:r w:rsidR="00EA716F">
        <w:rPr>
          <w:lang w:val="en-US"/>
        </w:rPr>
        <w:t xml:space="preserve"> this subsequent potential change is affected by social influence, making it less likely an agent would change it use that would </w:t>
      </w:r>
      <w:r w:rsidR="00D8610D">
        <w:rPr>
          <w:lang w:val="en-US"/>
        </w:rPr>
        <w:t>contradict</w:t>
      </w:r>
      <w:r w:rsidR="00EA716F">
        <w:rPr>
          <w:lang w:val="en-US"/>
        </w:rPr>
        <w:t xml:space="preserve"> the current social influence mechanism. </w:t>
      </w:r>
    </w:p>
    <w:p w14:paraId="66FC51AD" w14:textId="3A4DA5BE" w:rsidR="00EA1660" w:rsidRDefault="00EA716F">
      <w:pPr>
        <w:rPr>
          <w:lang w:val="en-US"/>
        </w:rPr>
      </w:pPr>
      <w:r>
        <w:rPr>
          <w:lang w:val="en-US"/>
        </w:rPr>
        <w:t xml:space="preserve">We </w:t>
      </w:r>
      <w:r w:rsidR="00EA1660">
        <w:rPr>
          <w:lang w:val="en-US"/>
        </w:rPr>
        <w:t xml:space="preserve">argue </w:t>
      </w:r>
      <w:r w:rsidR="000A3727">
        <w:rPr>
          <w:lang w:val="en-US"/>
        </w:rPr>
        <w:t>these</w:t>
      </w:r>
      <w:r w:rsidR="00EA1660">
        <w:rPr>
          <w:lang w:val="en-US"/>
        </w:rPr>
        <w:t xml:space="preserve"> assumption</w:t>
      </w:r>
      <w:r w:rsidR="000A3727">
        <w:rPr>
          <w:lang w:val="en-US"/>
        </w:rPr>
        <w:t>s</w:t>
      </w:r>
      <w:r>
        <w:rPr>
          <w:lang w:val="en-US"/>
        </w:rPr>
        <w:t xml:space="preserve"> (</w:t>
      </w:r>
      <w:r w:rsidR="00D8610D">
        <w:rPr>
          <w:lang w:val="en-US"/>
        </w:rPr>
        <w:t xml:space="preserve">i.e. </w:t>
      </w:r>
      <w:r>
        <w:rPr>
          <w:lang w:val="en-US"/>
        </w:rPr>
        <w:t>steps)</w:t>
      </w:r>
      <w:r w:rsidR="00EA1660">
        <w:rPr>
          <w:lang w:val="en-US"/>
        </w:rPr>
        <w:t xml:space="preserve"> to be context relevant since farmers can and do change their use of fertilizer for reasons that are not </w:t>
      </w:r>
      <w:r w:rsidR="0098092B">
        <w:rPr>
          <w:lang w:val="en-US"/>
        </w:rPr>
        <w:t xml:space="preserve">solely </w:t>
      </w:r>
      <w:r w:rsidR="00EA1660">
        <w:rPr>
          <w:lang w:val="en-US"/>
        </w:rPr>
        <w:t xml:space="preserve">determined by </w:t>
      </w:r>
      <w:r w:rsidR="00C71474">
        <w:rPr>
          <w:lang w:val="en-US"/>
        </w:rPr>
        <w:t xml:space="preserve">how they are influenced by their peers. We, however, assume that for whatever reason a farmer deliberates on its use of fertilizer, actually implementing a change is in parts determined by </w:t>
      </w:r>
      <w:r w:rsidR="00EA1660">
        <w:rPr>
          <w:lang w:val="en-US"/>
        </w:rPr>
        <w:t>peer-to-peer social influence.</w:t>
      </w:r>
      <w:r>
        <w:rPr>
          <w:lang w:val="en-US"/>
        </w:rPr>
        <w:t xml:space="preserve"> The</w:t>
      </w:r>
      <w:r w:rsidR="00D8610D">
        <w:rPr>
          <w:lang w:val="en-US"/>
        </w:rPr>
        <w:t xml:space="preserve"> two steps in the modeling procedure</w:t>
      </w:r>
      <w:r>
        <w:rPr>
          <w:lang w:val="en-US"/>
        </w:rPr>
        <w:t xml:space="preserve"> aim to capture such a process. </w:t>
      </w:r>
    </w:p>
    <w:p w14:paraId="1DACF321" w14:textId="3AD380AA" w:rsidR="00844C19" w:rsidRDefault="007D0ECC">
      <w:pPr>
        <w:rPr>
          <w:lang w:val="en-US"/>
        </w:rPr>
      </w:pPr>
      <w:r>
        <w:rPr>
          <w:lang w:val="en-US"/>
        </w:rPr>
        <w:t xml:space="preserve">Building from this basic principle, we tested </w:t>
      </w:r>
      <w:r w:rsidR="00D75CDD">
        <w:rPr>
          <w:lang w:val="en-US"/>
        </w:rPr>
        <w:t>five</w:t>
      </w:r>
      <w:r>
        <w:rPr>
          <w:lang w:val="en-US"/>
        </w:rPr>
        <w:t xml:space="preserve"> different social influence mechanisms. </w:t>
      </w:r>
      <w:r w:rsidR="00D75CDD">
        <w:rPr>
          <w:lang w:val="en-US"/>
        </w:rPr>
        <w:t xml:space="preserve">These mechanisms are </w:t>
      </w:r>
      <w:r w:rsidR="00330872">
        <w:rPr>
          <w:lang w:val="en-US"/>
        </w:rPr>
        <w:t>to</w:t>
      </w:r>
      <w:r w:rsidR="00D75CDD">
        <w:rPr>
          <w:lang w:val="en-US"/>
        </w:rPr>
        <w:t xml:space="preserve"> a varying extent overlapping</w:t>
      </w:r>
      <w:r w:rsidR="000A3727">
        <w:rPr>
          <w:lang w:val="en-US"/>
        </w:rPr>
        <w:t xml:space="preserve"> (both in that they encompass similar characteristics, and that the implementation</w:t>
      </w:r>
      <w:r w:rsidR="00330872">
        <w:rPr>
          <w:lang w:val="en-US"/>
        </w:rPr>
        <w:t>s</w:t>
      </w:r>
      <w:r w:rsidR="000A3727">
        <w:rPr>
          <w:lang w:val="en-US"/>
        </w:rPr>
        <w:t xml:space="preserve"> in the ABMs </w:t>
      </w:r>
      <w:r w:rsidR="00D8610D">
        <w:rPr>
          <w:lang w:val="en-US"/>
        </w:rPr>
        <w:t>could be</w:t>
      </w:r>
      <w:r w:rsidR="00330872">
        <w:rPr>
          <w:lang w:val="en-US"/>
        </w:rPr>
        <w:t xml:space="preserve"> computationally similar).</w:t>
      </w:r>
      <w:r w:rsidR="00D75CDD">
        <w:rPr>
          <w:lang w:val="en-US"/>
        </w:rPr>
        <w:t xml:space="preserve"> </w:t>
      </w:r>
      <w:r w:rsidR="00330872">
        <w:rPr>
          <w:lang w:val="en-US"/>
        </w:rPr>
        <w:t>Notwithstanding these overlaps, the mechanisms</w:t>
      </w:r>
      <w:r w:rsidR="00D75CDD">
        <w:rPr>
          <w:lang w:val="en-US"/>
        </w:rPr>
        <w:t xml:space="preserve"> </w:t>
      </w:r>
      <w:r w:rsidR="00DE0C9E">
        <w:rPr>
          <w:lang w:val="en-US"/>
        </w:rPr>
        <w:t xml:space="preserve">are derived </w:t>
      </w:r>
      <w:r w:rsidR="00D75CDD">
        <w:rPr>
          <w:lang w:val="en-US"/>
        </w:rPr>
        <w:t xml:space="preserve">from different principles of how social influence is exerted. </w:t>
      </w:r>
    </w:p>
    <w:p w14:paraId="38C6B18B" w14:textId="3EA6D766" w:rsidR="00844C19" w:rsidRPr="004947E8" w:rsidRDefault="005D46A7">
      <w:pPr>
        <w:rPr>
          <w:i/>
          <w:lang w:val="en-US"/>
        </w:rPr>
      </w:pPr>
      <w:r w:rsidRPr="004947E8">
        <w:rPr>
          <w:i/>
          <w:lang w:val="en-US"/>
        </w:rPr>
        <w:t xml:space="preserve">1. </w:t>
      </w:r>
      <w:r w:rsidR="00D75CDD" w:rsidRPr="004947E8">
        <w:rPr>
          <w:i/>
          <w:lang w:val="en-US"/>
        </w:rPr>
        <w:t>C</w:t>
      </w:r>
      <w:r w:rsidR="00844C19" w:rsidRPr="004947E8">
        <w:rPr>
          <w:i/>
          <w:lang w:val="en-US"/>
        </w:rPr>
        <w:t>ognitive dissonance</w:t>
      </w:r>
    </w:p>
    <w:p w14:paraId="4D6C4325" w14:textId="5DFB97AD" w:rsidR="00D75CDD" w:rsidRDefault="00D75CDD">
      <w:pPr>
        <w:rPr>
          <w:lang w:val="en-US"/>
        </w:rPr>
      </w:pPr>
      <w:r>
        <w:rPr>
          <w:lang w:val="en-US"/>
        </w:rPr>
        <w:t xml:space="preserve">This mechanism derives from the social tension that emerge when </w:t>
      </w:r>
      <w:r w:rsidR="001E6B42">
        <w:rPr>
          <w:lang w:val="en-US"/>
        </w:rPr>
        <w:t>someone’s</w:t>
      </w:r>
      <w:r>
        <w:rPr>
          <w:lang w:val="en-US"/>
        </w:rPr>
        <w:t xml:space="preserve"> </w:t>
      </w:r>
      <w:r w:rsidR="00875C85">
        <w:rPr>
          <w:lang w:val="en-US"/>
        </w:rPr>
        <w:t>opinion</w:t>
      </w:r>
      <w:r>
        <w:rPr>
          <w:lang w:val="en-US"/>
        </w:rPr>
        <w:t xml:space="preserve"> deviates from its peers’ </w:t>
      </w:r>
      <w:r w:rsidR="001E6B42">
        <w:rPr>
          <w:lang w:val="en-US"/>
        </w:rPr>
        <w:t>opinions</w:t>
      </w:r>
      <w:r w:rsidR="006E5BEC">
        <w:rPr>
          <w:lang w:val="en-US"/>
        </w:rPr>
        <w:t xml:space="preserve"> </w:t>
      </w:r>
      <w:r w:rsidR="006E5BEC">
        <w:rPr>
          <w:lang w:val="en-US"/>
        </w:rPr>
        <w:fldChar w:fldCharType="begin" w:fldLock="1"/>
      </w:r>
      <w:r w:rsidR="00D931F7">
        <w:rPr>
          <w:lang w:val="en-US"/>
        </w:rPr>
        <w:instrText>ADDIN CSL_CITATION {"citationItems":[{"id":"ITEM-1","itemData":{"author":[{"dropping-particle":"","family":"Heider","given":"Fritz","non-dropping-particle":"","parse-names":false,"suffix":""}],"container-title":"The Journal of Psychology","id":"ITEM-1","issued":{"date-parts":[["1946"]]},"page":"107-112","title":"Attitudes and Cognitive Organization","type":"article-journal","volume":"21"},"uris":["http://www.mendeley.com/documents/?uuid=8fe4b409-23fd-4302-bd44-26fba25f047c"]}],"mendeley":{"formattedCitation":"(1)","plainTextFormattedCitation":"(1)","previouslyFormattedCitation":"(Heider 1946)"},"properties":{"noteIndex":0},"schema":"https://github.com/citation-style-language/schema/raw/master/csl-citation.json"}</w:instrText>
      </w:r>
      <w:r w:rsidR="006E5BEC">
        <w:rPr>
          <w:lang w:val="en-US"/>
        </w:rPr>
        <w:fldChar w:fldCharType="separate"/>
      </w:r>
      <w:r w:rsidR="00D931F7" w:rsidRPr="00D931F7">
        <w:rPr>
          <w:noProof/>
          <w:lang w:val="en-US"/>
        </w:rPr>
        <w:t>(1)</w:t>
      </w:r>
      <w:r w:rsidR="006E5BEC">
        <w:rPr>
          <w:lang w:val="en-US"/>
        </w:rPr>
        <w:fldChar w:fldCharType="end"/>
      </w:r>
      <w:r>
        <w:rPr>
          <w:lang w:val="en-US"/>
        </w:rPr>
        <w:t>. It is often expressed in group of three taking all social ties among them into account</w:t>
      </w:r>
      <w:r w:rsidR="006E5BEC">
        <w:rPr>
          <w:lang w:val="en-US"/>
        </w:rPr>
        <w:t xml:space="preserve"> </w:t>
      </w:r>
      <w:r w:rsidR="006E5BEC">
        <w:rPr>
          <w:lang w:val="en-US"/>
        </w:rPr>
        <w:fldChar w:fldCharType="begin" w:fldLock="1"/>
      </w:r>
      <w:r w:rsidR="00D931F7">
        <w:rPr>
          <w:lang w:val="en-US"/>
        </w:rPr>
        <w:instrText>ADDIN CSL_CITATION {"citationItems":[{"id":"ITEM-1","itemData":{"author":[{"dropping-particle":"","family":"Cartwright","given":"D.","non-dropping-particle":"","parse-names":false,"suffix":""},{"dropping-particle":"","family":"Harary","given":"F.","non-dropping-particle":"","parse-names":false,"suffix":""}],"container-title":"Psychological Review","id":"ITEM-1","issued":{"date-parts":[["1956"]]},"page":"277–293","title":"Structural balance: a generalization of Heider's theory","type":"article-journal","volume":"63"},"uris":["http://www.mendeley.com/documents/?uuid=8eed0734-27ae-4925-8c86-2b9435dd0a94"]}],"mendeley":{"formattedCitation":"(2)","plainTextFormattedCitation":"(2)","previouslyFormattedCitation":"(Cartwright and Harary 1956)"},"properties":{"noteIndex":0},"schema":"https://github.com/citation-style-language/schema/raw/master/csl-citation.json"}</w:instrText>
      </w:r>
      <w:r w:rsidR="006E5BEC">
        <w:rPr>
          <w:lang w:val="en-US"/>
        </w:rPr>
        <w:fldChar w:fldCharType="separate"/>
      </w:r>
      <w:r w:rsidR="00D931F7" w:rsidRPr="00D931F7">
        <w:rPr>
          <w:noProof/>
          <w:lang w:val="en-US"/>
        </w:rPr>
        <w:t>(2)</w:t>
      </w:r>
      <w:r w:rsidR="006E5BEC">
        <w:rPr>
          <w:lang w:val="en-US"/>
        </w:rPr>
        <w:fldChar w:fldCharType="end"/>
      </w:r>
      <w:r>
        <w:rPr>
          <w:lang w:val="en-US"/>
        </w:rPr>
        <w:t xml:space="preserve">, but for simplicity we here focus on all the egos </w:t>
      </w:r>
      <w:r w:rsidR="00875C85">
        <w:rPr>
          <w:lang w:val="en-US"/>
        </w:rPr>
        <w:t xml:space="preserve">(i.e. the agent being modeled at a given time step) </w:t>
      </w:r>
      <w:r>
        <w:rPr>
          <w:lang w:val="en-US"/>
        </w:rPr>
        <w:t>peers</w:t>
      </w:r>
      <w:r w:rsidR="00875C85">
        <w:rPr>
          <w:lang w:val="en-US"/>
        </w:rPr>
        <w:t>,</w:t>
      </w:r>
      <w:r w:rsidR="001E6B42">
        <w:rPr>
          <w:lang w:val="en-US"/>
        </w:rPr>
        <w:t xml:space="preserve"> and we do not consider ties among the peers</w:t>
      </w:r>
      <w:r>
        <w:rPr>
          <w:lang w:val="en-US"/>
        </w:rPr>
        <w:t xml:space="preserve">. Further, we also assume that the tension </w:t>
      </w:r>
      <w:r w:rsidR="001E6B42">
        <w:rPr>
          <w:lang w:val="en-US"/>
        </w:rPr>
        <w:t xml:space="preserve">exerted at the ego </w:t>
      </w:r>
      <w:r>
        <w:rPr>
          <w:lang w:val="en-US"/>
        </w:rPr>
        <w:t xml:space="preserve">increases with the number of peers that potentially disagrees with the ego. </w:t>
      </w:r>
    </w:p>
    <w:p w14:paraId="07576991" w14:textId="55D03343" w:rsidR="00844C19" w:rsidRDefault="007D0ECC">
      <w:pPr>
        <w:rPr>
          <w:lang w:val="en-US"/>
        </w:rPr>
      </w:pPr>
      <w:r>
        <w:rPr>
          <w:lang w:val="en-US"/>
        </w:rPr>
        <w:t xml:space="preserve">We implemented this by assuming that the higher proportion of the egos peers that would use fertilizers in a different way from the ego, the more </w:t>
      </w:r>
      <w:r w:rsidR="0098092B">
        <w:rPr>
          <w:lang w:val="en-US"/>
        </w:rPr>
        <w:t>un</w:t>
      </w:r>
      <w:r>
        <w:rPr>
          <w:lang w:val="en-US"/>
        </w:rPr>
        <w:t xml:space="preserve">likely the ego will </w:t>
      </w:r>
      <w:r w:rsidR="00844C19">
        <w:rPr>
          <w:lang w:val="en-US"/>
        </w:rPr>
        <w:t xml:space="preserve">actually </w:t>
      </w:r>
      <w:r w:rsidR="0098092B">
        <w:rPr>
          <w:lang w:val="en-US"/>
        </w:rPr>
        <w:t>change its use.</w:t>
      </w:r>
      <w:r w:rsidR="001E6B42">
        <w:rPr>
          <w:lang w:val="en-US"/>
        </w:rPr>
        <w:t xml:space="preserve"> </w:t>
      </w:r>
      <w:r w:rsidR="0098092B">
        <w:rPr>
          <w:lang w:val="en-US"/>
        </w:rPr>
        <w:t xml:space="preserve">The </w:t>
      </w:r>
      <w:r w:rsidR="001E6B42">
        <w:rPr>
          <w:lang w:val="en-US"/>
        </w:rPr>
        <w:t>probability</w:t>
      </w:r>
      <w:r w:rsidR="0098092B">
        <w:rPr>
          <w:lang w:val="en-US"/>
        </w:rPr>
        <w:t xml:space="preserve"> for changing use is </w:t>
      </w:r>
      <w:r w:rsidR="001E6B42">
        <w:rPr>
          <w:lang w:val="en-US"/>
        </w:rPr>
        <w:t xml:space="preserve">in our model </w:t>
      </w:r>
      <w:r w:rsidR="0098092B">
        <w:rPr>
          <w:lang w:val="en-US"/>
        </w:rPr>
        <w:t xml:space="preserve">proportional to: </w:t>
      </w:r>
      <w:r w:rsidR="00875B85" w:rsidRPr="00875B85">
        <w:rPr>
          <w:lang w:val="en-US"/>
        </w:rPr>
        <w:t>(1-</w:t>
      </w:r>
      <w:proofErr w:type="gramStart"/>
      <w:r w:rsidR="00875B85" w:rsidRPr="00875B85">
        <w:rPr>
          <w:lang w:val="en-US"/>
        </w:rPr>
        <w:t>peerp)^</w:t>
      </w:r>
      <w:proofErr w:type="spellStart"/>
      <w:proofErr w:type="gramEnd"/>
      <w:r w:rsidR="00875B85" w:rsidRPr="00875B85">
        <w:rPr>
          <w:lang w:val="en-US"/>
        </w:rPr>
        <w:t>cogdiss</w:t>
      </w:r>
      <w:proofErr w:type="spellEnd"/>
      <w:r w:rsidR="001E6B42">
        <w:rPr>
          <w:lang w:val="en-US"/>
        </w:rPr>
        <w:t xml:space="preserve">. </w:t>
      </w:r>
      <w:proofErr w:type="spellStart"/>
      <w:r w:rsidR="001E6B42" w:rsidRPr="001E6B42">
        <w:rPr>
          <w:i/>
          <w:lang w:val="en-US"/>
        </w:rPr>
        <w:t>C</w:t>
      </w:r>
      <w:r w:rsidR="0098092B" w:rsidRPr="001E6B42">
        <w:rPr>
          <w:i/>
          <w:lang w:val="en-US"/>
        </w:rPr>
        <w:t>ogdiss</w:t>
      </w:r>
      <w:proofErr w:type="spellEnd"/>
      <w:r w:rsidR="0098092B">
        <w:rPr>
          <w:lang w:val="en-US"/>
        </w:rPr>
        <w:t xml:space="preserve"> is the </w:t>
      </w:r>
      <w:r w:rsidR="00875B85">
        <w:rPr>
          <w:lang w:val="en-US"/>
        </w:rPr>
        <w:t xml:space="preserve">number of </w:t>
      </w:r>
      <w:r w:rsidR="0098092B">
        <w:rPr>
          <w:lang w:val="en-US"/>
        </w:rPr>
        <w:t>peers</w:t>
      </w:r>
      <w:r w:rsidR="00875B85">
        <w:rPr>
          <w:lang w:val="en-US"/>
        </w:rPr>
        <w:t xml:space="preserve"> </w:t>
      </w:r>
      <w:r w:rsidR="00C71474">
        <w:rPr>
          <w:lang w:val="en-US"/>
        </w:rPr>
        <w:t xml:space="preserve">who’s fertilize </w:t>
      </w:r>
      <w:r w:rsidR="0098092B">
        <w:rPr>
          <w:lang w:val="en-US"/>
        </w:rPr>
        <w:t xml:space="preserve">uses differ from what ego </w:t>
      </w:r>
      <w:r w:rsidR="00C71474">
        <w:rPr>
          <w:lang w:val="en-US"/>
        </w:rPr>
        <w:t>is about to</w:t>
      </w:r>
      <w:r w:rsidR="0098092B">
        <w:rPr>
          <w:lang w:val="en-US"/>
        </w:rPr>
        <w:t xml:space="preserve"> change to</w:t>
      </w:r>
      <w:r w:rsidR="00875B85">
        <w:rPr>
          <w:lang w:val="en-US"/>
        </w:rPr>
        <w:t xml:space="preserve">, </w:t>
      </w:r>
      <w:r w:rsidR="0098092B">
        <w:rPr>
          <w:lang w:val="en-US"/>
        </w:rPr>
        <w:t xml:space="preserve">and </w:t>
      </w:r>
      <w:proofErr w:type="spellStart"/>
      <w:r w:rsidR="0098092B" w:rsidRPr="001E6B42">
        <w:rPr>
          <w:i/>
          <w:lang w:val="en-US"/>
        </w:rPr>
        <w:t>peerp</w:t>
      </w:r>
      <w:proofErr w:type="spellEnd"/>
      <w:r w:rsidR="0098092B">
        <w:rPr>
          <w:lang w:val="en-US"/>
        </w:rPr>
        <w:t xml:space="preserve"> is a </w:t>
      </w:r>
      <w:r w:rsidR="00844C19">
        <w:rPr>
          <w:lang w:val="en-US"/>
        </w:rPr>
        <w:t xml:space="preserve">global </w:t>
      </w:r>
      <w:r w:rsidR="0098092B">
        <w:rPr>
          <w:lang w:val="en-US"/>
        </w:rPr>
        <w:t xml:space="preserve">constant that </w:t>
      </w:r>
      <w:r w:rsidR="00875B85">
        <w:rPr>
          <w:lang w:val="en-US"/>
        </w:rPr>
        <w:t xml:space="preserve">captures </w:t>
      </w:r>
      <w:r w:rsidR="0098092B">
        <w:rPr>
          <w:lang w:val="en-US"/>
        </w:rPr>
        <w:t xml:space="preserve">the </w:t>
      </w:r>
      <w:r w:rsidR="001E6B42">
        <w:rPr>
          <w:lang w:val="en-US"/>
        </w:rPr>
        <w:t>strength</w:t>
      </w:r>
      <w:r w:rsidR="0098092B">
        <w:rPr>
          <w:lang w:val="en-US"/>
        </w:rPr>
        <w:t xml:space="preserve"> of peer pressure (range: </w:t>
      </w:r>
      <w:r w:rsidR="00875B85">
        <w:rPr>
          <w:lang w:val="en-US"/>
        </w:rPr>
        <w:t>0-1)</w:t>
      </w:r>
      <w:r w:rsidR="0098092B">
        <w:rPr>
          <w:lang w:val="en-US"/>
        </w:rPr>
        <w:t>.</w:t>
      </w:r>
    </w:p>
    <w:p w14:paraId="65E56A98" w14:textId="21EBFB5A" w:rsidR="00EA1660" w:rsidRPr="004947E8" w:rsidRDefault="005D46A7">
      <w:pPr>
        <w:rPr>
          <w:i/>
          <w:lang w:val="en-US"/>
        </w:rPr>
      </w:pPr>
      <w:r w:rsidRPr="004947E8">
        <w:rPr>
          <w:i/>
          <w:lang w:val="en-US"/>
        </w:rPr>
        <w:t xml:space="preserve">2. </w:t>
      </w:r>
      <w:r w:rsidR="00B05E67" w:rsidRPr="004947E8">
        <w:rPr>
          <w:i/>
          <w:lang w:val="en-US"/>
        </w:rPr>
        <w:t>Influenced by the majority</w:t>
      </w:r>
    </w:p>
    <w:p w14:paraId="5B07F6F8" w14:textId="54C70532" w:rsidR="00201BED" w:rsidRDefault="00201BED">
      <w:pPr>
        <w:rPr>
          <w:lang w:val="en-US"/>
        </w:rPr>
      </w:pPr>
      <w:r>
        <w:rPr>
          <w:lang w:val="en-US"/>
        </w:rPr>
        <w:t xml:space="preserve">This mechanism derives from what </w:t>
      </w:r>
      <w:r w:rsidR="00875C85">
        <w:rPr>
          <w:lang w:val="en-US"/>
        </w:rPr>
        <w:t xml:space="preserve">has been </w:t>
      </w:r>
      <w:r>
        <w:rPr>
          <w:lang w:val="en-US"/>
        </w:rPr>
        <w:t>coined a threshold</w:t>
      </w:r>
      <w:r w:rsidR="006E5BEC">
        <w:rPr>
          <w:lang w:val="en-US"/>
        </w:rPr>
        <w:t xml:space="preserve"> model</w:t>
      </w:r>
      <w:r>
        <w:rPr>
          <w:lang w:val="en-US"/>
        </w:rPr>
        <w:t xml:space="preserve"> </w:t>
      </w:r>
      <w:r w:rsidR="006E5BEC">
        <w:rPr>
          <w:lang w:val="en-US"/>
        </w:rPr>
        <w:fldChar w:fldCharType="begin" w:fldLock="1"/>
      </w:r>
      <w:r w:rsidR="00D931F7">
        <w:rPr>
          <w:lang w:val="en-US"/>
        </w:rPr>
        <w:instrText>ADDIN CSL_CITATION {"citationItems":[{"id":"ITEM-1","itemData":{"author":[{"dropping-particle":"","family":"Granovetter","given":"M","non-dropping-particle":"","parse-names":false,"suffix":""}],"container-title":"American Journal of Sociology","id":"ITEM-1","issue":"6","issued":{"date-parts":[["1978"]]},"page":"1420-1443","title":"Threshold models of collective behavior","type":"article-journal","volume":"83"},"uris":["http://www.mendeley.com/documents/?uuid=bb02a515-c7b8-4329-879e-cc8c72875591"]}],"mendeley":{"formattedCitation":"(3)","plainTextFormattedCitation":"(3)","previouslyFormattedCitation":"(Granovetter 1978)"},"properties":{"noteIndex":0},"schema":"https://github.com/citation-style-language/schema/raw/master/csl-citation.json"}</w:instrText>
      </w:r>
      <w:r w:rsidR="006E5BEC">
        <w:rPr>
          <w:lang w:val="en-US"/>
        </w:rPr>
        <w:fldChar w:fldCharType="separate"/>
      </w:r>
      <w:r w:rsidR="00D931F7" w:rsidRPr="00D931F7">
        <w:rPr>
          <w:noProof/>
          <w:lang w:val="en-US"/>
        </w:rPr>
        <w:t>(3)</w:t>
      </w:r>
      <w:r w:rsidR="006E5BEC">
        <w:rPr>
          <w:lang w:val="en-US"/>
        </w:rPr>
        <w:fldChar w:fldCharType="end"/>
      </w:r>
      <w:r>
        <w:rPr>
          <w:lang w:val="en-US"/>
        </w:rPr>
        <w:t xml:space="preserve">, i.e. that a person typically changes its preferences only when a certain proportion of </w:t>
      </w:r>
      <w:r w:rsidR="006E5BEC">
        <w:rPr>
          <w:lang w:val="en-US"/>
        </w:rPr>
        <w:t>the others</w:t>
      </w:r>
      <w:r>
        <w:rPr>
          <w:lang w:val="en-US"/>
        </w:rPr>
        <w:t xml:space="preserve"> have changed their preferences.</w:t>
      </w:r>
    </w:p>
    <w:p w14:paraId="47DD0C4C" w14:textId="68E2BA63" w:rsidR="005E0A82" w:rsidRDefault="005E0A82">
      <w:pPr>
        <w:rPr>
          <w:lang w:val="en-US"/>
        </w:rPr>
      </w:pPr>
      <w:r>
        <w:rPr>
          <w:lang w:val="en-US"/>
        </w:rPr>
        <w:t>In this scenario, the ego will potentially change</w:t>
      </w:r>
      <w:r w:rsidR="00392855">
        <w:rPr>
          <w:lang w:val="en-US"/>
        </w:rPr>
        <w:t xml:space="preserve"> its use</w:t>
      </w:r>
      <w:r>
        <w:rPr>
          <w:lang w:val="en-US"/>
        </w:rPr>
        <w:t xml:space="preserve">, </w:t>
      </w:r>
      <w:r w:rsidR="00875C85">
        <w:rPr>
          <w:lang w:val="en-US"/>
        </w:rPr>
        <w:t>conditional</w:t>
      </w:r>
      <w:r>
        <w:rPr>
          <w:lang w:val="en-US"/>
        </w:rPr>
        <w:t xml:space="preserve"> </w:t>
      </w:r>
      <w:r w:rsidR="00875C85">
        <w:rPr>
          <w:lang w:val="en-US"/>
        </w:rPr>
        <w:t xml:space="preserve">on </w:t>
      </w:r>
      <w:r>
        <w:rPr>
          <w:lang w:val="en-US"/>
        </w:rPr>
        <w:t xml:space="preserve">a fixed </w:t>
      </w:r>
      <w:r w:rsidR="00875C85">
        <w:rPr>
          <w:lang w:val="en-US"/>
        </w:rPr>
        <w:t xml:space="preserve">global </w:t>
      </w:r>
      <w:r>
        <w:rPr>
          <w:lang w:val="en-US"/>
        </w:rPr>
        <w:t xml:space="preserve">probability, to </w:t>
      </w:r>
      <w:r w:rsidR="00677C6E">
        <w:rPr>
          <w:lang w:val="en-US"/>
        </w:rPr>
        <w:t>what the majority</w:t>
      </w:r>
      <w:r>
        <w:rPr>
          <w:lang w:val="en-US"/>
        </w:rPr>
        <w:t xml:space="preserve"> </w:t>
      </w:r>
      <w:r w:rsidR="00677C6E">
        <w:rPr>
          <w:lang w:val="en-US"/>
        </w:rPr>
        <w:t xml:space="preserve">of </w:t>
      </w:r>
      <w:r>
        <w:rPr>
          <w:lang w:val="en-US"/>
        </w:rPr>
        <w:t>its peers</w:t>
      </w:r>
      <w:r w:rsidR="00677C6E">
        <w:rPr>
          <w:lang w:val="en-US"/>
        </w:rPr>
        <w:t xml:space="preserve"> are using</w:t>
      </w:r>
      <w:r w:rsidR="00B05E67">
        <w:rPr>
          <w:lang w:val="en-US"/>
        </w:rPr>
        <w:t>.</w:t>
      </w:r>
      <w:r>
        <w:rPr>
          <w:lang w:val="en-US"/>
        </w:rPr>
        <w:t xml:space="preserve"> </w:t>
      </w:r>
    </w:p>
    <w:p w14:paraId="72C357AD" w14:textId="5D1552F6" w:rsidR="005E0A82" w:rsidRPr="004947E8" w:rsidRDefault="005D46A7" w:rsidP="005E0A82">
      <w:pPr>
        <w:rPr>
          <w:i/>
          <w:lang w:val="en-US"/>
        </w:rPr>
      </w:pPr>
      <w:r w:rsidRPr="004947E8">
        <w:rPr>
          <w:i/>
          <w:lang w:val="en-US"/>
        </w:rPr>
        <w:t xml:space="preserve">3. </w:t>
      </w:r>
      <w:r w:rsidR="005E0A82" w:rsidRPr="004947E8">
        <w:rPr>
          <w:i/>
          <w:lang w:val="en-US"/>
        </w:rPr>
        <w:t>Random</w:t>
      </w:r>
      <w:r w:rsidR="00677C6E" w:rsidRPr="004947E8">
        <w:rPr>
          <w:i/>
          <w:lang w:val="en-US"/>
        </w:rPr>
        <w:t>ly selected</w:t>
      </w:r>
      <w:r w:rsidR="005E0A82" w:rsidRPr="004947E8">
        <w:rPr>
          <w:i/>
          <w:lang w:val="en-US"/>
        </w:rPr>
        <w:t xml:space="preserve"> peer influence</w:t>
      </w:r>
    </w:p>
    <w:p w14:paraId="2052B283" w14:textId="5EFBBA32" w:rsidR="00201BED" w:rsidRDefault="00201BED" w:rsidP="005E0A82">
      <w:pPr>
        <w:rPr>
          <w:lang w:val="en-US"/>
        </w:rPr>
      </w:pPr>
      <w:r>
        <w:rPr>
          <w:lang w:val="en-US"/>
        </w:rPr>
        <w:t xml:space="preserve">This mechanism assumes that social influence is exerted by one peer at </w:t>
      </w:r>
      <w:r w:rsidR="00DE0C9E">
        <w:rPr>
          <w:lang w:val="en-US"/>
        </w:rPr>
        <w:t xml:space="preserve">a </w:t>
      </w:r>
      <w:r>
        <w:rPr>
          <w:lang w:val="en-US"/>
        </w:rPr>
        <w:t xml:space="preserve">time, </w:t>
      </w:r>
      <w:r w:rsidR="006E5BEC">
        <w:rPr>
          <w:lang w:val="en-US"/>
        </w:rPr>
        <w:t xml:space="preserve">analogous to a situation where a person discusses with one of its peers, and then </w:t>
      </w:r>
      <w:proofErr w:type="gramStart"/>
      <w:r w:rsidR="006E5BEC">
        <w:rPr>
          <w:lang w:val="en-US"/>
        </w:rPr>
        <w:t>make a decision</w:t>
      </w:r>
      <w:proofErr w:type="gramEnd"/>
      <w:r w:rsidR="006E5BEC">
        <w:rPr>
          <w:lang w:val="en-US"/>
        </w:rPr>
        <w:t xml:space="preserve">. </w:t>
      </w:r>
      <w:r w:rsidR="00875C85">
        <w:rPr>
          <w:lang w:val="en-US"/>
        </w:rPr>
        <w:t>At a later stage</w:t>
      </w:r>
      <w:r w:rsidR="006E5BEC">
        <w:rPr>
          <w:lang w:val="en-US"/>
        </w:rPr>
        <w:t xml:space="preserve">, the person </w:t>
      </w:r>
      <w:r w:rsidR="00875C85">
        <w:rPr>
          <w:lang w:val="en-US"/>
        </w:rPr>
        <w:t>might</w:t>
      </w:r>
      <w:r w:rsidR="006E5BEC">
        <w:rPr>
          <w:lang w:val="en-US"/>
        </w:rPr>
        <w:t xml:space="preserve"> engage with another of its peer</w:t>
      </w:r>
      <w:r w:rsidR="00DE0C9E">
        <w:rPr>
          <w:lang w:val="en-US"/>
        </w:rPr>
        <w:t>s</w:t>
      </w:r>
      <w:r w:rsidR="006E5BEC">
        <w:rPr>
          <w:lang w:val="en-US"/>
        </w:rPr>
        <w:t xml:space="preserve"> (or the same), and based on that encounter the </w:t>
      </w:r>
      <w:r w:rsidR="006E5BEC">
        <w:rPr>
          <w:lang w:val="en-US"/>
        </w:rPr>
        <w:lastRenderedPageBreak/>
        <w:t>person makes a new decision. A</w:t>
      </w:r>
      <w:r>
        <w:rPr>
          <w:lang w:val="en-US"/>
        </w:rPr>
        <w:t xml:space="preserve">lthough </w:t>
      </w:r>
      <w:r w:rsidR="006E5BEC">
        <w:rPr>
          <w:lang w:val="en-US"/>
        </w:rPr>
        <w:t xml:space="preserve">this influence mechanism </w:t>
      </w:r>
      <w:r w:rsidR="00A66B95">
        <w:rPr>
          <w:lang w:val="en-US"/>
        </w:rPr>
        <w:t>is based on sequential interactions</w:t>
      </w:r>
      <w:r w:rsidR="00875C85">
        <w:rPr>
          <w:lang w:val="en-US"/>
        </w:rPr>
        <w:t xml:space="preserve"> among peers</w:t>
      </w:r>
      <w:r w:rsidR="00A66B95">
        <w:rPr>
          <w:lang w:val="en-US"/>
        </w:rPr>
        <w:t xml:space="preserve">, </w:t>
      </w:r>
      <w:r>
        <w:rPr>
          <w:lang w:val="en-US"/>
        </w:rPr>
        <w:t xml:space="preserve">over longer time </w:t>
      </w:r>
      <w:r w:rsidR="00A66B95">
        <w:rPr>
          <w:lang w:val="en-US"/>
        </w:rPr>
        <w:t xml:space="preserve">periods social </w:t>
      </w:r>
      <w:r>
        <w:rPr>
          <w:lang w:val="en-US"/>
        </w:rPr>
        <w:t>influence will be exerted by all peers.</w:t>
      </w:r>
    </w:p>
    <w:p w14:paraId="4B0769C7" w14:textId="7A22F218" w:rsidR="005E0A82" w:rsidRDefault="005E0A82" w:rsidP="005E0A82">
      <w:pPr>
        <w:rPr>
          <w:lang w:val="en-US"/>
        </w:rPr>
      </w:pPr>
      <w:r>
        <w:rPr>
          <w:lang w:val="en-US"/>
        </w:rPr>
        <w:t xml:space="preserve">In this scenario, </w:t>
      </w:r>
      <w:r w:rsidR="00677C6E">
        <w:rPr>
          <w:lang w:val="en-US"/>
        </w:rPr>
        <w:t>one of the ego</w:t>
      </w:r>
      <w:r w:rsidR="007047D2">
        <w:rPr>
          <w:lang w:val="en-US"/>
        </w:rPr>
        <w:t>’</w:t>
      </w:r>
      <w:r w:rsidR="00677C6E">
        <w:rPr>
          <w:lang w:val="en-US"/>
        </w:rPr>
        <w:t>s peer</w:t>
      </w:r>
      <w:r w:rsidR="00A66B95">
        <w:rPr>
          <w:lang w:val="en-US"/>
        </w:rPr>
        <w:t>s</w:t>
      </w:r>
      <w:r w:rsidR="00677C6E">
        <w:rPr>
          <w:lang w:val="en-US"/>
        </w:rPr>
        <w:t xml:space="preserve"> will be randomly selected, and </w:t>
      </w:r>
      <w:r>
        <w:rPr>
          <w:lang w:val="en-US"/>
        </w:rPr>
        <w:t xml:space="preserve">ego </w:t>
      </w:r>
      <w:r w:rsidR="00B05E67">
        <w:rPr>
          <w:lang w:val="en-US"/>
        </w:rPr>
        <w:t>might</w:t>
      </w:r>
      <w:r>
        <w:rPr>
          <w:lang w:val="en-US"/>
        </w:rPr>
        <w:t xml:space="preserve"> change</w:t>
      </w:r>
      <w:r w:rsidR="00677C6E">
        <w:rPr>
          <w:lang w:val="en-US"/>
        </w:rPr>
        <w:t xml:space="preserve"> (given a fixed global </w:t>
      </w:r>
      <w:r w:rsidR="00B05E67">
        <w:rPr>
          <w:lang w:val="en-US"/>
        </w:rPr>
        <w:t>probability</w:t>
      </w:r>
      <w:r w:rsidR="00677C6E">
        <w:rPr>
          <w:lang w:val="en-US"/>
        </w:rPr>
        <w:t>) to that peer’s fertilizer use</w:t>
      </w:r>
      <w:r>
        <w:rPr>
          <w:lang w:val="en-US"/>
        </w:rPr>
        <w:t xml:space="preserve">. </w:t>
      </w:r>
      <w:r w:rsidR="00B05E67">
        <w:rPr>
          <w:lang w:val="en-US"/>
        </w:rPr>
        <w:t>Over time, this model implies that all the egos’ use of fertilizer will, on average, converge to the average of their peers’ uses</w:t>
      </w:r>
      <w:r w:rsidR="00A66B95">
        <w:rPr>
          <w:lang w:val="en-US"/>
        </w:rPr>
        <w:t xml:space="preserve"> (albeit we do not assume that the model will necessarily converge to a stable state)</w:t>
      </w:r>
      <w:r w:rsidR="00B05E67">
        <w:rPr>
          <w:lang w:val="en-US"/>
        </w:rPr>
        <w:t>.</w:t>
      </w:r>
    </w:p>
    <w:p w14:paraId="3DA8B173" w14:textId="0249FEB2" w:rsidR="00677C6E" w:rsidRPr="004947E8" w:rsidRDefault="005D46A7" w:rsidP="005E0A82">
      <w:pPr>
        <w:rPr>
          <w:i/>
          <w:lang w:val="en-US"/>
        </w:rPr>
      </w:pPr>
      <w:r w:rsidRPr="004947E8">
        <w:rPr>
          <w:i/>
          <w:lang w:val="en-US"/>
        </w:rPr>
        <w:t xml:space="preserve">4. </w:t>
      </w:r>
      <w:r w:rsidR="00190E7E" w:rsidRPr="004947E8">
        <w:rPr>
          <w:i/>
          <w:lang w:val="en-US"/>
        </w:rPr>
        <w:t>Homogeneity of opinions</w:t>
      </w:r>
      <w:r w:rsidR="00E6023D">
        <w:rPr>
          <w:i/>
          <w:lang w:val="en-US"/>
        </w:rPr>
        <w:t xml:space="preserve"> (“echo-chamber”)</w:t>
      </w:r>
    </w:p>
    <w:p w14:paraId="1A5EB01E" w14:textId="4FE471C3" w:rsidR="00201BED" w:rsidRDefault="00201BED" w:rsidP="00677C6E">
      <w:pPr>
        <w:rPr>
          <w:lang w:val="en-US"/>
        </w:rPr>
      </w:pPr>
      <w:r>
        <w:rPr>
          <w:lang w:val="en-US"/>
        </w:rPr>
        <w:t xml:space="preserve">This mechanism assumes that the willingness/likelihood of a person to change its </w:t>
      </w:r>
      <w:r w:rsidR="0017325C">
        <w:rPr>
          <w:lang w:val="en-US"/>
        </w:rPr>
        <w:t>opinion</w:t>
      </w:r>
      <w:r>
        <w:rPr>
          <w:lang w:val="en-US"/>
        </w:rPr>
        <w:t xml:space="preserve"> is conditional upon how certain its peers appear to be on what would be the preferred </w:t>
      </w:r>
      <w:r w:rsidR="0017325C">
        <w:rPr>
          <w:lang w:val="en-US"/>
        </w:rPr>
        <w:t>opinion</w:t>
      </w:r>
      <w:r>
        <w:rPr>
          <w:lang w:val="en-US"/>
        </w:rPr>
        <w:t xml:space="preserve">. If all its peers are in agreement, it is less likely the person will change preference to something that differs from its peer than if there is </w:t>
      </w:r>
      <w:r w:rsidR="00190E7E">
        <w:rPr>
          <w:lang w:val="en-US"/>
        </w:rPr>
        <w:t xml:space="preserve">already </w:t>
      </w:r>
      <w:r>
        <w:rPr>
          <w:lang w:val="en-US"/>
        </w:rPr>
        <w:t xml:space="preserve">some level of disagreement. </w:t>
      </w:r>
      <w:r w:rsidR="00387919">
        <w:rPr>
          <w:lang w:val="en-US"/>
        </w:rPr>
        <w:t xml:space="preserve">This mechanism </w:t>
      </w:r>
      <w:r w:rsidR="00DE0C9E">
        <w:rPr>
          <w:lang w:val="en-US"/>
        </w:rPr>
        <w:t xml:space="preserve">is </w:t>
      </w:r>
      <w:r w:rsidR="00387919">
        <w:rPr>
          <w:lang w:val="en-US"/>
        </w:rPr>
        <w:t>support</w:t>
      </w:r>
      <w:r w:rsidR="00DE0C9E">
        <w:rPr>
          <w:lang w:val="en-US"/>
        </w:rPr>
        <w:t>ed</w:t>
      </w:r>
      <w:r w:rsidR="0017325C">
        <w:rPr>
          <w:lang w:val="en-US"/>
        </w:rPr>
        <w:t xml:space="preserve"> </w:t>
      </w:r>
      <w:r w:rsidR="00DE0C9E">
        <w:rPr>
          <w:lang w:val="en-US"/>
        </w:rPr>
        <w:t xml:space="preserve">by </w:t>
      </w:r>
      <w:r w:rsidR="0017325C">
        <w:rPr>
          <w:lang w:val="en-US"/>
        </w:rPr>
        <w:t xml:space="preserve">recent findings </w:t>
      </w:r>
      <w:r w:rsidR="00DE0C9E">
        <w:rPr>
          <w:lang w:val="en-US"/>
        </w:rPr>
        <w:t xml:space="preserve">about </w:t>
      </w:r>
      <w:r w:rsidR="0017325C">
        <w:rPr>
          <w:lang w:val="en-US"/>
        </w:rPr>
        <w:t xml:space="preserve">associate homogeneity of opinions </w:t>
      </w:r>
      <w:r w:rsidR="00DE0C9E">
        <w:rPr>
          <w:lang w:val="en-US"/>
        </w:rPr>
        <w:t xml:space="preserve">in </w:t>
      </w:r>
      <w:r w:rsidR="0017325C">
        <w:rPr>
          <w:lang w:val="en-US"/>
        </w:rPr>
        <w:t xml:space="preserve">dense structures of communications among likeminded </w:t>
      </w:r>
      <w:r w:rsidR="00DE0C9E">
        <w:rPr>
          <w:lang w:val="en-US"/>
        </w:rPr>
        <w:t xml:space="preserve">people </w:t>
      </w:r>
      <w:r w:rsidR="0017325C">
        <w:rPr>
          <w:lang w:val="en-US"/>
        </w:rPr>
        <w:fldChar w:fldCharType="begin" w:fldLock="1"/>
      </w:r>
      <w:r w:rsidR="00D931F7">
        <w:rPr>
          <w:lang w:val="en-US"/>
        </w:rPr>
        <w:instrText>ADDIN CSL_CITATION {"citationItems":[{"id":"ITEM-1","itemData":{"DOI":"10.1038/nclimate2666","ISSN":"1758-678X","author":[{"dropping-particle":"","family":"Jasny","given":"Lorien","non-dropping-particle":"","parse-names":false,"suffix":""},{"dropping-particle":"","family":"Waggle","given":"Joseph","non-dropping-particle":"","parse-names":false,"suffix":""},{"dropping-particle":"","family":"Fisher","given":"Dana R.","non-dropping-particle":"","parse-names":false,"suffix":""}],"container-title":"Nature Climate Change","id":"ITEM-1","issue":"May","issued":{"date-parts":[["2015"]]},"page":"1-5","title":"An empirical examination of echo chambers in US climate policy networks","type":"article-journal"},"prefix":"e.g. ","uris":["http://www.mendeley.com/documents/?uuid=aed34af6-500c-4083-974b-3168d7d6b7ba"]}],"mendeley":{"formattedCitation":"(e.g. 4)","plainTextFormattedCitation":"(e.g. 4)","previouslyFormattedCitation":"(e.g. Jasny et al. 2015)"},"properties":{"noteIndex":0},"schema":"https://github.com/citation-style-language/schema/raw/master/csl-citation.json"}</w:instrText>
      </w:r>
      <w:r w:rsidR="0017325C">
        <w:rPr>
          <w:lang w:val="en-US"/>
        </w:rPr>
        <w:fldChar w:fldCharType="separate"/>
      </w:r>
      <w:r w:rsidR="00D931F7" w:rsidRPr="00D931F7">
        <w:rPr>
          <w:noProof/>
          <w:lang w:val="en-US"/>
        </w:rPr>
        <w:t>(e.g. 4)</w:t>
      </w:r>
      <w:r w:rsidR="0017325C">
        <w:rPr>
          <w:lang w:val="en-US"/>
        </w:rPr>
        <w:fldChar w:fldCharType="end"/>
      </w:r>
      <w:r w:rsidR="00387919">
        <w:rPr>
          <w:lang w:val="en-US"/>
        </w:rPr>
        <w:t xml:space="preserve">. </w:t>
      </w:r>
    </w:p>
    <w:p w14:paraId="62F994A1" w14:textId="142756B1" w:rsidR="00677C6E" w:rsidRDefault="00677C6E" w:rsidP="00677C6E">
      <w:pPr>
        <w:rPr>
          <w:lang w:val="en-US"/>
        </w:rPr>
      </w:pPr>
      <w:r>
        <w:rPr>
          <w:lang w:val="en-US"/>
        </w:rPr>
        <w:t xml:space="preserve">In this scenario, the ego will </w:t>
      </w:r>
      <w:r w:rsidR="0017325C">
        <w:rPr>
          <w:lang w:val="en-US"/>
        </w:rPr>
        <w:t xml:space="preserve">randomly </w:t>
      </w:r>
      <w:r>
        <w:rPr>
          <w:lang w:val="en-US"/>
        </w:rPr>
        <w:t xml:space="preserve">change </w:t>
      </w:r>
      <w:r w:rsidR="00D75CDD">
        <w:rPr>
          <w:lang w:val="en-US"/>
        </w:rPr>
        <w:t xml:space="preserve">its </w:t>
      </w:r>
      <w:r w:rsidR="00B05E67">
        <w:rPr>
          <w:lang w:val="en-US"/>
        </w:rPr>
        <w:t>use conditional on a</w:t>
      </w:r>
      <w:r>
        <w:rPr>
          <w:lang w:val="en-US"/>
        </w:rPr>
        <w:t xml:space="preserve"> probability that is dependent upon </w:t>
      </w:r>
      <w:r w:rsidR="00DE0C9E">
        <w:rPr>
          <w:lang w:val="en-US"/>
        </w:rPr>
        <w:t>the</w:t>
      </w:r>
      <w:r w:rsidR="009849E8">
        <w:rPr>
          <w:lang w:val="en-US"/>
        </w:rPr>
        <w:t xml:space="preserve"> extent </w:t>
      </w:r>
      <w:r w:rsidR="00DE0C9E">
        <w:rPr>
          <w:lang w:val="en-US"/>
        </w:rPr>
        <w:t xml:space="preserve">of </w:t>
      </w:r>
      <w:r w:rsidR="009849E8">
        <w:rPr>
          <w:lang w:val="en-US"/>
        </w:rPr>
        <w:t>ego’s current align</w:t>
      </w:r>
      <w:r w:rsidR="00DE0C9E">
        <w:rPr>
          <w:lang w:val="en-US"/>
        </w:rPr>
        <w:t>ment</w:t>
      </w:r>
      <w:r w:rsidR="009849E8">
        <w:rPr>
          <w:lang w:val="en-US"/>
        </w:rPr>
        <w:t xml:space="preserve"> with its peers. If all peers, and the ego</w:t>
      </w:r>
      <w:r w:rsidR="00B05E67">
        <w:rPr>
          <w:lang w:val="en-US"/>
        </w:rPr>
        <w:t xml:space="preserve"> itself</w:t>
      </w:r>
      <w:r w:rsidR="009849E8">
        <w:rPr>
          <w:lang w:val="en-US"/>
        </w:rPr>
        <w:t>, are using fertilizer</w:t>
      </w:r>
      <w:r w:rsidR="00D75CDD">
        <w:rPr>
          <w:lang w:val="en-US"/>
        </w:rPr>
        <w:t xml:space="preserve"> in the same way</w:t>
      </w:r>
      <w:r w:rsidR="009849E8">
        <w:rPr>
          <w:lang w:val="en-US"/>
        </w:rPr>
        <w:t>, the probability for change is small (</w:t>
      </w:r>
      <w:proofErr w:type="gramStart"/>
      <w:r w:rsidR="00DE0C9E">
        <w:rPr>
          <w:lang w:val="en-US"/>
        </w:rPr>
        <w:t>e.g.</w:t>
      </w:r>
      <w:proofErr w:type="gramEnd"/>
      <w:r w:rsidR="00DE0C9E">
        <w:rPr>
          <w:lang w:val="en-US"/>
        </w:rPr>
        <w:t xml:space="preserve"> </w:t>
      </w:r>
      <w:r w:rsidR="009849E8">
        <w:rPr>
          <w:lang w:val="en-US"/>
        </w:rPr>
        <w:t>5%). If there is disagreement, the probability for change is significantly higher (</w:t>
      </w:r>
      <w:r w:rsidR="0017325C">
        <w:rPr>
          <w:lang w:val="en-US"/>
        </w:rPr>
        <w:t xml:space="preserve">e.g. </w:t>
      </w:r>
      <w:r w:rsidR="009849E8">
        <w:rPr>
          <w:lang w:val="en-US"/>
        </w:rPr>
        <w:t xml:space="preserve">20%). </w:t>
      </w:r>
      <w:r w:rsidR="0017325C">
        <w:rPr>
          <w:lang w:val="en-US"/>
        </w:rPr>
        <w:t xml:space="preserve">It is enough with one peer, or the ego itself, to use fertilizers in a different way in relation to the others for disagreement to </w:t>
      </w:r>
      <w:r w:rsidR="00392855">
        <w:rPr>
          <w:lang w:val="en-US"/>
        </w:rPr>
        <w:t>be present</w:t>
      </w:r>
      <w:r w:rsidR="0017325C">
        <w:rPr>
          <w:lang w:val="en-US"/>
        </w:rPr>
        <w:t>.</w:t>
      </w:r>
    </w:p>
    <w:p w14:paraId="434C5FAC" w14:textId="44357168" w:rsidR="009849E8" w:rsidRPr="004947E8" w:rsidRDefault="005D46A7" w:rsidP="00677C6E">
      <w:pPr>
        <w:rPr>
          <w:i/>
          <w:lang w:val="en-US"/>
        </w:rPr>
      </w:pPr>
      <w:r w:rsidRPr="004947E8">
        <w:rPr>
          <w:i/>
          <w:lang w:val="en-US"/>
        </w:rPr>
        <w:t xml:space="preserve">5. </w:t>
      </w:r>
      <w:r w:rsidR="009849E8" w:rsidRPr="004947E8">
        <w:rPr>
          <w:i/>
          <w:lang w:val="en-US"/>
        </w:rPr>
        <w:t>Social influence conditional o</w:t>
      </w:r>
      <w:r w:rsidR="007047D2">
        <w:rPr>
          <w:i/>
          <w:lang w:val="en-US"/>
        </w:rPr>
        <w:t>n</w:t>
      </w:r>
      <w:r w:rsidR="009849E8" w:rsidRPr="004947E8">
        <w:rPr>
          <w:i/>
          <w:lang w:val="en-US"/>
        </w:rPr>
        <w:t xml:space="preserve"> peers being highly connected</w:t>
      </w:r>
    </w:p>
    <w:p w14:paraId="0BCF7765" w14:textId="390484B8" w:rsidR="00201BED" w:rsidRDefault="00201BED" w:rsidP="009849E8">
      <w:pPr>
        <w:rPr>
          <w:lang w:val="en-US"/>
        </w:rPr>
      </w:pPr>
      <w:r>
        <w:rPr>
          <w:lang w:val="en-US"/>
        </w:rPr>
        <w:t xml:space="preserve">This mechanism assumes that people are only being influenced by others that are highly </w:t>
      </w:r>
      <w:r w:rsidR="005D5E72">
        <w:rPr>
          <w:lang w:val="en-US"/>
        </w:rPr>
        <w:t xml:space="preserve">socially </w:t>
      </w:r>
      <w:r>
        <w:rPr>
          <w:lang w:val="en-US"/>
        </w:rPr>
        <w:t xml:space="preserve">connected. It essentially assumed there is a threshold, and if anyone has fewer peers that this threshold, </w:t>
      </w:r>
      <w:r w:rsidR="00DE0C9E">
        <w:rPr>
          <w:lang w:val="en-US"/>
        </w:rPr>
        <w:t xml:space="preserve">s/he </w:t>
      </w:r>
      <w:r>
        <w:rPr>
          <w:lang w:val="en-US"/>
        </w:rPr>
        <w:t>will not exert any influence</w:t>
      </w:r>
      <w:r w:rsidR="005D5E72">
        <w:rPr>
          <w:lang w:val="en-US"/>
        </w:rPr>
        <w:t xml:space="preserve"> on its peers</w:t>
      </w:r>
      <w:r>
        <w:rPr>
          <w:lang w:val="en-US"/>
        </w:rPr>
        <w:t>.</w:t>
      </w:r>
      <w:r w:rsidR="005D5E72">
        <w:rPr>
          <w:lang w:val="en-US"/>
        </w:rPr>
        <w:t xml:space="preserve"> This mechanism </w:t>
      </w:r>
      <w:r w:rsidR="00DE0C9E">
        <w:rPr>
          <w:lang w:val="en-US"/>
        </w:rPr>
        <w:t xml:space="preserve">is based in numerous </w:t>
      </w:r>
      <w:r w:rsidR="005D5E72">
        <w:rPr>
          <w:lang w:val="en-US"/>
        </w:rPr>
        <w:t xml:space="preserve">studies showing that </w:t>
      </w:r>
      <w:r w:rsidR="00DE0C9E">
        <w:rPr>
          <w:lang w:val="en-US"/>
        </w:rPr>
        <w:t xml:space="preserve">actors </w:t>
      </w:r>
      <w:r w:rsidR="007C469E">
        <w:rPr>
          <w:lang w:val="en-US"/>
        </w:rPr>
        <w:t xml:space="preserve">with </w:t>
      </w:r>
      <w:r w:rsidR="00DE0C9E">
        <w:rPr>
          <w:lang w:val="en-US"/>
        </w:rPr>
        <w:t xml:space="preserve">abundant </w:t>
      </w:r>
      <w:r w:rsidR="007C469E">
        <w:rPr>
          <w:lang w:val="en-US"/>
        </w:rPr>
        <w:t xml:space="preserve">social ties are perceived as more worthy to connect with simply because they are well connected (this long standing observation of many social networks was generalized to networks of various kinds in the late 90s, see e.g. </w:t>
      </w:r>
      <w:r w:rsidR="007C469E">
        <w:rPr>
          <w:lang w:val="en-US"/>
        </w:rPr>
        <w:fldChar w:fldCharType="begin" w:fldLock="1"/>
      </w:r>
      <w:r w:rsidR="00D931F7">
        <w:rPr>
          <w:lang w:val="en-US"/>
        </w:rPr>
        <w:instrText>ADDIN CSL_CITATION {"citationItems":[{"id":"ITEM-1","itemData":{"abstract":"Systems as diverse as genetic networks or the World Wide Web are best described as networks with complex topology. A common property of many Large networks is that the vertex connectivities follow a scale-free power-law distribution. This feature was found to be a consequence of two generic mechanisms: (i) networks expand continuously by the addition of new vertices, and (ii) new vertices attach preferentially to sites that are already well connected. A model based on these two ingredients reproduces the observed stationary scale-free distributions, which indicates that the development of Large networks is governed by robust self-organizing phenomena that go beyond the particulars of the individual systems.","author":[{"dropping-particle":"","family":"Barabási","given":"A L","non-dropping-particle":"","parse-names":false,"suffix":""},{"dropping-particle":"","family":"Albert","given":"R","non-dropping-particle":"","parse-names":false,"suffix":""}],"container-title":"Science","id":"ITEM-1","issued":{"date-parts":[["1999"]]},"note":"ISI:000083121200054","page":"509-512","title":"Emergence of scaling in random networks","type":"article-journal","volume":"286"},"uris":["http://www.mendeley.com/documents/?uuid=1ce5bbe7-2003-429f-bf8b-b508f3e2a776"]}],"mendeley":{"formattedCitation":"(5)","plainTextFormattedCitation":"(5)","previouslyFormattedCitation":"(Barabási and Albert 1999)"},"properties":{"noteIndex":0},"schema":"https://github.com/citation-style-language/schema/raw/master/csl-citation.json"}</w:instrText>
      </w:r>
      <w:r w:rsidR="007C469E">
        <w:rPr>
          <w:lang w:val="en-US"/>
        </w:rPr>
        <w:fldChar w:fldCharType="separate"/>
      </w:r>
      <w:r w:rsidR="00D931F7" w:rsidRPr="00D931F7">
        <w:rPr>
          <w:noProof/>
          <w:lang w:val="en-US"/>
        </w:rPr>
        <w:t>(5)</w:t>
      </w:r>
      <w:r w:rsidR="007C469E">
        <w:rPr>
          <w:lang w:val="en-US"/>
        </w:rPr>
        <w:fldChar w:fldCharType="end"/>
      </w:r>
      <w:r w:rsidR="007C469E">
        <w:rPr>
          <w:lang w:val="en-US"/>
        </w:rPr>
        <w:t>)</w:t>
      </w:r>
      <w:r w:rsidR="005D5E72">
        <w:rPr>
          <w:lang w:val="en-US"/>
        </w:rPr>
        <w:t xml:space="preserve">. </w:t>
      </w:r>
    </w:p>
    <w:p w14:paraId="3247E2A6" w14:textId="6E32A0E9" w:rsidR="009849E8" w:rsidRDefault="009849E8" w:rsidP="009849E8">
      <w:pPr>
        <w:rPr>
          <w:lang w:val="en-US"/>
        </w:rPr>
      </w:pPr>
      <w:r>
        <w:rPr>
          <w:lang w:val="en-US"/>
        </w:rPr>
        <w:t xml:space="preserve">In this scenario, the ego will potentially change, given a fixed probability, its use to what the majority of its highly central peers are using. </w:t>
      </w:r>
      <w:r w:rsidR="00DE0C9E">
        <w:rPr>
          <w:lang w:val="en-US"/>
        </w:rPr>
        <w:t xml:space="preserve">In the applied model settings, </w:t>
      </w:r>
      <w:r>
        <w:rPr>
          <w:lang w:val="en-US"/>
        </w:rPr>
        <w:t xml:space="preserve">highly central </w:t>
      </w:r>
      <w:r w:rsidR="00B05E67">
        <w:rPr>
          <w:lang w:val="en-US"/>
        </w:rPr>
        <w:t>peer</w:t>
      </w:r>
      <w:r w:rsidR="00DE0C9E">
        <w:rPr>
          <w:lang w:val="en-US"/>
        </w:rPr>
        <w:t>s</w:t>
      </w:r>
      <w:r>
        <w:rPr>
          <w:lang w:val="en-US"/>
        </w:rPr>
        <w:t xml:space="preserve"> </w:t>
      </w:r>
      <w:r w:rsidR="00DE0C9E">
        <w:rPr>
          <w:lang w:val="en-US"/>
        </w:rPr>
        <w:t>were those with</w:t>
      </w:r>
      <w:r>
        <w:rPr>
          <w:lang w:val="en-US"/>
        </w:rPr>
        <w:t xml:space="preserve"> degree centralit</w:t>
      </w:r>
      <w:r w:rsidR="00DE0C9E">
        <w:rPr>
          <w:lang w:val="en-US"/>
        </w:rPr>
        <w:t>ies</w:t>
      </w:r>
      <w:r>
        <w:rPr>
          <w:lang w:val="en-US"/>
        </w:rPr>
        <w:t xml:space="preserve"> exceed</w:t>
      </w:r>
      <w:r w:rsidR="00DE0C9E">
        <w:rPr>
          <w:lang w:val="en-US"/>
        </w:rPr>
        <w:t>ing</w:t>
      </w:r>
      <w:r>
        <w:rPr>
          <w:lang w:val="en-US"/>
        </w:rPr>
        <w:t xml:space="preserve"> the mean </w:t>
      </w:r>
      <w:r w:rsidR="00DE0C9E">
        <w:rPr>
          <w:lang w:val="en-US"/>
        </w:rPr>
        <w:t>degree in their network</w:t>
      </w:r>
      <w:r>
        <w:rPr>
          <w:lang w:val="en-US"/>
        </w:rPr>
        <w:t xml:space="preserve"> plus</w:t>
      </w:r>
      <w:r w:rsidR="00DE0C9E">
        <w:rPr>
          <w:lang w:val="en-US"/>
        </w:rPr>
        <w:t xml:space="preserve"> </w:t>
      </w:r>
      <w:r w:rsidR="0080428F">
        <w:rPr>
          <w:lang w:val="en-US"/>
        </w:rPr>
        <w:t>two to four</w:t>
      </w:r>
      <w:r>
        <w:rPr>
          <w:lang w:val="en-US"/>
        </w:rPr>
        <w:t xml:space="preserve"> standard deviation</w:t>
      </w:r>
      <w:r w:rsidR="004A0AD1">
        <w:rPr>
          <w:lang w:val="en-US"/>
        </w:rPr>
        <w:t>s</w:t>
      </w:r>
      <w:r>
        <w:rPr>
          <w:lang w:val="en-US"/>
        </w:rPr>
        <w:t xml:space="preserve">. </w:t>
      </w:r>
    </w:p>
    <w:p w14:paraId="48404CDD" w14:textId="027EB3B1" w:rsidR="005D230D" w:rsidRPr="004E589B" w:rsidRDefault="00F147FE" w:rsidP="009849E8">
      <w:pPr>
        <w:rPr>
          <w:u w:val="single"/>
          <w:lang w:val="en-US"/>
        </w:rPr>
      </w:pPr>
      <w:r w:rsidRPr="004E589B">
        <w:rPr>
          <w:u w:val="single"/>
          <w:lang w:val="en-US"/>
        </w:rPr>
        <w:t>R</w:t>
      </w:r>
      <w:r w:rsidR="005D230D" w:rsidRPr="004E589B">
        <w:rPr>
          <w:u w:val="single"/>
          <w:lang w:val="en-US"/>
        </w:rPr>
        <w:t>esults</w:t>
      </w:r>
      <w:r w:rsidRPr="004E589B">
        <w:rPr>
          <w:u w:val="single"/>
          <w:lang w:val="en-US"/>
        </w:rPr>
        <w:t xml:space="preserve"> from the ABMs</w:t>
      </w:r>
    </w:p>
    <w:p w14:paraId="24AAD8C5" w14:textId="78F7C1F8" w:rsidR="002F3A15" w:rsidRDefault="005A56BC" w:rsidP="005A56BC">
      <w:pPr>
        <w:rPr>
          <w:lang w:val="en-US"/>
        </w:rPr>
      </w:pPr>
      <w:r>
        <w:rPr>
          <w:lang w:val="en-US"/>
        </w:rPr>
        <w:t xml:space="preserve">In evaluating the five different </w:t>
      </w:r>
      <w:r w:rsidR="00BE33DB">
        <w:rPr>
          <w:lang w:val="en-US"/>
        </w:rPr>
        <w:t>influence mechanisms</w:t>
      </w:r>
      <w:r>
        <w:rPr>
          <w:lang w:val="en-US"/>
        </w:rPr>
        <w:t>, we tried out different values, and different combinations of values, for all the parameters associated with all model scenarios. Start</w:t>
      </w:r>
      <w:r w:rsidR="00966E32">
        <w:rPr>
          <w:lang w:val="en-US"/>
        </w:rPr>
        <w:t xml:space="preserve">ing </w:t>
      </w:r>
      <w:r>
        <w:rPr>
          <w:lang w:val="en-US"/>
        </w:rPr>
        <w:t>from a set of initial parameter values, we tried to recreate patterns of fertilizer uses that qualitatively resembled the empirical observations in networks both above and below the threshold.</w:t>
      </w:r>
      <w:r w:rsidR="00966E32">
        <w:rPr>
          <w:lang w:val="en-US"/>
        </w:rPr>
        <w:t xml:space="preserve"> We </w:t>
      </w:r>
      <w:r w:rsidR="007D5154">
        <w:rPr>
          <w:lang w:val="en-US"/>
        </w:rPr>
        <w:t xml:space="preserve">modelled the social influence scenarios on </w:t>
      </w:r>
      <w:r w:rsidR="00966E32">
        <w:rPr>
          <w:lang w:val="en-US"/>
        </w:rPr>
        <w:t xml:space="preserve">two </w:t>
      </w:r>
      <w:r w:rsidR="007D5154">
        <w:rPr>
          <w:lang w:val="en-US"/>
        </w:rPr>
        <w:t xml:space="preserve">of the village </w:t>
      </w:r>
      <w:r w:rsidR="00966E32">
        <w:rPr>
          <w:lang w:val="en-US"/>
        </w:rPr>
        <w:t xml:space="preserve">networks below and above the threshold </w:t>
      </w:r>
      <w:r w:rsidR="002F3A15">
        <w:rPr>
          <w:lang w:val="en-US"/>
        </w:rPr>
        <w:t xml:space="preserve">(Fig. </w:t>
      </w:r>
      <w:r w:rsidR="007D5154">
        <w:rPr>
          <w:lang w:val="en-US"/>
        </w:rPr>
        <w:t>S</w:t>
      </w:r>
      <w:r w:rsidR="002F3A15">
        <w:rPr>
          <w:lang w:val="en-US"/>
        </w:rPr>
        <w:t>2)</w:t>
      </w:r>
      <w:r w:rsidR="00966E32">
        <w:rPr>
          <w:lang w:val="en-US"/>
        </w:rPr>
        <w:t>.</w:t>
      </w:r>
    </w:p>
    <w:p w14:paraId="5425C5C2" w14:textId="770F5B01" w:rsidR="002F3A15" w:rsidRPr="00FC6EB0" w:rsidRDefault="002F3A15" w:rsidP="005A56BC">
      <w:pPr>
        <w:rPr>
          <w:noProof/>
          <w:lang w:val="en-US" w:eastAsia="sv-SE"/>
        </w:rPr>
      </w:pPr>
      <w:r>
        <w:rPr>
          <w:noProof/>
          <w:lang w:eastAsia="sv-SE"/>
        </w:rPr>
        <w:lastRenderedPageBreak/>
        <w:drawing>
          <wp:inline distT="0" distB="0" distL="0" distR="0" wp14:anchorId="1D4F4724" wp14:editId="1653F562">
            <wp:extent cx="2216727" cy="16776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2380" cy="1697103"/>
                    </a:xfrm>
                    <a:prstGeom prst="rect">
                      <a:avLst/>
                    </a:prstGeom>
                  </pic:spPr>
                </pic:pic>
              </a:graphicData>
            </a:graphic>
          </wp:inline>
        </w:drawing>
      </w:r>
      <w:r w:rsidRPr="00FC6EB0">
        <w:rPr>
          <w:noProof/>
          <w:lang w:val="en-US" w:eastAsia="sv-SE"/>
        </w:rPr>
        <w:t xml:space="preserve"> </w:t>
      </w:r>
      <w:r>
        <w:rPr>
          <w:noProof/>
          <w:lang w:eastAsia="sv-SE"/>
        </w:rPr>
        <w:drawing>
          <wp:inline distT="0" distB="0" distL="0" distR="0" wp14:anchorId="1296897E" wp14:editId="399279D0">
            <wp:extent cx="1946564" cy="17777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2311" cy="1810378"/>
                    </a:xfrm>
                    <a:prstGeom prst="rect">
                      <a:avLst/>
                    </a:prstGeom>
                  </pic:spPr>
                </pic:pic>
              </a:graphicData>
            </a:graphic>
          </wp:inline>
        </w:drawing>
      </w:r>
    </w:p>
    <w:p w14:paraId="23432947" w14:textId="145249BA" w:rsidR="002F3A15" w:rsidRPr="002F3A15" w:rsidRDefault="002F3A15" w:rsidP="005A56BC">
      <w:pPr>
        <w:rPr>
          <w:i/>
          <w:lang w:val="en-US"/>
        </w:rPr>
      </w:pPr>
      <w:r w:rsidRPr="00721E61">
        <w:rPr>
          <w:b/>
          <w:i/>
          <w:noProof/>
          <w:lang w:val="en-US" w:eastAsia="sv-SE"/>
        </w:rPr>
        <w:t xml:space="preserve">Fig. </w:t>
      </w:r>
      <w:r w:rsidR="007D5154" w:rsidRPr="00721E61">
        <w:rPr>
          <w:b/>
          <w:i/>
          <w:noProof/>
          <w:lang w:val="en-US" w:eastAsia="sv-SE"/>
        </w:rPr>
        <w:t>S</w:t>
      </w:r>
      <w:r w:rsidRPr="00721E61">
        <w:rPr>
          <w:b/>
          <w:i/>
          <w:noProof/>
          <w:lang w:val="en-US" w:eastAsia="sv-SE"/>
        </w:rPr>
        <w:t xml:space="preserve">2. </w:t>
      </w:r>
      <w:r w:rsidR="007D5154">
        <w:rPr>
          <w:b/>
          <w:i/>
          <w:noProof/>
          <w:lang w:val="en-US" w:eastAsia="sv-SE"/>
        </w:rPr>
        <w:t>The</w:t>
      </w:r>
      <w:r w:rsidR="001F7818" w:rsidRPr="00721E61">
        <w:rPr>
          <w:b/>
          <w:i/>
          <w:noProof/>
          <w:lang w:val="en-US" w:eastAsia="sv-SE"/>
        </w:rPr>
        <w:t xml:space="preserve"> t</w:t>
      </w:r>
      <w:r w:rsidRPr="00721E61">
        <w:rPr>
          <w:b/>
          <w:i/>
          <w:noProof/>
          <w:lang w:val="en-US" w:eastAsia="sv-SE"/>
        </w:rPr>
        <w:t xml:space="preserve">wo </w:t>
      </w:r>
      <w:r w:rsidR="007D5154">
        <w:rPr>
          <w:b/>
          <w:i/>
          <w:noProof/>
          <w:lang w:val="en-US" w:eastAsia="sv-SE"/>
        </w:rPr>
        <w:t>village</w:t>
      </w:r>
      <w:r w:rsidR="001F7818" w:rsidRPr="00721E61">
        <w:rPr>
          <w:b/>
          <w:i/>
          <w:noProof/>
          <w:lang w:val="en-US" w:eastAsia="sv-SE"/>
        </w:rPr>
        <w:t xml:space="preserve"> </w:t>
      </w:r>
      <w:r w:rsidRPr="00721E61">
        <w:rPr>
          <w:b/>
          <w:i/>
          <w:noProof/>
          <w:lang w:val="en-US" w:eastAsia="sv-SE"/>
        </w:rPr>
        <w:t>networks used for ABM explorations.</w:t>
      </w:r>
      <w:r w:rsidRPr="002F3A15">
        <w:rPr>
          <w:i/>
          <w:noProof/>
          <w:lang w:val="en-US" w:eastAsia="sv-SE"/>
        </w:rPr>
        <w:t xml:space="preserve"> The network to the left has 31 nodes, a degree centralization of 0.69, and only two farmers (6%) that are using fertilizers. To the right, the network has 33 nodes, a degree centralization score of 0.30, and 21% of the farmers are using fertilizer.</w:t>
      </w:r>
    </w:p>
    <w:p w14:paraId="76950EEF" w14:textId="2CEA15D5" w:rsidR="005D230D" w:rsidRDefault="005A56BC" w:rsidP="005A56BC">
      <w:pPr>
        <w:rPr>
          <w:lang w:val="en-US"/>
        </w:rPr>
      </w:pPr>
      <w:r>
        <w:rPr>
          <w:lang w:val="en-US"/>
        </w:rPr>
        <w:t>I</w:t>
      </w:r>
      <w:r w:rsidR="007047D2">
        <w:rPr>
          <w:lang w:val="en-US"/>
        </w:rPr>
        <w:t>t</w:t>
      </w:r>
      <w:r>
        <w:rPr>
          <w:lang w:val="en-US"/>
        </w:rPr>
        <w:t xml:space="preserve"> was relatively easy to create patterns that resembled a diversity of fertilize</w:t>
      </w:r>
      <w:r w:rsidR="00CD2D42">
        <w:rPr>
          <w:lang w:val="en-US"/>
        </w:rPr>
        <w:t>r</w:t>
      </w:r>
      <w:r>
        <w:rPr>
          <w:lang w:val="en-US"/>
        </w:rPr>
        <w:t xml:space="preserve"> use across </w:t>
      </w:r>
      <w:r w:rsidR="00F147FE">
        <w:rPr>
          <w:lang w:val="en-US"/>
        </w:rPr>
        <w:t xml:space="preserve">all </w:t>
      </w:r>
      <w:r>
        <w:rPr>
          <w:lang w:val="en-US"/>
        </w:rPr>
        <w:t>the networks just by increasing the overall level of randomness. It was, generally, also not difficult to generate outcomes where everyone or nearly every agent used fertilizer in the same way by reducing the level of randomness</w:t>
      </w:r>
      <w:r w:rsidR="00F147FE">
        <w:rPr>
          <w:lang w:val="en-US"/>
        </w:rPr>
        <w:t xml:space="preserve"> (thereby indirectly strengthening social influence)</w:t>
      </w:r>
      <w:r>
        <w:rPr>
          <w:lang w:val="en-US"/>
        </w:rPr>
        <w:t>. The challenge was to, for a given set of parameter values, generate networks where the level of heterogeneity was high</w:t>
      </w:r>
      <w:r w:rsidR="00C1309E">
        <w:rPr>
          <w:lang w:val="en-US"/>
        </w:rPr>
        <w:t xml:space="preserve"> in the non-centralized network</w:t>
      </w:r>
      <w:r>
        <w:rPr>
          <w:lang w:val="en-US"/>
        </w:rPr>
        <w:t xml:space="preserve"> while also leading </w:t>
      </w:r>
      <w:r w:rsidR="00F147FE">
        <w:rPr>
          <w:lang w:val="en-US"/>
        </w:rPr>
        <w:t xml:space="preserve">to </w:t>
      </w:r>
      <w:r>
        <w:rPr>
          <w:lang w:val="en-US"/>
        </w:rPr>
        <w:t>strong homogen</w:t>
      </w:r>
      <w:r w:rsidR="00C1309E">
        <w:rPr>
          <w:lang w:val="en-US"/>
        </w:rPr>
        <w:t>eity in the centralized network</w:t>
      </w:r>
      <w:r>
        <w:rPr>
          <w:lang w:val="en-US"/>
        </w:rPr>
        <w:t xml:space="preserve">. In our search for those combinations of values that could lead to that desired outcome, we followed a </w:t>
      </w:r>
      <w:r w:rsidR="00C1309E">
        <w:rPr>
          <w:lang w:val="en-US"/>
        </w:rPr>
        <w:t>“</w:t>
      </w:r>
      <w:r>
        <w:rPr>
          <w:lang w:val="en-US"/>
        </w:rPr>
        <w:t>non-automated</w:t>
      </w:r>
      <w:r w:rsidR="00C1309E">
        <w:rPr>
          <w:lang w:val="en-US"/>
        </w:rPr>
        <w:t>”</w:t>
      </w:r>
      <w:r>
        <w:rPr>
          <w:lang w:val="en-US"/>
        </w:rPr>
        <w:t xml:space="preserve"> hill-climbing algorithm in our explorations.</w:t>
      </w:r>
      <w:r w:rsidR="00BE33DB">
        <w:rPr>
          <w:lang w:val="en-US"/>
        </w:rPr>
        <w:t xml:space="preserve"> To avoid </w:t>
      </w:r>
      <w:r w:rsidR="00C1309E">
        <w:rPr>
          <w:lang w:val="en-US"/>
        </w:rPr>
        <w:t>getting stuck only testing</w:t>
      </w:r>
      <w:r w:rsidR="00BE33DB">
        <w:rPr>
          <w:lang w:val="en-US"/>
        </w:rPr>
        <w:t xml:space="preserve"> parameter values that could only take us to a local minimum, we made sure to restart our high-climbing algorithm at times when our searches led nowhere. Using this approach, we are confident that we have</w:t>
      </w:r>
      <w:r w:rsidR="00F147FE">
        <w:rPr>
          <w:lang w:val="en-US"/>
        </w:rPr>
        <w:t>,</w:t>
      </w:r>
      <w:r w:rsidR="00BE33DB">
        <w:rPr>
          <w:lang w:val="en-US"/>
        </w:rPr>
        <w:t xml:space="preserve"> </w:t>
      </w:r>
      <w:r w:rsidR="00F147FE">
        <w:rPr>
          <w:lang w:val="en-US"/>
        </w:rPr>
        <w:t xml:space="preserve">in practice, </w:t>
      </w:r>
      <w:r w:rsidR="00BE33DB">
        <w:rPr>
          <w:lang w:val="en-US"/>
        </w:rPr>
        <w:t xml:space="preserve">exhausted </w:t>
      </w:r>
      <w:r w:rsidR="002D5566">
        <w:rPr>
          <w:lang w:val="en-US"/>
        </w:rPr>
        <w:t>all</w:t>
      </w:r>
      <w:r w:rsidR="00BE33DB">
        <w:rPr>
          <w:lang w:val="en-US"/>
        </w:rPr>
        <w:t xml:space="preserve"> possibilities that certain un-tested combinations of parameter values could have led to </w:t>
      </w:r>
      <w:r w:rsidR="002D5566">
        <w:rPr>
          <w:lang w:val="en-US"/>
        </w:rPr>
        <w:t>the desired outcome</w:t>
      </w:r>
      <w:r w:rsidR="00BE33DB">
        <w:rPr>
          <w:lang w:val="en-US"/>
        </w:rPr>
        <w:t xml:space="preserve">, albeit we acknowledge that we cannot entirely rule out the possibility </w:t>
      </w:r>
      <w:r w:rsidR="002D5566">
        <w:rPr>
          <w:lang w:val="en-US"/>
        </w:rPr>
        <w:t>any</w:t>
      </w:r>
      <w:r w:rsidR="00BE33DB">
        <w:rPr>
          <w:lang w:val="en-US"/>
        </w:rPr>
        <w:t xml:space="preserve"> </w:t>
      </w:r>
      <w:r w:rsidR="002D5566">
        <w:rPr>
          <w:lang w:val="en-US"/>
        </w:rPr>
        <w:t xml:space="preserve">such undetected regions in parameter space </w:t>
      </w:r>
      <w:r w:rsidR="00F147FE">
        <w:rPr>
          <w:lang w:val="en-US"/>
        </w:rPr>
        <w:t xml:space="preserve">still </w:t>
      </w:r>
      <w:r w:rsidR="002D5566">
        <w:rPr>
          <w:lang w:val="en-US"/>
        </w:rPr>
        <w:t xml:space="preserve">exist. But we maintain that if such regions do exist, they would be very small and likely associated with parameter values </w:t>
      </w:r>
      <w:r w:rsidR="00F147FE">
        <w:rPr>
          <w:lang w:val="en-US"/>
        </w:rPr>
        <w:t xml:space="preserve">and combinations thereof </w:t>
      </w:r>
      <w:r w:rsidR="002D5566">
        <w:rPr>
          <w:lang w:val="en-US"/>
        </w:rPr>
        <w:t xml:space="preserve">that would be rather extreme. Hence, even if </w:t>
      </w:r>
      <w:r w:rsidR="00CD2D42">
        <w:rPr>
          <w:lang w:val="en-US"/>
        </w:rPr>
        <w:t xml:space="preserve">these </w:t>
      </w:r>
      <w:r w:rsidR="002D5566">
        <w:rPr>
          <w:lang w:val="en-US"/>
        </w:rPr>
        <w:t>exist</w:t>
      </w:r>
      <w:r w:rsidR="002D5566" w:rsidRPr="002D5566">
        <w:rPr>
          <w:lang w:val="en-US"/>
        </w:rPr>
        <w:t xml:space="preserve"> </w:t>
      </w:r>
      <w:r w:rsidR="002D5566">
        <w:rPr>
          <w:lang w:val="en-US"/>
        </w:rPr>
        <w:t>in a numerical sense, the likelihood that they could explain the empirical observations would be</w:t>
      </w:r>
      <w:r w:rsidR="00F147FE">
        <w:rPr>
          <w:lang w:val="en-US"/>
        </w:rPr>
        <w:t>, as we argue,</w:t>
      </w:r>
      <w:r w:rsidR="002D5566">
        <w:rPr>
          <w:lang w:val="en-US"/>
        </w:rPr>
        <w:t xml:space="preserve"> </w:t>
      </w:r>
      <w:r w:rsidR="00C1309E">
        <w:rPr>
          <w:lang w:val="en-US"/>
        </w:rPr>
        <w:t>close to</w:t>
      </w:r>
      <w:r w:rsidR="002D5566">
        <w:rPr>
          <w:lang w:val="en-US"/>
        </w:rPr>
        <w:t xml:space="preserve"> zero. </w:t>
      </w:r>
    </w:p>
    <w:p w14:paraId="7901C991" w14:textId="75593F5F" w:rsidR="00043CA2" w:rsidRDefault="002D5566" w:rsidP="009849E8">
      <w:pPr>
        <w:rPr>
          <w:lang w:val="en-US"/>
        </w:rPr>
      </w:pPr>
      <w:r>
        <w:rPr>
          <w:lang w:val="en-US"/>
        </w:rPr>
        <w:t xml:space="preserve">These explorations demonstrated </w:t>
      </w:r>
      <w:r w:rsidR="00C1309E">
        <w:rPr>
          <w:lang w:val="en-US"/>
        </w:rPr>
        <w:t xml:space="preserve">that </w:t>
      </w:r>
      <w:r w:rsidR="001849DD">
        <w:rPr>
          <w:lang w:val="en-US"/>
        </w:rPr>
        <w:t xml:space="preserve">simulations of </w:t>
      </w:r>
      <w:r w:rsidRPr="002D5566">
        <w:rPr>
          <w:i/>
          <w:lang w:val="en-US"/>
        </w:rPr>
        <w:t>Social influence conditional o</w:t>
      </w:r>
      <w:r w:rsidR="001849DD">
        <w:rPr>
          <w:i/>
          <w:lang w:val="en-US"/>
        </w:rPr>
        <w:t>n</w:t>
      </w:r>
      <w:r w:rsidRPr="002D5566">
        <w:rPr>
          <w:i/>
          <w:lang w:val="en-US"/>
        </w:rPr>
        <w:t xml:space="preserve"> peers being highly connected</w:t>
      </w:r>
      <w:r w:rsidR="00C1309E">
        <w:rPr>
          <w:lang w:val="en-US"/>
        </w:rPr>
        <w:t xml:space="preserve"> mechanism was </w:t>
      </w:r>
      <w:r w:rsidR="001849DD">
        <w:rPr>
          <w:lang w:val="en-US"/>
        </w:rPr>
        <w:t xml:space="preserve">clearly closest to the observed reality </w:t>
      </w:r>
      <w:r w:rsidR="00C1309E">
        <w:rPr>
          <w:lang w:val="en-US"/>
        </w:rPr>
        <w:t>(Fig. 3)</w:t>
      </w:r>
      <w:r>
        <w:rPr>
          <w:lang w:val="en-US"/>
        </w:rPr>
        <w:t xml:space="preserve">. Furthermore, this mechanism was quite robust </w:t>
      </w:r>
      <w:r w:rsidR="00F147FE">
        <w:rPr>
          <w:lang w:val="en-US"/>
        </w:rPr>
        <w:t>since a</w:t>
      </w:r>
      <w:r>
        <w:rPr>
          <w:lang w:val="en-US"/>
        </w:rPr>
        <w:t xml:space="preserve"> relative broad range of parameter values</w:t>
      </w:r>
      <w:r w:rsidR="00F147FE">
        <w:rPr>
          <w:lang w:val="en-US"/>
        </w:rPr>
        <w:t xml:space="preserve"> led to the same qualitative outcome</w:t>
      </w:r>
      <w:r>
        <w:rPr>
          <w:lang w:val="en-US"/>
        </w:rPr>
        <w:t>.</w:t>
      </w:r>
      <w:r w:rsidR="00C1309E">
        <w:rPr>
          <w:lang w:val="en-US"/>
        </w:rPr>
        <w:t xml:space="preserve"> The </w:t>
      </w:r>
      <w:r w:rsidR="00C1309E" w:rsidRPr="00C1309E">
        <w:rPr>
          <w:i/>
          <w:lang w:val="en-US"/>
        </w:rPr>
        <w:t>Cognitive dissonance</w:t>
      </w:r>
      <w:r w:rsidR="00C1309E">
        <w:rPr>
          <w:lang w:val="en-US"/>
        </w:rPr>
        <w:t xml:space="preserve">, </w:t>
      </w:r>
      <w:proofErr w:type="gramStart"/>
      <w:r w:rsidR="00C1309E" w:rsidRPr="00C1309E">
        <w:rPr>
          <w:i/>
          <w:lang w:val="en-US"/>
        </w:rPr>
        <w:t>Randomly</w:t>
      </w:r>
      <w:proofErr w:type="gramEnd"/>
      <w:r w:rsidR="00C1309E" w:rsidRPr="00C1309E">
        <w:rPr>
          <w:i/>
          <w:lang w:val="en-US"/>
        </w:rPr>
        <w:t xml:space="preserve"> selected peer influence</w:t>
      </w:r>
      <w:r w:rsidR="00C1309E">
        <w:rPr>
          <w:lang w:val="en-US"/>
        </w:rPr>
        <w:t xml:space="preserve">, and </w:t>
      </w:r>
      <w:r w:rsidR="00C1309E" w:rsidRPr="00C1309E">
        <w:rPr>
          <w:i/>
          <w:lang w:val="en-US"/>
        </w:rPr>
        <w:t>Influenced by the majority</w:t>
      </w:r>
      <w:r w:rsidR="00C1309E" w:rsidRPr="00C1309E">
        <w:rPr>
          <w:lang w:val="en-US"/>
        </w:rPr>
        <w:t xml:space="preserve"> </w:t>
      </w:r>
      <w:r w:rsidR="00C1309E">
        <w:rPr>
          <w:lang w:val="en-US"/>
        </w:rPr>
        <w:t>mechanisms were, however, also able to generate results that to a limited extent also followed the empirical observations</w:t>
      </w:r>
      <w:r w:rsidR="00A01769">
        <w:rPr>
          <w:lang w:val="en-US"/>
        </w:rPr>
        <w:t xml:space="preserve"> (all these models also required more explorations of the parameter values for any such patterns to be observed)</w:t>
      </w:r>
      <w:r w:rsidR="00C1309E">
        <w:rPr>
          <w:lang w:val="en-US"/>
        </w:rPr>
        <w:t>.</w:t>
      </w:r>
      <w:r w:rsidR="00A01769">
        <w:rPr>
          <w:lang w:val="en-US"/>
        </w:rPr>
        <w:t xml:space="preserve"> Fig. 4. shows the result from best-fitting ABM building on these mechanisms.</w:t>
      </w:r>
    </w:p>
    <w:p w14:paraId="4C3E6595" w14:textId="04A7242F" w:rsidR="00C1309E" w:rsidRDefault="00C1309E" w:rsidP="009849E8">
      <w:pPr>
        <w:rPr>
          <w:lang w:val="en-US"/>
        </w:rPr>
      </w:pPr>
      <w:r>
        <w:rPr>
          <w:noProof/>
          <w:lang w:eastAsia="sv-SE"/>
        </w:rPr>
        <w:lastRenderedPageBreak/>
        <w:drawing>
          <wp:inline distT="0" distB="0" distL="0" distR="0" wp14:anchorId="62B93B7F" wp14:editId="78EBF74B">
            <wp:extent cx="2812473" cy="1827828"/>
            <wp:effectExtent l="0" t="0" r="6985" b="12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5603" cy="1842860"/>
                    </a:xfrm>
                    <a:prstGeom prst="rect">
                      <a:avLst/>
                    </a:prstGeom>
                  </pic:spPr>
                </pic:pic>
              </a:graphicData>
            </a:graphic>
          </wp:inline>
        </w:drawing>
      </w:r>
      <w:r>
        <w:rPr>
          <w:noProof/>
          <w:lang w:eastAsia="sv-SE"/>
        </w:rPr>
        <w:drawing>
          <wp:inline distT="0" distB="0" distL="0" distR="0" wp14:anchorId="3C6F341B" wp14:editId="4E4D4043">
            <wp:extent cx="2812415" cy="1827789"/>
            <wp:effectExtent l="0" t="0" r="6985" b="127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2353" cy="1840747"/>
                    </a:xfrm>
                    <a:prstGeom prst="rect">
                      <a:avLst/>
                    </a:prstGeom>
                  </pic:spPr>
                </pic:pic>
              </a:graphicData>
            </a:graphic>
          </wp:inline>
        </w:drawing>
      </w:r>
    </w:p>
    <w:p w14:paraId="1B23CA63" w14:textId="11AF4B72" w:rsidR="00C1309E" w:rsidRPr="00E5489C" w:rsidRDefault="00C1309E" w:rsidP="00C1309E">
      <w:pPr>
        <w:rPr>
          <w:i/>
          <w:lang w:val="en-US"/>
        </w:rPr>
      </w:pPr>
      <w:r w:rsidRPr="00E5489C">
        <w:rPr>
          <w:i/>
          <w:lang w:val="en-US"/>
        </w:rPr>
        <w:t xml:space="preserve">Fig. 3. Histograms drawn from the Social influence conditional of peers being highly connected mechanism. </w:t>
      </w:r>
      <w:r w:rsidR="00A01769" w:rsidRPr="00E5489C">
        <w:rPr>
          <w:i/>
          <w:lang w:val="en-US"/>
        </w:rPr>
        <w:t xml:space="preserve">The histogram to left shows </w:t>
      </w:r>
      <w:r w:rsidRPr="00E5489C">
        <w:rPr>
          <w:i/>
          <w:lang w:val="en-US"/>
        </w:rPr>
        <w:t>the distribution of average fertilizer use f</w:t>
      </w:r>
      <w:r w:rsidR="00A01769" w:rsidRPr="00E5489C">
        <w:rPr>
          <w:i/>
          <w:lang w:val="en-US"/>
        </w:rPr>
        <w:t>or the less centralized network, and the right shows the same for the centralized network. As seen, in the less centralized network, the means are distributed around 0.5, whereas in the centralized network the means are aggregated at the extremes (where most or all of the farmers uses fertilizers in the same way).</w:t>
      </w:r>
    </w:p>
    <w:p w14:paraId="0CEE0B6A" w14:textId="29FD8736" w:rsidR="00A01769" w:rsidRDefault="00A01769" w:rsidP="00C1309E">
      <w:pPr>
        <w:rPr>
          <w:lang w:val="en-US"/>
        </w:rPr>
      </w:pPr>
    </w:p>
    <w:p w14:paraId="7E38E96C" w14:textId="3762C05F" w:rsidR="00A01769" w:rsidRDefault="00A01769" w:rsidP="00C1309E">
      <w:pPr>
        <w:rPr>
          <w:lang w:val="en-US"/>
        </w:rPr>
      </w:pPr>
      <w:r>
        <w:rPr>
          <w:noProof/>
          <w:lang w:eastAsia="sv-SE"/>
        </w:rPr>
        <w:drawing>
          <wp:inline distT="0" distB="0" distL="0" distR="0" wp14:anchorId="3D631582" wp14:editId="15E1CC10">
            <wp:extent cx="2739357" cy="1780309"/>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6370" cy="1784867"/>
                    </a:xfrm>
                    <a:prstGeom prst="rect">
                      <a:avLst/>
                    </a:prstGeom>
                  </pic:spPr>
                </pic:pic>
              </a:graphicData>
            </a:graphic>
          </wp:inline>
        </w:drawing>
      </w:r>
      <w:r>
        <w:rPr>
          <w:noProof/>
          <w:lang w:eastAsia="sv-SE"/>
        </w:rPr>
        <w:drawing>
          <wp:inline distT="0" distB="0" distL="0" distR="0" wp14:anchorId="627AE004" wp14:editId="1DEAA1A4">
            <wp:extent cx="2909455" cy="1890856"/>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9511" cy="1897392"/>
                    </a:xfrm>
                    <a:prstGeom prst="rect">
                      <a:avLst/>
                    </a:prstGeom>
                  </pic:spPr>
                </pic:pic>
              </a:graphicData>
            </a:graphic>
          </wp:inline>
        </w:drawing>
      </w:r>
    </w:p>
    <w:p w14:paraId="4E9583C0" w14:textId="65B5CF0C" w:rsidR="00A01769" w:rsidRPr="00E5489C" w:rsidRDefault="00A01769" w:rsidP="00C1309E">
      <w:pPr>
        <w:rPr>
          <w:i/>
          <w:lang w:val="en-US"/>
        </w:rPr>
      </w:pPr>
      <w:r w:rsidRPr="00E5489C">
        <w:rPr>
          <w:i/>
          <w:lang w:val="en-US"/>
        </w:rPr>
        <w:t>Fig. 4. As in Fig. 3, but drawn from the Cognitive dissonance mechanism. There is a tendency for higher values in the middle in the histogram to the left than to the right. This tendency is, however., far from as clear as in Fig. 3.</w:t>
      </w:r>
    </w:p>
    <w:p w14:paraId="77020F9A" w14:textId="77777777" w:rsidR="00C1309E" w:rsidRDefault="00C1309E" w:rsidP="009849E8">
      <w:pPr>
        <w:rPr>
          <w:lang w:val="en-US"/>
        </w:rPr>
      </w:pPr>
    </w:p>
    <w:p w14:paraId="659EF5AA" w14:textId="6B3347E1" w:rsidR="00043CA2" w:rsidRPr="009D40EC" w:rsidRDefault="00043CA2" w:rsidP="009849E8">
      <w:pPr>
        <w:rPr>
          <w:b/>
          <w:lang w:val="en-US"/>
        </w:rPr>
      </w:pPr>
      <w:r w:rsidRPr="009D40EC">
        <w:rPr>
          <w:b/>
          <w:lang w:val="en-US"/>
        </w:rPr>
        <w:t>Investigating</w:t>
      </w:r>
      <w:r w:rsidR="00540FF5">
        <w:rPr>
          <w:b/>
          <w:lang w:val="en-US"/>
        </w:rPr>
        <w:t xml:space="preserve"> simple (peer-to-peer)</w:t>
      </w:r>
      <w:r w:rsidRPr="009D40EC">
        <w:rPr>
          <w:b/>
          <w:lang w:val="en-US"/>
        </w:rPr>
        <w:t xml:space="preserve"> social influence using ALAAM</w:t>
      </w:r>
    </w:p>
    <w:p w14:paraId="65595472" w14:textId="7BE11BD0" w:rsidR="00A22B37" w:rsidRDefault="00623879" w:rsidP="009849E8">
      <w:pPr>
        <w:rPr>
          <w:lang w:val="en-US"/>
        </w:rPr>
      </w:pPr>
      <w:r>
        <w:rPr>
          <w:lang w:val="en-US"/>
        </w:rPr>
        <w:t xml:space="preserve">To triangulate and complement the analyses of what (if any) social influence mechanisms could potentially explain the observed empirical observations, we applied a network analytical method called </w:t>
      </w:r>
      <w:r w:rsidRPr="00623879">
        <w:rPr>
          <w:lang w:val="en-US"/>
        </w:rPr>
        <w:t>Auto-</w:t>
      </w:r>
      <w:r w:rsidR="007047D2">
        <w:rPr>
          <w:lang w:val="en-US"/>
        </w:rPr>
        <w:t>L</w:t>
      </w:r>
      <w:r w:rsidR="007047D2" w:rsidRPr="00623879">
        <w:rPr>
          <w:lang w:val="en-US"/>
        </w:rPr>
        <w:t xml:space="preserve">ogistic </w:t>
      </w:r>
      <w:r w:rsidRPr="00623879">
        <w:rPr>
          <w:lang w:val="en-US"/>
        </w:rPr>
        <w:t>Actor Attribute Models</w:t>
      </w:r>
      <w:r>
        <w:rPr>
          <w:lang w:val="en-US"/>
        </w:rPr>
        <w:t xml:space="preserve"> (ALAAM) that is devised to explain node attributes based on structures of ties </w:t>
      </w:r>
      <w:r w:rsidR="00480261">
        <w:rPr>
          <w:lang w:val="en-US"/>
        </w:rPr>
        <w:fldChar w:fldCharType="begin" w:fldLock="1"/>
      </w:r>
      <w:r w:rsidR="00D931F7">
        <w:rPr>
          <w:lang w:val="en-US"/>
        </w:rPr>
        <w:instrText>ADDIN CSL_CITATION {"citationItems":[{"id":"ITEM-1","itemData":{"author":[{"dropping-particle":"","family":"Daraganova","given":"G.","non-dropping-particle":"","parse-names":false,"suffix":""},{"dropping-particle":"","family":"Robins","given":"G.","non-dropping-particle":"","parse-names":false,"suffix":""}],"container-title":"Exponential random graph models for social networks: Theory, methods and applications","editor":[{"dropping-particle":"","family":"Lusher","given":"Dean","non-dropping-particle":"","parse-names":false,"suffix":""},{"dropping-particle":"","family":"Koskinen","given":"Johan","non-dropping-particle":"","parse-names":false,"suffix":""},{"dropping-particle":"","family":"Robins","given":"Garry","non-dropping-particle":"","parse-names":false,"suffix":""}],"id":"ITEM-1","issued":{"date-parts":[["2013"]]},"page":"102-108","publisher":"Cambridge University Press,","title":"Autologistic actor attribute models","type":"chapter"},"uris":["http://www.mendeley.com/documents/?uuid=ff8165a1-4aa9-462b-82a8-5e53cace892a"]}],"mendeley":{"formattedCitation":"(6)","plainTextFormattedCitation":"(6)","previouslyFormattedCitation":"(Daraganova and Robins 2013)"},"properties":{"noteIndex":0},"schema":"https://github.com/citation-style-language/schema/raw/master/csl-citation.json"}</w:instrText>
      </w:r>
      <w:r w:rsidR="00480261">
        <w:rPr>
          <w:lang w:val="en-US"/>
        </w:rPr>
        <w:fldChar w:fldCharType="separate"/>
      </w:r>
      <w:r w:rsidR="00D931F7" w:rsidRPr="00D931F7">
        <w:rPr>
          <w:noProof/>
          <w:lang w:val="en-US"/>
        </w:rPr>
        <w:t>(6)</w:t>
      </w:r>
      <w:r w:rsidR="00480261">
        <w:rPr>
          <w:lang w:val="en-US"/>
        </w:rPr>
        <w:fldChar w:fldCharType="end"/>
      </w:r>
      <w:r>
        <w:rPr>
          <w:lang w:val="en-US"/>
        </w:rPr>
        <w:t>. It relates to the Exponential Random Graph Model (ERGM) family of network model, but in contrast to ERGM</w:t>
      </w:r>
      <w:r w:rsidR="0035137B">
        <w:rPr>
          <w:lang w:val="en-US"/>
        </w:rPr>
        <w:t>s</w:t>
      </w:r>
      <w:r>
        <w:rPr>
          <w:lang w:val="en-US"/>
        </w:rPr>
        <w:t>, its objective is to explain node attributes and not ties. Hence, ties are seen as fixed, and the model tries to explain node attributes based on the structures of ties.</w:t>
      </w:r>
    </w:p>
    <w:p w14:paraId="2241B742" w14:textId="05F507F5" w:rsidR="00480261" w:rsidRDefault="00480261" w:rsidP="009849E8">
      <w:pPr>
        <w:rPr>
          <w:lang w:val="en-US"/>
        </w:rPr>
      </w:pPr>
      <w:r>
        <w:rPr>
          <w:lang w:val="en-US"/>
        </w:rPr>
        <w:t>We were primarily interested in whether if any individual farmer</w:t>
      </w:r>
      <w:r w:rsidR="0035137B">
        <w:rPr>
          <w:lang w:val="en-US"/>
        </w:rPr>
        <w:t>’</w:t>
      </w:r>
      <w:r>
        <w:rPr>
          <w:lang w:val="en-US"/>
        </w:rPr>
        <w:t xml:space="preserve">s use of fertilizer could be influenced by its network peers. Using the SW package </w:t>
      </w:r>
      <w:proofErr w:type="spellStart"/>
      <w:r>
        <w:rPr>
          <w:lang w:val="en-US"/>
        </w:rPr>
        <w:t>MPnet</w:t>
      </w:r>
      <w:proofErr w:type="spellEnd"/>
      <w:r>
        <w:rPr>
          <w:lang w:val="en-US"/>
        </w:rPr>
        <w:t xml:space="preserve"> </w:t>
      </w:r>
      <w:r>
        <w:rPr>
          <w:lang w:val="en-US"/>
        </w:rPr>
        <w:fldChar w:fldCharType="begin" w:fldLock="1"/>
      </w:r>
      <w:r w:rsidR="00D931F7">
        <w:rPr>
          <w:lang w:val="en-US"/>
        </w:rPr>
        <w:instrText>ADDIN CSL_CITATION {"citationItems":[{"id":"ITEM-1","itemData":{"author":[{"dropping-particle":"","family":"Wang","given":"Peng","non-dropping-particle":"","parse-names":false,"suffix":""},{"dropping-particle":"","family":"Robins","given":"Garry","non-dropping-particle":"","parse-names":false,"suffix":""},{"dropping-particle":"","family":"Pattison","given":"Philippa","non-dropping-particle":"","parse-names":false,"suffix":""},{"dropping-particle":"","family":"Koskinen","given":"Johan H.","non-dropping-particle":"","parse-names":false,"suffix":""}],"id":"ITEM-1","issued":{"date-parts":[["2014"]]},"title":"MPNet: Program for the Simulation and Estimation of (p*) Exponential Random Graph Models for Multilevel Networks","type":"report"},"uris":["http://www.mendeley.com/documents/?uuid=d8f2064a-bd14-4414-802c-8191d9fe9a2e"]}],"mendeley":{"formattedCitation":"(7)","plainTextFormattedCitation":"(7)","previouslyFormattedCitation":"(Wang et al. 2014)"},"properties":{"noteIndex":0},"schema":"https://github.com/citation-style-language/schema/raw/master/csl-citation.json"}</w:instrText>
      </w:r>
      <w:r>
        <w:rPr>
          <w:lang w:val="en-US"/>
        </w:rPr>
        <w:fldChar w:fldCharType="separate"/>
      </w:r>
      <w:r w:rsidR="00D931F7" w:rsidRPr="00D931F7">
        <w:rPr>
          <w:noProof/>
          <w:lang w:val="en-US"/>
        </w:rPr>
        <w:t>(7)</w:t>
      </w:r>
      <w:r>
        <w:rPr>
          <w:lang w:val="en-US"/>
        </w:rPr>
        <w:fldChar w:fldCharType="end"/>
      </w:r>
      <w:r>
        <w:rPr>
          <w:lang w:val="en-US"/>
        </w:rPr>
        <w:t xml:space="preserve">, we thus tested if the network configuration “contagion” were significant in any of the village networks (Table </w:t>
      </w:r>
      <w:r w:rsidR="00540FF5">
        <w:rPr>
          <w:lang w:val="en-US"/>
        </w:rPr>
        <w:t>S3</w:t>
      </w:r>
      <w:r>
        <w:rPr>
          <w:lang w:val="en-US"/>
        </w:rPr>
        <w:t xml:space="preserve">). </w:t>
      </w:r>
      <w:r w:rsidR="0051581C">
        <w:rPr>
          <w:lang w:val="en-US"/>
        </w:rPr>
        <w:t xml:space="preserve">All farmers with unknown fertilizer use were removed from the networks. </w:t>
      </w:r>
      <w:r>
        <w:rPr>
          <w:lang w:val="en-US"/>
        </w:rPr>
        <w:t xml:space="preserve">Contagion captures if any two nodes that </w:t>
      </w:r>
      <w:r>
        <w:rPr>
          <w:lang w:val="en-US"/>
        </w:rPr>
        <w:lastRenderedPageBreak/>
        <w:t>share a tie tend to have the same attribute value (in this case, use of fertilizer). We also controlled for the presence of skewed distributions of fertilizer use (“Density” in Table 1). Since ALAAM explores variability in node attributes, not all networks could be tested. Essentially, if all or almost all nodes use fertilizer in the same way, there is not enough variability for the model to produce any meaningful results. The same applies if the number of ties is very small</w:t>
      </w:r>
      <w:r w:rsidR="0035137B">
        <w:rPr>
          <w:lang w:val="en-US"/>
        </w:rPr>
        <w:t xml:space="preserve">, </w:t>
      </w:r>
      <w:r w:rsidR="0051581C">
        <w:rPr>
          <w:lang w:val="en-US"/>
        </w:rPr>
        <w:t>and/</w:t>
      </w:r>
      <w:r w:rsidR="0035137B">
        <w:rPr>
          <w:lang w:val="en-US"/>
        </w:rPr>
        <w:t>or if too many of the nodes have undefined attribute values</w:t>
      </w:r>
      <w:r>
        <w:rPr>
          <w:lang w:val="en-US"/>
        </w:rPr>
        <w:t xml:space="preserve">. </w:t>
      </w:r>
      <w:r w:rsidR="00757F5F">
        <w:rPr>
          <w:lang w:val="en-US"/>
        </w:rPr>
        <w:t xml:space="preserve">Hence, all in all we only got reliable results from 14 networks. None of these network displayed any significant tendency for peer-to-peer social influence. </w:t>
      </w:r>
    </w:p>
    <w:p w14:paraId="4CBCB81D" w14:textId="77777777" w:rsidR="00757F5F" w:rsidRDefault="00757F5F" w:rsidP="009849E8">
      <w:pPr>
        <w:rPr>
          <w:lang w:val="en-US"/>
        </w:rPr>
      </w:pPr>
    </w:p>
    <w:p w14:paraId="089C513C" w14:textId="6A28CF01" w:rsidR="00A22B37" w:rsidRPr="00721E61" w:rsidRDefault="00A22B37" w:rsidP="009849E8">
      <w:pPr>
        <w:rPr>
          <w:b/>
          <w:lang w:val="en-US"/>
        </w:rPr>
      </w:pPr>
      <w:r w:rsidRPr="00721E61">
        <w:rPr>
          <w:b/>
          <w:lang w:val="en-US"/>
        </w:rPr>
        <w:t xml:space="preserve">Table </w:t>
      </w:r>
      <w:r w:rsidR="00540FF5" w:rsidRPr="00721E61">
        <w:rPr>
          <w:b/>
          <w:lang w:val="en-US"/>
        </w:rPr>
        <w:t>S3</w:t>
      </w:r>
      <w:r w:rsidRPr="00721E61">
        <w:rPr>
          <w:b/>
          <w:lang w:val="en-US"/>
        </w:rPr>
        <w:t xml:space="preserve">. The results from the ALAAM for the networks with </w:t>
      </w:r>
      <w:r w:rsidR="001F7818" w:rsidRPr="00721E61">
        <w:rPr>
          <w:b/>
          <w:lang w:val="en-US"/>
        </w:rPr>
        <w:t>applicable</w:t>
      </w:r>
      <w:r w:rsidRPr="00721E61">
        <w:rPr>
          <w:b/>
          <w:lang w:val="en-US"/>
        </w:rPr>
        <w:t xml:space="preserve"> variability in fertilizer use</w:t>
      </w:r>
      <w:r w:rsidR="00540FF5">
        <w:rPr>
          <w:b/>
          <w:lang w:val="en-US"/>
        </w:rPr>
        <w:t xml:space="preserve">. </w:t>
      </w:r>
      <w:r w:rsidR="00540FF5" w:rsidRPr="00721E61">
        <w:rPr>
          <w:lang w:val="en-US"/>
        </w:rPr>
        <w:t>Please observe all coefficient are based on log odds (logit).</w:t>
      </w:r>
    </w:p>
    <w:tbl>
      <w:tblPr>
        <w:tblStyle w:val="TableGrid"/>
        <w:tblW w:w="0" w:type="auto"/>
        <w:tblLook w:val="04A0" w:firstRow="1" w:lastRow="0" w:firstColumn="1" w:lastColumn="0" w:noHBand="0" w:noVBand="1"/>
      </w:tblPr>
      <w:tblGrid>
        <w:gridCol w:w="1067"/>
        <w:gridCol w:w="1487"/>
        <w:gridCol w:w="1045"/>
        <w:gridCol w:w="1162"/>
        <w:gridCol w:w="1391"/>
        <w:gridCol w:w="2016"/>
      </w:tblGrid>
      <w:tr w:rsidR="00A22B37" w:rsidRPr="00FC6EB0" w14:paraId="07D7C91D" w14:textId="77777777" w:rsidTr="00757F5F">
        <w:tc>
          <w:tcPr>
            <w:tcW w:w="1067" w:type="dxa"/>
          </w:tcPr>
          <w:p w14:paraId="294331AE" w14:textId="477BB18F" w:rsidR="00A22B37" w:rsidRPr="00E71706" w:rsidRDefault="00A22B37" w:rsidP="00623EB1">
            <w:pPr>
              <w:rPr>
                <w:b/>
                <w:lang w:val="en-US"/>
              </w:rPr>
            </w:pPr>
            <w:r w:rsidRPr="00E71706">
              <w:rPr>
                <w:b/>
                <w:lang w:val="en-US"/>
              </w:rPr>
              <w:t>Village ID</w:t>
            </w:r>
          </w:p>
        </w:tc>
        <w:tc>
          <w:tcPr>
            <w:tcW w:w="1487" w:type="dxa"/>
          </w:tcPr>
          <w:p w14:paraId="4CABD4C9" w14:textId="5FB11B5F" w:rsidR="00A22B37" w:rsidRPr="00E71706" w:rsidRDefault="00A22B37" w:rsidP="00623EB1">
            <w:pPr>
              <w:rPr>
                <w:b/>
                <w:lang w:val="en-US"/>
              </w:rPr>
            </w:pPr>
            <w:r w:rsidRPr="00E71706">
              <w:rPr>
                <w:b/>
                <w:lang w:val="en-US"/>
              </w:rPr>
              <w:t>Degree centralization</w:t>
            </w:r>
          </w:p>
        </w:tc>
        <w:tc>
          <w:tcPr>
            <w:tcW w:w="1026" w:type="dxa"/>
          </w:tcPr>
          <w:p w14:paraId="770F05C6" w14:textId="0614128D" w:rsidR="00A22B37" w:rsidRPr="00E71706" w:rsidRDefault="00A22B37" w:rsidP="00A22B37">
            <w:pPr>
              <w:rPr>
                <w:b/>
                <w:lang w:val="en-US"/>
              </w:rPr>
            </w:pPr>
            <w:r w:rsidRPr="00E71706">
              <w:rPr>
                <w:b/>
                <w:lang w:val="en-US"/>
              </w:rPr>
              <w:t>Size (after data cleaning)</w:t>
            </w:r>
          </w:p>
        </w:tc>
        <w:tc>
          <w:tcPr>
            <w:tcW w:w="1162" w:type="dxa"/>
          </w:tcPr>
          <w:p w14:paraId="165D6635" w14:textId="202C39DF" w:rsidR="00A22B37" w:rsidRPr="00E71706" w:rsidRDefault="00A22B37" w:rsidP="00623EB1">
            <w:pPr>
              <w:rPr>
                <w:b/>
                <w:lang w:val="en-US"/>
              </w:rPr>
            </w:pPr>
            <w:r w:rsidRPr="00E71706">
              <w:rPr>
                <w:b/>
                <w:lang w:val="en-US"/>
              </w:rPr>
              <w:t>Density</w:t>
            </w:r>
            <w:r w:rsidR="00757F5F" w:rsidRPr="00E71706">
              <w:rPr>
                <w:b/>
                <w:lang w:val="en-US"/>
              </w:rPr>
              <w:t xml:space="preserve"> (</w:t>
            </w:r>
            <w:r w:rsidR="00540FF5">
              <w:rPr>
                <w:b/>
                <w:lang w:val="en-US"/>
              </w:rPr>
              <w:t xml:space="preserve">ratio </w:t>
            </w:r>
            <w:r w:rsidR="00757F5F" w:rsidRPr="00E71706">
              <w:rPr>
                <w:b/>
                <w:lang w:val="en-US"/>
              </w:rPr>
              <w:t>of fertilize use)</w:t>
            </w:r>
          </w:p>
        </w:tc>
        <w:tc>
          <w:tcPr>
            <w:tcW w:w="1391" w:type="dxa"/>
          </w:tcPr>
          <w:p w14:paraId="1826BAAD" w14:textId="44EC9DBD" w:rsidR="00A22B37" w:rsidRPr="00E71706" w:rsidRDefault="00A22B37" w:rsidP="00623EB1">
            <w:pPr>
              <w:rPr>
                <w:b/>
                <w:lang w:val="en-US"/>
              </w:rPr>
            </w:pPr>
            <w:r w:rsidRPr="00E71706">
              <w:rPr>
                <w:b/>
                <w:lang w:val="en-US"/>
              </w:rPr>
              <w:t>Contagion</w:t>
            </w:r>
            <w:r w:rsidR="00540FF5">
              <w:rPr>
                <w:b/>
                <w:lang w:val="en-US"/>
              </w:rPr>
              <w:t xml:space="preserve"> (i.e. peer-to-peer influence)</w:t>
            </w:r>
            <w:r w:rsidR="00757F5F" w:rsidRPr="00E71706">
              <w:rPr>
                <w:b/>
                <w:lang w:val="en-US"/>
              </w:rPr>
              <w:t xml:space="preserve"> </w:t>
            </w:r>
            <w:r w:rsidR="00757F5F" w:rsidRPr="00721E61">
              <w:rPr>
                <w:lang w:val="en-US"/>
              </w:rPr>
              <w:t>(Standard error in parenthesis)</w:t>
            </w:r>
          </w:p>
        </w:tc>
        <w:tc>
          <w:tcPr>
            <w:tcW w:w="2016" w:type="dxa"/>
          </w:tcPr>
          <w:p w14:paraId="20D433E6" w14:textId="183E7592" w:rsidR="00A22B37" w:rsidRPr="00E71706" w:rsidRDefault="00E71706" w:rsidP="00E71706">
            <w:pPr>
              <w:rPr>
                <w:b/>
                <w:lang w:val="en-US"/>
              </w:rPr>
            </w:pPr>
            <w:r w:rsidRPr="00E71706">
              <w:rPr>
                <w:b/>
                <w:lang w:val="en-US"/>
              </w:rPr>
              <w:t xml:space="preserve">Network </w:t>
            </w:r>
            <w:r w:rsidR="00540FF5">
              <w:rPr>
                <w:b/>
                <w:lang w:val="en-US"/>
              </w:rPr>
              <w:t xml:space="preserve">diagram </w:t>
            </w:r>
            <w:r w:rsidR="005F2A09" w:rsidRPr="00721E61">
              <w:rPr>
                <w:lang w:val="en-US"/>
              </w:rPr>
              <w:t>(farmers with incomplete data on fertilizer use are removed)</w:t>
            </w:r>
          </w:p>
        </w:tc>
      </w:tr>
      <w:tr w:rsidR="00A22B37" w14:paraId="4FDB3818" w14:textId="77777777" w:rsidTr="00757F5F">
        <w:tc>
          <w:tcPr>
            <w:tcW w:w="1067" w:type="dxa"/>
          </w:tcPr>
          <w:p w14:paraId="7C4B06BE" w14:textId="77777777" w:rsidR="00A22B37" w:rsidRDefault="00A22B37" w:rsidP="00623EB1">
            <w:pPr>
              <w:rPr>
                <w:lang w:val="en-US"/>
              </w:rPr>
            </w:pPr>
            <w:r>
              <w:rPr>
                <w:lang w:val="en-US"/>
              </w:rPr>
              <w:t>7725</w:t>
            </w:r>
          </w:p>
        </w:tc>
        <w:tc>
          <w:tcPr>
            <w:tcW w:w="1487" w:type="dxa"/>
          </w:tcPr>
          <w:p w14:paraId="14E27449" w14:textId="77777777" w:rsidR="00A22B37" w:rsidRDefault="00A22B37" w:rsidP="00623EB1">
            <w:pPr>
              <w:rPr>
                <w:lang w:val="en-US"/>
              </w:rPr>
            </w:pPr>
            <w:r>
              <w:rPr>
                <w:lang w:val="en-US"/>
              </w:rPr>
              <w:t>0.15</w:t>
            </w:r>
          </w:p>
        </w:tc>
        <w:tc>
          <w:tcPr>
            <w:tcW w:w="1026" w:type="dxa"/>
          </w:tcPr>
          <w:p w14:paraId="4E93DCC0" w14:textId="77777777" w:rsidR="00A22B37" w:rsidRDefault="00A22B37" w:rsidP="00623EB1">
            <w:pPr>
              <w:rPr>
                <w:lang w:val="en-US"/>
              </w:rPr>
            </w:pPr>
            <w:r>
              <w:rPr>
                <w:lang w:val="en-US"/>
              </w:rPr>
              <w:t>199</w:t>
            </w:r>
          </w:p>
        </w:tc>
        <w:tc>
          <w:tcPr>
            <w:tcW w:w="1162" w:type="dxa"/>
          </w:tcPr>
          <w:p w14:paraId="19888F7D" w14:textId="77777777" w:rsidR="00A22B37" w:rsidRDefault="00A22B37" w:rsidP="00623EB1">
            <w:pPr>
              <w:rPr>
                <w:lang w:val="en-US"/>
              </w:rPr>
            </w:pPr>
            <w:r w:rsidRPr="00065CFA">
              <w:rPr>
                <w:lang w:val="en-US"/>
              </w:rPr>
              <w:t>-0,8837</w:t>
            </w:r>
            <w:r>
              <w:rPr>
                <w:lang w:val="en-US"/>
              </w:rPr>
              <w:t>*</w:t>
            </w:r>
          </w:p>
        </w:tc>
        <w:tc>
          <w:tcPr>
            <w:tcW w:w="1391" w:type="dxa"/>
          </w:tcPr>
          <w:p w14:paraId="26F56ACE" w14:textId="77777777" w:rsidR="00A22B37" w:rsidRDefault="00A22B37" w:rsidP="00623EB1">
            <w:pPr>
              <w:rPr>
                <w:lang w:val="en-US"/>
              </w:rPr>
            </w:pPr>
            <w:r w:rsidRPr="00065CFA">
              <w:rPr>
                <w:lang w:val="en-US"/>
              </w:rPr>
              <w:t>0,2711</w:t>
            </w:r>
            <w:r>
              <w:rPr>
                <w:lang w:val="en-US"/>
              </w:rPr>
              <w:t xml:space="preserve"> (</w:t>
            </w:r>
            <w:r w:rsidRPr="002E7987">
              <w:rPr>
                <w:lang w:val="en-US"/>
              </w:rPr>
              <w:t>0,155</w:t>
            </w:r>
            <w:r>
              <w:rPr>
                <w:lang w:val="en-US"/>
              </w:rPr>
              <w:t>)</w:t>
            </w:r>
          </w:p>
        </w:tc>
        <w:tc>
          <w:tcPr>
            <w:tcW w:w="2016" w:type="dxa"/>
          </w:tcPr>
          <w:p w14:paraId="300F23C0" w14:textId="77777777" w:rsidR="00A22B37" w:rsidRDefault="00A22B37" w:rsidP="00623EB1">
            <w:pPr>
              <w:rPr>
                <w:lang w:val="en-US"/>
              </w:rPr>
            </w:pPr>
            <w:r>
              <w:rPr>
                <w:noProof/>
                <w:lang w:eastAsia="sv-SE"/>
              </w:rPr>
              <w:drawing>
                <wp:inline distT="0" distB="0" distL="0" distR="0" wp14:anchorId="5F24FDD9" wp14:editId="292B565C">
                  <wp:extent cx="845820" cy="7635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8938" cy="784429"/>
                          </a:xfrm>
                          <a:prstGeom prst="rect">
                            <a:avLst/>
                          </a:prstGeom>
                        </pic:spPr>
                      </pic:pic>
                    </a:graphicData>
                  </a:graphic>
                </wp:inline>
              </w:drawing>
            </w:r>
          </w:p>
        </w:tc>
      </w:tr>
      <w:tr w:rsidR="00A22B37" w14:paraId="5FDF096A" w14:textId="77777777" w:rsidTr="00757F5F">
        <w:tc>
          <w:tcPr>
            <w:tcW w:w="1067" w:type="dxa"/>
          </w:tcPr>
          <w:p w14:paraId="2803C52A" w14:textId="77777777" w:rsidR="00A22B37" w:rsidRDefault="00A22B37" w:rsidP="00623EB1">
            <w:pPr>
              <w:rPr>
                <w:lang w:val="en-US"/>
              </w:rPr>
            </w:pPr>
            <w:r>
              <w:rPr>
                <w:lang w:val="en-US"/>
              </w:rPr>
              <w:t>3317</w:t>
            </w:r>
          </w:p>
        </w:tc>
        <w:tc>
          <w:tcPr>
            <w:tcW w:w="1487" w:type="dxa"/>
          </w:tcPr>
          <w:p w14:paraId="753D6205" w14:textId="77777777" w:rsidR="00A22B37" w:rsidRDefault="00A22B37" w:rsidP="00623EB1">
            <w:pPr>
              <w:rPr>
                <w:lang w:val="en-US"/>
              </w:rPr>
            </w:pPr>
            <w:r>
              <w:rPr>
                <w:lang w:val="en-US"/>
              </w:rPr>
              <w:t>0.22</w:t>
            </w:r>
          </w:p>
        </w:tc>
        <w:tc>
          <w:tcPr>
            <w:tcW w:w="1026" w:type="dxa"/>
          </w:tcPr>
          <w:p w14:paraId="4EE659CB" w14:textId="77777777" w:rsidR="00A22B37" w:rsidRDefault="00A22B37" w:rsidP="00623EB1">
            <w:pPr>
              <w:rPr>
                <w:lang w:val="en-US"/>
              </w:rPr>
            </w:pPr>
            <w:r>
              <w:rPr>
                <w:lang w:val="en-US"/>
              </w:rPr>
              <w:t>85</w:t>
            </w:r>
          </w:p>
        </w:tc>
        <w:tc>
          <w:tcPr>
            <w:tcW w:w="1162" w:type="dxa"/>
          </w:tcPr>
          <w:p w14:paraId="760FA3E0" w14:textId="77777777" w:rsidR="00A22B37" w:rsidRPr="00065CFA" w:rsidRDefault="00A22B37" w:rsidP="00623EB1">
            <w:pPr>
              <w:rPr>
                <w:lang w:val="en-US"/>
              </w:rPr>
            </w:pPr>
            <w:r w:rsidRPr="00065CFA">
              <w:rPr>
                <w:lang w:val="en-US"/>
              </w:rPr>
              <w:t>1,1345</w:t>
            </w:r>
            <w:r>
              <w:rPr>
                <w:lang w:val="en-US"/>
              </w:rPr>
              <w:t>*</w:t>
            </w:r>
          </w:p>
        </w:tc>
        <w:tc>
          <w:tcPr>
            <w:tcW w:w="1391" w:type="dxa"/>
          </w:tcPr>
          <w:p w14:paraId="510EAE20" w14:textId="77777777" w:rsidR="00A22B37" w:rsidRPr="00065CFA" w:rsidRDefault="00A22B37" w:rsidP="00623EB1">
            <w:pPr>
              <w:rPr>
                <w:lang w:val="en-US"/>
              </w:rPr>
            </w:pPr>
            <w:r>
              <w:rPr>
                <w:lang w:val="en-US"/>
              </w:rPr>
              <w:t>0,0692 (</w:t>
            </w:r>
            <w:r w:rsidRPr="002E7987">
              <w:rPr>
                <w:lang w:val="en-US"/>
              </w:rPr>
              <w:t>0,163</w:t>
            </w:r>
            <w:r>
              <w:rPr>
                <w:lang w:val="en-US"/>
              </w:rPr>
              <w:t>)</w:t>
            </w:r>
          </w:p>
        </w:tc>
        <w:tc>
          <w:tcPr>
            <w:tcW w:w="2016" w:type="dxa"/>
          </w:tcPr>
          <w:p w14:paraId="3B3AF53D" w14:textId="77777777" w:rsidR="00A22B37" w:rsidRDefault="00A22B37" w:rsidP="00623EB1">
            <w:pPr>
              <w:rPr>
                <w:noProof/>
                <w:lang w:eastAsia="sv-SE"/>
              </w:rPr>
            </w:pPr>
            <w:r>
              <w:rPr>
                <w:noProof/>
                <w:lang w:eastAsia="sv-SE"/>
              </w:rPr>
              <w:drawing>
                <wp:inline distT="0" distB="0" distL="0" distR="0" wp14:anchorId="7E9CC9CE" wp14:editId="5FF6E17D">
                  <wp:extent cx="960120" cy="76850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81907" cy="785942"/>
                          </a:xfrm>
                          <a:prstGeom prst="rect">
                            <a:avLst/>
                          </a:prstGeom>
                        </pic:spPr>
                      </pic:pic>
                    </a:graphicData>
                  </a:graphic>
                </wp:inline>
              </w:drawing>
            </w:r>
          </w:p>
        </w:tc>
      </w:tr>
      <w:tr w:rsidR="00A22B37" w14:paraId="41E1E953" w14:textId="77777777" w:rsidTr="00757F5F">
        <w:tc>
          <w:tcPr>
            <w:tcW w:w="1067" w:type="dxa"/>
          </w:tcPr>
          <w:p w14:paraId="0A7902B3" w14:textId="77777777" w:rsidR="00A22B37" w:rsidRDefault="00A22B37" w:rsidP="00623EB1">
            <w:pPr>
              <w:rPr>
                <w:lang w:val="en-US"/>
              </w:rPr>
            </w:pPr>
            <w:r>
              <w:rPr>
                <w:lang w:val="en-US"/>
              </w:rPr>
              <w:t>5667</w:t>
            </w:r>
          </w:p>
        </w:tc>
        <w:tc>
          <w:tcPr>
            <w:tcW w:w="1487" w:type="dxa"/>
          </w:tcPr>
          <w:p w14:paraId="642FC2C8" w14:textId="77777777" w:rsidR="00A22B37" w:rsidRDefault="00A22B37" w:rsidP="00623EB1">
            <w:pPr>
              <w:rPr>
                <w:lang w:val="en-US"/>
              </w:rPr>
            </w:pPr>
            <w:r>
              <w:rPr>
                <w:lang w:val="en-US"/>
              </w:rPr>
              <w:t>0.20</w:t>
            </w:r>
          </w:p>
        </w:tc>
        <w:tc>
          <w:tcPr>
            <w:tcW w:w="1026" w:type="dxa"/>
          </w:tcPr>
          <w:p w14:paraId="17506DFE" w14:textId="77777777" w:rsidR="00A22B37" w:rsidRDefault="00A22B37" w:rsidP="00623EB1">
            <w:pPr>
              <w:rPr>
                <w:lang w:val="en-US"/>
              </w:rPr>
            </w:pPr>
            <w:r>
              <w:rPr>
                <w:lang w:val="en-US"/>
              </w:rPr>
              <w:t>52</w:t>
            </w:r>
          </w:p>
        </w:tc>
        <w:tc>
          <w:tcPr>
            <w:tcW w:w="1162" w:type="dxa"/>
          </w:tcPr>
          <w:p w14:paraId="03985C01" w14:textId="77777777" w:rsidR="00A22B37" w:rsidRPr="00065CFA" w:rsidRDefault="00A22B37" w:rsidP="00623EB1">
            <w:pPr>
              <w:rPr>
                <w:lang w:val="en-US"/>
              </w:rPr>
            </w:pPr>
            <w:r w:rsidRPr="00065CFA">
              <w:rPr>
                <w:lang w:val="en-US"/>
              </w:rPr>
              <w:t>-1,5863</w:t>
            </w:r>
            <w:r>
              <w:rPr>
                <w:lang w:val="en-US"/>
              </w:rPr>
              <w:t>*</w:t>
            </w:r>
          </w:p>
        </w:tc>
        <w:tc>
          <w:tcPr>
            <w:tcW w:w="1391" w:type="dxa"/>
          </w:tcPr>
          <w:p w14:paraId="070E44B8" w14:textId="77777777" w:rsidR="00A22B37" w:rsidRPr="00065CFA" w:rsidRDefault="00A22B37" w:rsidP="00623EB1">
            <w:pPr>
              <w:rPr>
                <w:lang w:val="en-US"/>
              </w:rPr>
            </w:pPr>
            <w:r w:rsidRPr="00065CFA">
              <w:rPr>
                <w:lang w:val="en-US"/>
              </w:rPr>
              <w:t>0,1444</w:t>
            </w:r>
            <w:r>
              <w:rPr>
                <w:lang w:val="en-US"/>
              </w:rPr>
              <w:t xml:space="preserve"> (0.792)</w:t>
            </w:r>
          </w:p>
        </w:tc>
        <w:tc>
          <w:tcPr>
            <w:tcW w:w="2016" w:type="dxa"/>
          </w:tcPr>
          <w:p w14:paraId="496EFCB8" w14:textId="77777777" w:rsidR="00A22B37" w:rsidRDefault="00A22B37" w:rsidP="00623EB1">
            <w:pPr>
              <w:rPr>
                <w:noProof/>
                <w:lang w:eastAsia="sv-SE"/>
              </w:rPr>
            </w:pPr>
            <w:r>
              <w:rPr>
                <w:noProof/>
                <w:lang w:eastAsia="sv-SE"/>
              </w:rPr>
              <w:drawing>
                <wp:inline distT="0" distB="0" distL="0" distR="0" wp14:anchorId="1D3569C7" wp14:editId="2527CA51">
                  <wp:extent cx="998220" cy="905749"/>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7564" cy="923301"/>
                          </a:xfrm>
                          <a:prstGeom prst="rect">
                            <a:avLst/>
                          </a:prstGeom>
                        </pic:spPr>
                      </pic:pic>
                    </a:graphicData>
                  </a:graphic>
                </wp:inline>
              </w:drawing>
            </w:r>
          </w:p>
        </w:tc>
      </w:tr>
      <w:tr w:rsidR="00A22B37" w14:paraId="2A6ECDEE" w14:textId="77777777" w:rsidTr="00757F5F">
        <w:tc>
          <w:tcPr>
            <w:tcW w:w="1067" w:type="dxa"/>
          </w:tcPr>
          <w:p w14:paraId="12C0DDC3" w14:textId="77777777" w:rsidR="00A22B37" w:rsidRDefault="00A22B37" w:rsidP="00623EB1">
            <w:pPr>
              <w:rPr>
                <w:lang w:val="en-US"/>
              </w:rPr>
            </w:pPr>
            <w:r>
              <w:rPr>
                <w:lang w:val="en-US"/>
              </w:rPr>
              <w:t>5139</w:t>
            </w:r>
          </w:p>
        </w:tc>
        <w:tc>
          <w:tcPr>
            <w:tcW w:w="1487" w:type="dxa"/>
          </w:tcPr>
          <w:p w14:paraId="32009574" w14:textId="77777777" w:rsidR="00A22B37" w:rsidRDefault="00A22B37" w:rsidP="00623EB1">
            <w:pPr>
              <w:rPr>
                <w:lang w:val="en-US"/>
              </w:rPr>
            </w:pPr>
            <w:r>
              <w:rPr>
                <w:lang w:val="en-US"/>
              </w:rPr>
              <w:t>0.31</w:t>
            </w:r>
          </w:p>
        </w:tc>
        <w:tc>
          <w:tcPr>
            <w:tcW w:w="1026" w:type="dxa"/>
          </w:tcPr>
          <w:p w14:paraId="5B7247EC" w14:textId="77777777" w:rsidR="00A22B37" w:rsidRDefault="00A22B37" w:rsidP="00623EB1">
            <w:pPr>
              <w:rPr>
                <w:lang w:val="en-US"/>
              </w:rPr>
            </w:pPr>
            <w:r>
              <w:rPr>
                <w:lang w:val="en-US"/>
              </w:rPr>
              <w:t>59</w:t>
            </w:r>
          </w:p>
        </w:tc>
        <w:tc>
          <w:tcPr>
            <w:tcW w:w="1162" w:type="dxa"/>
          </w:tcPr>
          <w:p w14:paraId="4A3E1F32" w14:textId="77777777" w:rsidR="00A22B37" w:rsidRPr="00065CFA" w:rsidRDefault="00A22B37" w:rsidP="00623EB1">
            <w:pPr>
              <w:rPr>
                <w:lang w:val="en-US"/>
              </w:rPr>
            </w:pPr>
            <w:r w:rsidRPr="002B6D44">
              <w:rPr>
                <w:lang w:val="en-US"/>
              </w:rPr>
              <w:t>-0,7401</w:t>
            </w:r>
          </w:p>
        </w:tc>
        <w:tc>
          <w:tcPr>
            <w:tcW w:w="1391" w:type="dxa"/>
          </w:tcPr>
          <w:p w14:paraId="4C3FA1AC" w14:textId="77777777" w:rsidR="00A22B37" w:rsidRPr="00065CFA" w:rsidRDefault="00A22B37" w:rsidP="00623EB1">
            <w:pPr>
              <w:rPr>
                <w:lang w:val="en-US"/>
              </w:rPr>
            </w:pPr>
            <w:r w:rsidRPr="002B6D44">
              <w:rPr>
                <w:lang w:val="en-US"/>
              </w:rPr>
              <w:t>-0,2166</w:t>
            </w:r>
            <w:r>
              <w:rPr>
                <w:lang w:val="en-US"/>
              </w:rPr>
              <w:t xml:space="preserve"> (0.426)</w:t>
            </w:r>
          </w:p>
        </w:tc>
        <w:tc>
          <w:tcPr>
            <w:tcW w:w="2016" w:type="dxa"/>
          </w:tcPr>
          <w:p w14:paraId="402A1B87" w14:textId="77777777" w:rsidR="00A22B37" w:rsidRDefault="00A22B37" w:rsidP="00623EB1">
            <w:pPr>
              <w:rPr>
                <w:noProof/>
                <w:lang w:eastAsia="sv-SE"/>
              </w:rPr>
            </w:pPr>
            <w:r>
              <w:rPr>
                <w:noProof/>
                <w:lang w:eastAsia="sv-SE"/>
              </w:rPr>
              <w:drawing>
                <wp:inline distT="0" distB="0" distL="0" distR="0" wp14:anchorId="028942CC" wp14:editId="66D43684">
                  <wp:extent cx="998220" cy="91294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4034" cy="945699"/>
                          </a:xfrm>
                          <a:prstGeom prst="rect">
                            <a:avLst/>
                          </a:prstGeom>
                        </pic:spPr>
                      </pic:pic>
                    </a:graphicData>
                  </a:graphic>
                </wp:inline>
              </w:drawing>
            </w:r>
          </w:p>
        </w:tc>
      </w:tr>
      <w:tr w:rsidR="00A22B37" w14:paraId="50EE0C19" w14:textId="77777777" w:rsidTr="00757F5F">
        <w:tc>
          <w:tcPr>
            <w:tcW w:w="1067" w:type="dxa"/>
          </w:tcPr>
          <w:p w14:paraId="5E6AFE1A" w14:textId="77777777" w:rsidR="00A22B37" w:rsidRDefault="00A22B37" w:rsidP="00623EB1">
            <w:pPr>
              <w:rPr>
                <w:lang w:val="en-US"/>
              </w:rPr>
            </w:pPr>
            <w:r>
              <w:rPr>
                <w:lang w:val="en-US"/>
              </w:rPr>
              <w:t>6887</w:t>
            </w:r>
          </w:p>
        </w:tc>
        <w:tc>
          <w:tcPr>
            <w:tcW w:w="1487" w:type="dxa"/>
          </w:tcPr>
          <w:p w14:paraId="1183EB5D" w14:textId="77777777" w:rsidR="00A22B37" w:rsidRDefault="00A22B37" w:rsidP="00623EB1">
            <w:pPr>
              <w:rPr>
                <w:lang w:val="en-US"/>
              </w:rPr>
            </w:pPr>
            <w:r>
              <w:rPr>
                <w:lang w:val="en-US"/>
              </w:rPr>
              <w:t>0.1</w:t>
            </w:r>
          </w:p>
        </w:tc>
        <w:tc>
          <w:tcPr>
            <w:tcW w:w="1026" w:type="dxa"/>
          </w:tcPr>
          <w:p w14:paraId="0CE8FE85" w14:textId="77777777" w:rsidR="00A22B37" w:rsidRDefault="00A22B37" w:rsidP="00623EB1">
            <w:pPr>
              <w:rPr>
                <w:lang w:val="en-US"/>
              </w:rPr>
            </w:pPr>
            <w:r>
              <w:rPr>
                <w:lang w:val="en-US"/>
              </w:rPr>
              <w:t>120</w:t>
            </w:r>
          </w:p>
        </w:tc>
        <w:tc>
          <w:tcPr>
            <w:tcW w:w="1162" w:type="dxa"/>
          </w:tcPr>
          <w:p w14:paraId="6178DC7A" w14:textId="77777777" w:rsidR="00A22B37" w:rsidRDefault="00A22B37" w:rsidP="00623EB1">
            <w:pPr>
              <w:rPr>
                <w:lang w:val="en-US"/>
              </w:rPr>
            </w:pPr>
            <w:r w:rsidRPr="002B6D44">
              <w:rPr>
                <w:lang w:val="en-US"/>
              </w:rPr>
              <w:t>-1,2198</w:t>
            </w:r>
            <w:r>
              <w:rPr>
                <w:lang w:val="en-US"/>
              </w:rPr>
              <w:t>*</w:t>
            </w:r>
          </w:p>
        </w:tc>
        <w:tc>
          <w:tcPr>
            <w:tcW w:w="1391" w:type="dxa"/>
          </w:tcPr>
          <w:p w14:paraId="74AF1BF1" w14:textId="77777777" w:rsidR="00A22B37" w:rsidRDefault="00A22B37" w:rsidP="00623EB1">
            <w:pPr>
              <w:rPr>
                <w:lang w:val="en-US"/>
              </w:rPr>
            </w:pPr>
            <w:r w:rsidRPr="002B6D44">
              <w:rPr>
                <w:lang w:val="en-US"/>
              </w:rPr>
              <w:t>0,0847</w:t>
            </w:r>
            <w:r>
              <w:rPr>
                <w:lang w:val="en-US"/>
              </w:rPr>
              <w:t xml:space="preserve"> (0,372)</w:t>
            </w:r>
          </w:p>
        </w:tc>
        <w:tc>
          <w:tcPr>
            <w:tcW w:w="2016" w:type="dxa"/>
          </w:tcPr>
          <w:p w14:paraId="7CCFF4C4" w14:textId="77777777" w:rsidR="00A22B37" w:rsidRDefault="00A22B37" w:rsidP="00623EB1">
            <w:pPr>
              <w:rPr>
                <w:noProof/>
                <w:lang w:eastAsia="sv-SE"/>
              </w:rPr>
            </w:pPr>
            <w:r>
              <w:rPr>
                <w:noProof/>
                <w:lang w:eastAsia="sv-SE"/>
              </w:rPr>
              <w:drawing>
                <wp:inline distT="0" distB="0" distL="0" distR="0" wp14:anchorId="66F5F355" wp14:editId="0484E1B1">
                  <wp:extent cx="922020" cy="85735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38050" cy="872265"/>
                          </a:xfrm>
                          <a:prstGeom prst="rect">
                            <a:avLst/>
                          </a:prstGeom>
                        </pic:spPr>
                      </pic:pic>
                    </a:graphicData>
                  </a:graphic>
                </wp:inline>
              </w:drawing>
            </w:r>
          </w:p>
        </w:tc>
      </w:tr>
      <w:tr w:rsidR="00A22B37" w14:paraId="42EA764D" w14:textId="77777777" w:rsidTr="00757F5F">
        <w:tc>
          <w:tcPr>
            <w:tcW w:w="1067" w:type="dxa"/>
          </w:tcPr>
          <w:p w14:paraId="5752EF86" w14:textId="77777777" w:rsidR="00A22B37" w:rsidRDefault="00A22B37" w:rsidP="00623EB1">
            <w:pPr>
              <w:rPr>
                <w:lang w:val="en-US"/>
              </w:rPr>
            </w:pPr>
            <w:r>
              <w:rPr>
                <w:lang w:val="en-US"/>
              </w:rPr>
              <w:t>9141</w:t>
            </w:r>
          </w:p>
        </w:tc>
        <w:tc>
          <w:tcPr>
            <w:tcW w:w="1487" w:type="dxa"/>
          </w:tcPr>
          <w:p w14:paraId="790F4E0A" w14:textId="77777777" w:rsidR="00A22B37" w:rsidRDefault="00A22B37" w:rsidP="00623EB1">
            <w:pPr>
              <w:rPr>
                <w:lang w:val="en-US"/>
              </w:rPr>
            </w:pPr>
            <w:r>
              <w:rPr>
                <w:lang w:val="en-US"/>
              </w:rPr>
              <w:t>0.19</w:t>
            </w:r>
          </w:p>
        </w:tc>
        <w:tc>
          <w:tcPr>
            <w:tcW w:w="1026" w:type="dxa"/>
          </w:tcPr>
          <w:p w14:paraId="5B31D59C" w14:textId="77777777" w:rsidR="00A22B37" w:rsidRDefault="00A22B37" w:rsidP="00623EB1">
            <w:pPr>
              <w:rPr>
                <w:lang w:val="en-US"/>
              </w:rPr>
            </w:pPr>
            <w:r>
              <w:rPr>
                <w:lang w:val="en-US"/>
              </w:rPr>
              <w:t>25</w:t>
            </w:r>
          </w:p>
        </w:tc>
        <w:tc>
          <w:tcPr>
            <w:tcW w:w="1162" w:type="dxa"/>
          </w:tcPr>
          <w:p w14:paraId="21DCA4CE" w14:textId="77777777" w:rsidR="00A22B37" w:rsidRDefault="00A22B37" w:rsidP="00623EB1">
            <w:pPr>
              <w:rPr>
                <w:lang w:val="en-US"/>
              </w:rPr>
            </w:pPr>
            <w:r w:rsidRPr="00510359">
              <w:rPr>
                <w:lang w:val="en-US"/>
              </w:rPr>
              <w:t>-0,1088</w:t>
            </w:r>
          </w:p>
        </w:tc>
        <w:tc>
          <w:tcPr>
            <w:tcW w:w="1391" w:type="dxa"/>
          </w:tcPr>
          <w:p w14:paraId="28AB323A" w14:textId="77777777" w:rsidR="00A22B37" w:rsidRDefault="00A22B37" w:rsidP="00623EB1">
            <w:pPr>
              <w:rPr>
                <w:lang w:val="en-US"/>
              </w:rPr>
            </w:pPr>
            <w:r w:rsidRPr="00510359">
              <w:rPr>
                <w:lang w:val="en-US"/>
              </w:rPr>
              <w:t>-0,1646</w:t>
            </w:r>
            <w:r>
              <w:rPr>
                <w:lang w:val="en-US"/>
              </w:rPr>
              <w:t xml:space="preserve"> (0,569)</w:t>
            </w:r>
          </w:p>
        </w:tc>
        <w:tc>
          <w:tcPr>
            <w:tcW w:w="2016" w:type="dxa"/>
          </w:tcPr>
          <w:p w14:paraId="4AB2A82C" w14:textId="77777777" w:rsidR="00A22B37" w:rsidRDefault="00A22B37" w:rsidP="00623EB1">
            <w:pPr>
              <w:rPr>
                <w:noProof/>
                <w:lang w:eastAsia="sv-SE"/>
              </w:rPr>
            </w:pPr>
            <w:r>
              <w:rPr>
                <w:noProof/>
                <w:lang w:eastAsia="sv-SE"/>
              </w:rPr>
              <w:drawing>
                <wp:inline distT="0" distB="0" distL="0" distR="0" wp14:anchorId="78D306A8" wp14:editId="52B3668C">
                  <wp:extent cx="807720" cy="74200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170" cy="755275"/>
                          </a:xfrm>
                          <a:prstGeom prst="rect">
                            <a:avLst/>
                          </a:prstGeom>
                        </pic:spPr>
                      </pic:pic>
                    </a:graphicData>
                  </a:graphic>
                </wp:inline>
              </w:drawing>
            </w:r>
          </w:p>
        </w:tc>
      </w:tr>
      <w:tr w:rsidR="00A22B37" w14:paraId="6300314E" w14:textId="77777777" w:rsidTr="00757F5F">
        <w:tc>
          <w:tcPr>
            <w:tcW w:w="1067" w:type="dxa"/>
          </w:tcPr>
          <w:p w14:paraId="210E89D8" w14:textId="77777777" w:rsidR="00A22B37" w:rsidRDefault="00A22B37" w:rsidP="00623EB1">
            <w:pPr>
              <w:rPr>
                <w:lang w:val="en-US"/>
              </w:rPr>
            </w:pPr>
            <w:r>
              <w:rPr>
                <w:lang w:val="en-US"/>
              </w:rPr>
              <w:lastRenderedPageBreak/>
              <w:t>7775</w:t>
            </w:r>
          </w:p>
        </w:tc>
        <w:tc>
          <w:tcPr>
            <w:tcW w:w="1487" w:type="dxa"/>
          </w:tcPr>
          <w:p w14:paraId="12798A05" w14:textId="77777777" w:rsidR="00A22B37" w:rsidRDefault="00A22B37" w:rsidP="00623EB1">
            <w:pPr>
              <w:rPr>
                <w:lang w:val="en-US"/>
              </w:rPr>
            </w:pPr>
            <w:r>
              <w:rPr>
                <w:lang w:val="en-US"/>
              </w:rPr>
              <w:t>0.30</w:t>
            </w:r>
          </w:p>
        </w:tc>
        <w:tc>
          <w:tcPr>
            <w:tcW w:w="1026" w:type="dxa"/>
          </w:tcPr>
          <w:p w14:paraId="5BB096CA" w14:textId="77777777" w:rsidR="00A22B37" w:rsidRDefault="00A22B37" w:rsidP="00623EB1">
            <w:pPr>
              <w:rPr>
                <w:lang w:val="en-US"/>
              </w:rPr>
            </w:pPr>
            <w:r>
              <w:rPr>
                <w:lang w:val="en-US"/>
              </w:rPr>
              <w:t>33</w:t>
            </w:r>
          </w:p>
        </w:tc>
        <w:tc>
          <w:tcPr>
            <w:tcW w:w="1162" w:type="dxa"/>
          </w:tcPr>
          <w:p w14:paraId="2095AD55" w14:textId="77777777" w:rsidR="00A22B37" w:rsidRPr="00510359" w:rsidRDefault="00A22B37" w:rsidP="00623EB1">
            <w:pPr>
              <w:rPr>
                <w:lang w:val="en-US"/>
              </w:rPr>
            </w:pPr>
            <w:r w:rsidRPr="00510359">
              <w:rPr>
                <w:lang w:val="en-US"/>
              </w:rPr>
              <w:t>-1,4873</w:t>
            </w:r>
            <w:r>
              <w:rPr>
                <w:lang w:val="en-US"/>
              </w:rPr>
              <w:t>*</w:t>
            </w:r>
          </w:p>
        </w:tc>
        <w:tc>
          <w:tcPr>
            <w:tcW w:w="1391" w:type="dxa"/>
          </w:tcPr>
          <w:p w14:paraId="29276993" w14:textId="77777777" w:rsidR="00A22B37" w:rsidRPr="00510359" w:rsidRDefault="00A22B37" w:rsidP="00623EB1">
            <w:pPr>
              <w:rPr>
                <w:lang w:val="en-US"/>
              </w:rPr>
            </w:pPr>
            <w:r w:rsidRPr="00510359">
              <w:rPr>
                <w:lang w:val="en-US"/>
              </w:rPr>
              <w:t>0,2248</w:t>
            </w:r>
            <w:r>
              <w:rPr>
                <w:lang w:val="en-US"/>
              </w:rPr>
              <w:t xml:space="preserve"> (0.537)</w:t>
            </w:r>
          </w:p>
        </w:tc>
        <w:tc>
          <w:tcPr>
            <w:tcW w:w="2016" w:type="dxa"/>
          </w:tcPr>
          <w:p w14:paraId="680A021E" w14:textId="77777777" w:rsidR="00A22B37" w:rsidRDefault="00A22B37" w:rsidP="00623EB1">
            <w:pPr>
              <w:rPr>
                <w:noProof/>
                <w:lang w:eastAsia="sv-SE"/>
              </w:rPr>
            </w:pPr>
            <w:r>
              <w:rPr>
                <w:noProof/>
                <w:lang w:eastAsia="sv-SE"/>
              </w:rPr>
              <w:drawing>
                <wp:inline distT="0" distB="0" distL="0" distR="0" wp14:anchorId="7582FD3A" wp14:editId="3D3981D9">
                  <wp:extent cx="833120" cy="725084"/>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49034" cy="738934"/>
                          </a:xfrm>
                          <a:prstGeom prst="rect">
                            <a:avLst/>
                          </a:prstGeom>
                        </pic:spPr>
                      </pic:pic>
                    </a:graphicData>
                  </a:graphic>
                </wp:inline>
              </w:drawing>
            </w:r>
          </w:p>
        </w:tc>
      </w:tr>
      <w:tr w:rsidR="00A22B37" w14:paraId="0DFB4C18" w14:textId="77777777" w:rsidTr="00757F5F">
        <w:tc>
          <w:tcPr>
            <w:tcW w:w="1067" w:type="dxa"/>
          </w:tcPr>
          <w:p w14:paraId="2E0D3556" w14:textId="77777777" w:rsidR="00A22B37" w:rsidRDefault="00A22B37" w:rsidP="00623EB1">
            <w:pPr>
              <w:rPr>
                <w:lang w:val="en-US"/>
              </w:rPr>
            </w:pPr>
            <w:r>
              <w:rPr>
                <w:lang w:val="en-US"/>
              </w:rPr>
              <w:t>8030</w:t>
            </w:r>
          </w:p>
        </w:tc>
        <w:tc>
          <w:tcPr>
            <w:tcW w:w="1487" w:type="dxa"/>
          </w:tcPr>
          <w:p w14:paraId="360BDEED" w14:textId="77777777" w:rsidR="00A22B37" w:rsidRDefault="00A22B37" w:rsidP="00623EB1">
            <w:pPr>
              <w:rPr>
                <w:lang w:val="en-US"/>
              </w:rPr>
            </w:pPr>
            <w:r>
              <w:rPr>
                <w:lang w:val="en-US"/>
              </w:rPr>
              <w:t>0.57</w:t>
            </w:r>
          </w:p>
        </w:tc>
        <w:tc>
          <w:tcPr>
            <w:tcW w:w="1026" w:type="dxa"/>
          </w:tcPr>
          <w:p w14:paraId="007400CB" w14:textId="77777777" w:rsidR="00A22B37" w:rsidRDefault="00A22B37" w:rsidP="00623EB1">
            <w:pPr>
              <w:rPr>
                <w:lang w:val="en-US"/>
              </w:rPr>
            </w:pPr>
            <w:r>
              <w:rPr>
                <w:lang w:val="en-US"/>
              </w:rPr>
              <w:t>65</w:t>
            </w:r>
          </w:p>
        </w:tc>
        <w:tc>
          <w:tcPr>
            <w:tcW w:w="1162" w:type="dxa"/>
          </w:tcPr>
          <w:p w14:paraId="7D4F254A" w14:textId="77777777" w:rsidR="00A22B37" w:rsidRPr="00510359" w:rsidRDefault="00A22B37" w:rsidP="00623EB1">
            <w:pPr>
              <w:rPr>
                <w:lang w:val="en-US"/>
              </w:rPr>
            </w:pPr>
            <w:r w:rsidRPr="00DB7A1D">
              <w:rPr>
                <w:lang w:val="en-US"/>
              </w:rPr>
              <w:t>-2,4509</w:t>
            </w:r>
            <w:r>
              <w:rPr>
                <w:lang w:val="en-US"/>
              </w:rPr>
              <w:t>*</w:t>
            </w:r>
          </w:p>
        </w:tc>
        <w:tc>
          <w:tcPr>
            <w:tcW w:w="1391" w:type="dxa"/>
          </w:tcPr>
          <w:p w14:paraId="605674E7" w14:textId="77777777" w:rsidR="00A22B37" w:rsidRPr="00510359" w:rsidRDefault="00A22B37" w:rsidP="00623EB1">
            <w:pPr>
              <w:rPr>
                <w:lang w:val="en-US"/>
              </w:rPr>
            </w:pPr>
            <w:r>
              <w:rPr>
                <w:lang w:val="en-US"/>
              </w:rPr>
              <w:t>0,3862 (</w:t>
            </w:r>
            <w:r w:rsidRPr="00DB7A1D">
              <w:rPr>
                <w:lang w:val="en-US"/>
              </w:rPr>
              <w:t>0,528</w:t>
            </w:r>
            <w:r>
              <w:rPr>
                <w:lang w:val="en-US"/>
              </w:rPr>
              <w:t>)</w:t>
            </w:r>
          </w:p>
        </w:tc>
        <w:tc>
          <w:tcPr>
            <w:tcW w:w="2016" w:type="dxa"/>
          </w:tcPr>
          <w:p w14:paraId="6FCFB262" w14:textId="77777777" w:rsidR="00A22B37" w:rsidRDefault="00A22B37" w:rsidP="00623EB1">
            <w:pPr>
              <w:rPr>
                <w:noProof/>
                <w:lang w:eastAsia="sv-SE"/>
              </w:rPr>
            </w:pPr>
            <w:r>
              <w:rPr>
                <w:noProof/>
                <w:lang w:eastAsia="sv-SE"/>
              </w:rPr>
              <w:drawing>
                <wp:inline distT="0" distB="0" distL="0" distR="0" wp14:anchorId="62372B56" wp14:editId="79866359">
                  <wp:extent cx="982980" cy="871057"/>
                  <wp:effectExtent l="0" t="0" r="762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1228" cy="878366"/>
                          </a:xfrm>
                          <a:prstGeom prst="rect">
                            <a:avLst/>
                          </a:prstGeom>
                        </pic:spPr>
                      </pic:pic>
                    </a:graphicData>
                  </a:graphic>
                </wp:inline>
              </w:drawing>
            </w:r>
          </w:p>
        </w:tc>
      </w:tr>
      <w:tr w:rsidR="00A22B37" w14:paraId="1DE64FCB" w14:textId="77777777" w:rsidTr="00757F5F">
        <w:tc>
          <w:tcPr>
            <w:tcW w:w="1067" w:type="dxa"/>
          </w:tcPr>
          <w:p w14:paraId="7CA2FD2C" w14:textId="77777777" w:rsidR="00A22B37" w:rsidRDefault="00A22B37" w:rsidP="00623EB1">
            <w:pPr>
              <w:rPr>
                <w:lang w:val="en-US"/>
              </w:rPr>
            </w:pPr>
            <w:r>
              <w:rPr>
                <w:lang w:val="en-US"/>
              </w:rPr>
              <w:t>5779</w:t>
            </w:r>
          </w:p>
        </w:tc>
        <w:tc>
          <w:tcPr>
            <w:tcW w:w="1487" w:type="dxa"/>
          </w:tcPr>
          <w:p w14:paraId="4B7B97AB" w14:textId="77777777" w:rsidR="00A22B37" w:rsidRDefault="00A22B37" w:rsidP="00623EB1">
            <w:pPr>
              <w:rPr>
                <w:lang w:val="en-US"/>
              </w:rPr>
            </w:pPr>
            <w:r>
              <w:rPr>
                <w:lang w:val="en-US"/>
              </w:rPr>
              <w:t>0.30</w:t>
            </w:r>
          </w:p>
        </w:tc>
        <w:tc>
          <w:tcPr>
            <w:tcW w:w="1026" w:type="dxa"/>
          </w:tcPr>
          <w:p w14:paraId="5F764D17" w14:textId="77777777" w:rsidR="00A22B37" w:rsidRDefault="00A22B37" w:rsidP="00623EB1">
            <w:pPr>
              <w:rPr>
                <w:lang w:val="en-US"/>
              </w:rPr>
            </w:pPr>
            <w:r>
              <w:rPr>
                <w:lang w:val="en-US"/>
              </w:rPr>
              <w:t>55</w:t>
            </w:r>
          </w:p>
        </w:tc>
        <w:tc>
          <w:tcPr>
            <w:tcW w:w="1162" w:type="dxa"/>
          </w:tcPr>
          <w:p w14:paraId="5878609E" w14:textId="77777777" w:rsidR="00A22B37" w:rsidRPr="00DB7A1D" w:rsidRDefault="00A22B37" w:rsidP="00623EB1">
            <w:pPr>
              <w:rPr>
                <w:lang w:val="en-US"/>
              </w:rPr>
            </w:pPr>
            <w:r w:rsidRPr="00DB7A1D">
              <w:rPr>
                <w:lang w:val="en-US"/>
              </w:rPr>
              <w:t>-2,8453</w:t>
            </w:r>
            <w:r>
              <w:rPr>
                <w:lang w:val="en-US"/>
              </w:rPr>
              <w:t>*</w:t>
            </w:r>
          </w:p>
        </w:tc>
        <w:tc>
          <w:tcPr>
            <w:tcW w:w="1391" w:type="dxa"/>
          </w:tcPr>
          <w:p w14:paraId="1D1F7181" w14:textId="77777777" w:rsidR="00A22B37" w:rsidRDefault="00A22B37" w:rsidP="00623EB1">
            <w:pPr>
              <w:rPr>
                <w:lang w:val="en-US"/>
              </w:rPr>
            </w:pPr>
            <w:r>
              <w:rPr>
                <w:lang w:val="en-US"/>
              </w:rPr>
              <w:t>1,3855 (</w:t>
            </w:r>
            <w:r w:rsidRPr="00DB7A1D">
              <w:rPr>
                <w:lang w:val="en-US"/>
              </w:rPr>
              <w:t>0,857</w:t>
            </w:r>
            <w:r>
              <w:rPr>
                <w:lang w:val="en-US"/>
              </w:rPr>
              <w:t>)</w:t>
            </w:r>
          </w:p>
        </w:tc>
        <w:tc>
          <w:tcPr>
            <w:tcW w:w="2016" w:type="dxa"/>
          </w:tcPr>
          <w:p w14:paraId="5A522F1D" w14:textId="77777777" w:rsidR="00A22B37" w:rsidRDefault="00A22B37" w:rsidP="00623EB1">
            <w:pPr>
              <w:rPr>
                <w:noProof/>
                <w:lang w:eastAsia="sv-SE"/>
              </w:rPr>
            </w:pPr>
            <w:r>
              <w:rPr>
                <w:noProof/>
                <w:lang w:eastAsia="sv-SE"/>
              </w:rPr>
              <w:drawing>
                <wp:inline distT="0" distB="0" distL="0" distR="0" wp14:anchorId="339E36C2" wp14:editId="57A779D5">
                  <wp:extent cx="982980" cy="859502"/>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96450" cy="871280"/>
                          </a:xfrm>
                          <a:prstGeom prst="rect">
                            <a:avLst/>
                          </a:prstGeom>
                        </pic:spPr>
                      </pic:pic>
                    </a:graphicData>
                  </a:graphic>
                </wp:inline>
              </w:drawing>
            </w:r>
          </w:p>
        </w:tc>
      </w:tr>
      <w:tr w:rsidR="00A22B37" w14:paraId="06345C68" w14:textId="77777777" w:rsidTr="00757F5F">
        <w:tc>
          <w:tcPr>
            <w:tcW w:w="1067" w:type="dxa"/>
          </w:tcPr>
          <w:p w14:paraId="5C373AA2" w14:textId="77777777" w:rsidR="00A22B37" w:rsidRDefault="00A22B37" w:rsidP="00623EB1">
            <w:pPr>
              <w:rPr>
                <w:lang w:val="en-US"/>
              </w:rPr>
            </w:pPr>
            <w:r>
              <w:rPr>
                <w:lang w:val="en-US"/>
              </w:rPr>
              <w:t>1183</w:t>
            </w:r>
          </w:p>
        </w:tc>
        <w:tc>
          <w:tcPr>
            <w:tcW w:w="1487" w:type="dxa"/>
          </w:tcPr>
          <w:p w14:paraId="6DA3C132" w14:textId="77777777" w:rsidR="00A22B37" w:rsidRDefault="00A22B37" w:rsidP="00623EB1">
            <w:pPr>
              <w:rPr>
                <w:lang w:val="en-US"/>
              </w:rPr>
            </w:pPr>
            <w:r>
              <w:rPr>
                <w:lang w:val="en-US"/>
              </w:rPr>
              <w:t>0.52</w:t>
            </w:r>
          </w:p>
        </w:tc>
        <w:tc>
          <w:tcPr>
            <w:tcW w:w="1026" w:type="dxa"/>
          </w:tcPr>
          <w:p w14:paraId="3E378231" w14:textId="77777777" w:rsidR="00A22B37" w:rsidRDefault="00A22B37" w:rsidP="00623EB1">
            <w:pPr>
              <w:rPr>
                <w:lang w:val="en-US"/>
              </w:rPr>
            </w:pPr>
            <w:r>
              <w:rPr>
                <w:lang w:val="en-US"/>
              </w:rPr>
              <w:t>102</w:t>
            </w:r>
          </w:p>
        </w:tc>
        <w:tc>
          <w:tcPr>
            <w:tcW w:w="1162" w:type="dxa"/>
          </w:tcPr>
          <w:p w14:paraId="728A6259" w14:textId="77777777" w:rsidR="00A22B37" w:rsidRDefault="00A22B37" w:rsidP="00623EB1">
            <w:pPr>
              <w:rPr>
                <w:lang w:val="en-US"/>
              </w:rPr>
            </w:pPr>
            <w:r w:rsidRPr="00DB7A1D">
              <w:rPr>
                <w:lang w:val="en-US"/>
              </w:rPr>
              <w:t>-1,6265</w:t>
            </w:r>
            <w:r>
              <w:rPr>
                <w:lang w:val="en-US"/>
              </w:rPr>
              <w:t>*</w:t>
            </w:r>
          </w:p>
        </w:tc>
        <w:tc>
          <w:tcPr>
            <w:tcW w:w="1391" w:type="dxa"/>
          </w:tcPr>
          <w:p w14:paraId="41EBD449" w14:textId="77777777" w:rsidR="00A22B37" w:rsidRDefault="00A22B37" w:rsidP="00623EB1">
            <w:pPr>
              <w:rPr>
                <w:lang w:val="en-US"/>
              </w:rPr>
            </w:pPr>
            <w:r w:rsidRPr="00DB7A1D">
              <w:rPr>
                <w:lang w:val="en-US"/>
              </w:rPr>
              <w:t>0,1682</w:t>
            </w:r>
            <w:r>
              <w:rPr>
                <w:lang w:val="en-US"/>
              </w:rPr>
              <w:t xml:space="preserve"> (</w:t>
            </w:r>
            <w:r w:rsidRPr="00DB7A1D">
              <w:rPr>
                <w:lang w:val="en-US"/>
              </w:rPr>
              <w:t>0,196</w:t>
            </w:r>
            <w:r>
              <w:rPr>
                <w:lang w:val="en-US"/>
              </w:rPr>
              <w:t>)</w:t>
            </w:r>
          </w:p>
        </w:tc>
        <w:tc>
          <w:tcPr>
            <w:tcW w:w="2016" w:type="dxa"/>
          </w:tcPr>
          <w:p w14:paraId="0F3BDA5A" w14:textId="77777777" w:rsidR="00A22B37" w:rsidRDefault="00A22B37" w:rsidP="00623EB1">
            <w:pPr>
              <w:rPr>
                <w:noProof/>
                <w:lang w:eastAsia="sv-SE"/>
              </w:rPr>
            </w:pPr>
            <w:r>
              <w:rPr>
                <w:noProof/>
                <w:lang w:eastAsia="sv-SE"/>
              </w:rPr>
              <w:drawing>
                <wp:inline distT="0" distB="0" distL="0" distR="0" wp14:anchorId="67B04A92" wp14:editId="7129BCA5">
                  <wp:extent cx="833120" cy="677032"/>
                  <wp:effectExtent l="0" t="0" r="508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3397" cy="685384"/>
                          </a:xfrm>
                          <a:prstGeom prst="rect">
                            <a:avLst/>
                          </a:prstGeom>
                        </pic:spPr>
                      </pic:pic>
                    </a:graphicData>
                  </a:graphic>
                </wp:inline>
              </w:drawing>
            </w:r>
          </w:p>
        </w:tc>
      </w:tr>
      <w:tr w:rsidR="00A22B37" w14:paraId="24262443" w14:textId="77777777" w:rsidTr="00757F5F">
        <w:tc>
          <w:tcPr>
            <w:tcW w:w="1067" w:type="dxa"/>
          </w:tcPr>
          <w:p w14:paraId="2BC3E38E" w14:textId="77777777" w:rsidR="00A22B37" w:rsidRDefault="00A22B37" w:rsidP="00623EB1">
            <w:pPr>
              <w:rPr>
                <w:lang w:val="en-US"/>
              </w:rPr>
            </w:pPr>
            <w:r>
              <w:rPr>
                <w:lang w:val="en-US"/>
              </w:rPr>
              <w:t>9694</w:t>
            </w:r>
          </w:p>
        </w:tc>
        <w:tc>
          <w:tcPr>
            <w:tcW w:w="1487" w:type="dxa"/>
          </w:tcPr>
          <w:p w14:paraId="5E26D247" w14:textId="77777777" w:rsidR="00A22B37" w:rsidRDefault="00A22B37" w:rsidP="00623EB1">
            <w:pPr>
              <w:rPr>
                <w:lang w:val="en-US"/>
              </w:rPr>
            </w:pPr>
            <w:r>
              <w:rPr>
                <w:lang w:val="en-US"/>
              </w:rPr>
              <w:t>0.38</w:t>
            </w:r>
          </w:p>
        </w:tc>
        <w:tc>
          <w:tcPr>
            <w:tcW w:w="1026" w:type="dxa"/>
          </w:tcPr>
          <w:p w14:paraId="125DE588" w14:textId="77777777" w:rsidR="00A22B37" w:rsidRDefault="00A22B37" w:rsidP="00623EB1">
            <w:pPr>
              <w:rPr>
                <w:lang w:val="en-US"/>
              </w:rPr>
            </w:pPr>
            <w:r>
              <w:rPr>
                <w:lang w:val="en-US"/>
              </w:rPr>
              <w:t>32</w:t>
            </w:r>
          </w:p>
        </w:tc>
        <w:tc>
          <w:tcPr>
            <w:tcW w:w="1162" w:type="dxa"/>
          </w:tcPr>
          <w:p w14:paraId="373B4FEC" w14:textId="77777777" w:rsidR="00A22B37" w:rsidRDefault="00A22B37" w:rsidP="00623EB1">
            <w:pPr>
              <w:rPr>
                <w:lang w:val="en-US"/>
              </w:rPr>
            </w:pPr>
            <w:r w:rsidRPr="00A806FF">
              <w:rPr>
                <w:lang w:val="en-US"/>
              </w:rPr>
              <w:t>-0,3569</w:t>
            </w:r>
          </w:p>
        </w:tc>
        <w:tc>
          <w:tcPr>
            <w:tcW w:w="1391" w:type="dxa"/>
          </w:tcPr>
          <w:p w14:paraId="7975EF71" w14:textId="77777777" w:rsidR="00A22B37" w:rsidRDefault="00A22B37" w:rsidP="00623EB1">
            <w:pPr>
              <w:rPr>
                <w:lang w:val="en-US"/>
              </w:rPr>
            </w:pPr>
            <w:r>
              <w:rPr>
                <w:lang w:val="en-US"/>
              </w:rPr>
              <w:t>0,2197 (</w:t>
            </w:r>
            <w:r w:rsidRPr="00A806FF">
              <w:rPr>
                <w:lang w:val="en-US"/>
              </w:rPr>
              <w:t>0,211</w:t>
            </w:r>
            <w:r>
              <w:rPr>
                <w:lang w:val="en-US"/>
              </w:rPr>
              <w:t>)</w:t>
            </w:r>
          </w:p>
        </w:tc>
        <w:tc>
          <w:tcPr>
            <w:tcW w:w="2016" w:type="dxa"/>
          </w:tcPr>
          <w:p w14:paraId="3C6FB2AB" w14:textId="77777777" w:rsidR="00A22B37" w:rsidRDefault="00A22B37" w:rsidP="00623EB1">
            <w:pPr>
              <w:rPr>
                <w:noProof/>
                <w:lang w:eastAsia="sv-SE"/>
              </w:rPr>
            </w:pPr>
            <w:r>
              <w:rPr>
                <w:noProof/>
                <w:lang w:eastAsia="sv-SE"/>
              </w:rPr>
              <w:drawing>
                <wp:inline distT="0" distB="0" distL="0" distR="0" wp14:anchorId="5E6AA9B5" wp14:editId="3CFD71C6">
                  <wp:extent cx="1104900" cy="94207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flipV="1">
                            <a:off x="0" y="0"/>
                            <a:ext cx="1117377" cy="952711"/>
                          </a:xfrm>
                          <a:prstGeom prst="rect">
                            <a:avLst/>
                          </a:prstGeom>
                        </pic:spPr>
                      </pic:pic>
                    </a:graphicData>
                  </a:graphic>
                </wp:inline>
              </w:drawing>
            </w:r>
          </w:p>
        </w:tc>
      </w:tr>
      <w:tr w:rsidR="00A22B37" w14:paraId="75AF55CF" w14:textId="77777777" w:rsidTr="00757F5F">
        <w:tc>
          <w:tcPr>
            <w:tcW w:w="1067" w:type="dxa"/>
          </w:tcPr>
          <w:p w14:paraId="539925B2" w14:textId="77777777" w:rsidR="00A22B37" w:rsidRDefault="00A22B37" w:rsidP="00623EB1">
            <w:pPr>
              <w:rPr>
                <w:lang w:val="en-US"/>
              </w:rPr>
            </w:pPr>
            <w:r>
              <w:rPr>
                <w:lang w:val="en-US"/>
              </w:rPr>
              <w:t>4446</w:t>
            </w:r>
          </w:p>
        </w:tc>
        <w:tc>
          <w:tcPr>
            <w:tcW w:w="1487" w:type="dxa"/>
          </w:tcPr>
          <w:p w14:paraId="23EC2D2D" w14:textId="77777777" w:rsidR="00A22B37" w:rsidRDefault="00A22B37" w:rsidP="00623EB1">
            <w:pPr>
              <w:rPr>
                <w:lang w:val="en-US"/>
              </w:rPr>
            </w:pPr>
            <w:r>
              <w:rPr>
                <w:lang w:val="en-US"/>
              </w:rPr>
              <w:t>0.18</w:t>
            </w:r>
          </w:p>
        </w:tc>
        <w:tc>
          <w:tcPr>
            <w:tcW w:w="1026" w:type="dxa"/>
          </w:tcPr>
          <w:p w14:paraId="368DE400" w14:textId="77777777" w:rsidR="00A22B37" w:rsidRDefault="00A22B37" w:rsidP="00623EB1">
            <w:pPr>
              <w:rPr>
                <w:lang w:val="en-US"/>
              </w:rPr>
            </w:pPr>
            <w:r>
              <w:rPr>
                <w:lang w:val="en-US"/>
              </w:rPr>
              <w:t>57</w:t>
            </w:r>
          </w:p>
        </w:tc>
        <w:tc>
          <w:tcPr>
            <w:tcW w:w="1162" w:type="dxa"/>
          </w:tcPr>
          <w:p w14:paraId="7C70A6DE" w14:textId="77777777" w:rsidR="00A22B37" w:rsidRPr="00A806FF" w:rsidRDefault="00A22B37" w:rsidP="00623EB1">
            <w:pPr>
              <w:rPr>
                <w:lang w:val="en-US"/>
              </w:rPr>
            </w:pPr>
            <w:r w:rsidRPr="00A806FF">
              <w:rPr>
                <w:lang w:val="en-US"/>
              </w:rPr>
              <w:t>-1,6806</w:t>
            </w:r>
            <w:r>
              <w:rPr>
                <w:lang w:val="en-US"/>
              </w:rPr>
              <w:t>*</w:t>
            </w:r>
          </w:p>
        </w:tc>
        <w:tc>
          <w:tcPr>
            <w:tcW w:w="1391" w:type="dxa"/>
          </w:tcPr>
          <w:p w14:paraId="08BE8ECF" w14:textId="77777777" w:rsidR="00A22B37" w:rsidRDefault="00A22B37" w:rsidP="00623EB1">
            <w:pPr>
              <w:rPr>
                <w:lang w:val="en-US"/>
              </w:rPr>
            </w:pPr>
            <w:r>
              <w:rPr>
                <w:lang w:val="en-US"/>
              </w:rPr>
              <w:t>0,6916 (</w:t>
            </w:r>
            <w:r w:rsidRPr="00A806FF">
              <w:rPr>
                <w:lang w:val="en-US"/>
              </w:rPr>
              <w:t>0,416</w:t>
            </w:r>
            <w:r>
              <w:rPr>
                <w:lang w:val="en-US"/>
              </w:rPr>
              <w:t>)</w:t>
            </w:r>
          </w:p>
        </w:tc>
        <w:tc>
          <w:tcPr>
            <w:tcW w:w="2016" w:type="dxa"/>
          </w:tcPr>
          <w:p w14:paraId="11794DEE" w14:textId="77777777" w:rsidR="00A22B37" w:rsidRDefault="00A22B37" w:rsidP="00623EB1">
            <w:pPr>
              <w:rPr>
                <w:noProof/>
                <w:lang w:eastAsia="sv-SE"/>
              </w:rPr>
            </w:pPr>
            <w:r>
              <w:rPr>
                <w:noProof/>
                <w:lang w:eastAsia="sv-SE"/>
              </w:rPr>
              <w:drawing>
                <wp:inline distT="0" distB="0" distL="0" distR="0" wp14:anchorId="5C9F087A" wp14:editId="5C150F41">
                  <wp:extent cx="1005840" cy="932113"/>
                  <wp:effectExtent l="0" t="0" r="381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20832" cy="946006"/>
                          </a:xfrm>
                          <a:prstGeom prst="rect">
                            <a:avLst/>
                          </a:prstGeom>
                        </pic:spPr>
                      </pic:pic>
                    </a:graphicData>
                  </a:graphic>
                </wp:inline>
              </w:drawing>
            </w:r>
          </w:p>
        </w:tc>
      </w:tr>
      <w:tr w:rsidR="00A22B37" w14:paraId="39BE3A8D" w14:textId="77777777" w:rsidTr="00757F5F">
        <w:tc>
          <w:tcPr>
            <w:tcW w:w="1067" w:type="dxa"/>
          </w:tcPr>
          <w:p w14:paraId="627BE8CC" w14:textId="77777777" w:rsidR="00A22B37" w:rsidRDefault="00A22B37" w:rsidP="00623EB1">
            <w:pPr>
              <w:rPr>
                <w:lang w:val="en-US"/>
              </w:rPr>
            </w:pPr>
            <w:r>
              <w:rPr>
                <w:lang w:val="en-US"/>
              </w:rPr>
              <w:t>6496</w:t>
            </w:r>
          </w:p>
        </w:tc>
        <w:tc>
          <w:tcPr>
            <w:tcW w:w="1487" w:type="dxa"/>
          </w:tcPr>
          <w:p w14:paraId="54DF9B1E" w14:textId="77777777" w:rsidR="00A22B37" w:rsidRDefault="00A22B37" w:rsidP="00623EB1">
            <w:pPr>
              <w:rPr>
                <w:lang w:val="en-US"/>
              </w:rPr>
            </w:pPr>
            <w:r>
              <w:rPr>
                <w:lang w:val="en-US"/>
              </w:rPr>
              <w:t>0.13</w:t>
            </w:r>
          </w:p>
        </w:tc>
        <w:tc>
          <w:tcPr>
            <w:tcW w:w="1026" w:type="dxa"/>
          </w:tcPr>
          <w:p w14:paraId="214EA3FE" w14:textId="77777777" w:rsidR="00A22B37" w:rsidRDefault="00A22B37" w:rsidP="00623EB1">
            <w:pPr>
              <w:rPr>
                <w:lang w:val="en-US"/>
              </w:rPr>
            </w:pPr>
            <w:r>
              <w:rPr>
                <w:lang w:val="en-US"/>
              </w:rPr>
              <w:t>85</w:t>
            </w:r>
          </w:p>
        </w:tc>
        <w:tc>
          <w:tcPr>
            <w:tcW w:w="1162" w:type="dxa"/>
          </w:tcPr>
          <w:p w14:paraId="60F615CC" w14:textId="77777777" w:rsidR="00A22B37" w:rsidRPr="00A806FF" w:rsidRDefault="00A22B37" w:rsidP="00623EB1">
            <w:pPr>
              <w:rPr>
                <w:lang w:val="en-US"/>
              </w:rPr>
            </w:pPr>
            <w:r w:rsidRPr="00B36FB0">
              <w:rPr>
                <w:lang w:val="en-US"/>
              </w:rPr>
              <w:t>-0,3307</w:t>
            </w:r>
          </w:p>
        </w:tc>
        <w:tc>
          <w:tcPr>
            <w:tcW w:w="1391" w:type="dxa"/>
          </w:tcPr>
          <w:p w14:paraId="5BAF1ABC" w14:textId="77777777" w:rsidR="00A22B37" w:rsidRDefault="00A22B37" w:rsidP="00623EB1">
            <w:pPr>
              <w:rPr>
                <w:lang w:val="en-US"/>
              </w:rPr>
            </w:pPr>
            <w:r>
              <w:rPr>
                <w:lang w:val="en-US"/>
              </w:rPr>
              <w:t>0,1915 (</w:t>
            </w:r>
            <w:r w:rsidRPr="00B36FB0">
              <w:rPr>
                <w:lang w:val="en-US"/>
              </w:rPr>
              <w:t>0,205</w:t>
            </w:r>
            <w:r>
              <w:rPr>
                <w:lang w:val="en-US"/>
              </w:rPr>
              <w:t>)</w:t>
            </w:r>
          </w:p>
        </w:tc>
        <w:tc>
          <w:tcPr>
            <w:tcW w:w="2016" w:type="dxa"/>
          </w:tcPr>
          <w:p w14:paraId="67A18027" w14:textId="77777777" w:rsidR="00A22B37" w:rsidRDefault="00A22B37" w:rsidP="00623EB1">
            <w:pPr>
              <w:rPr>
                <w:noProof/>
                <w:lang w:eastAsia="sv-SE"/>
              </w:rPr>
            </w:pPr>
            <w:r>
              <w:rPr>
                <w:noProof/>
                <w:lang w:eastAsia="sv-SE"/>
              </w:rPr>
              <w:drawing>
                <wp:inline distT="0" distB="0" distL="0" distR="0" wp14:anchorId="2EF70FC6" wp14:editId="5724ECA1">
                  <wp:extent cx="922020" cy="796922"/>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34266" cy="807506"/>
                          </a:xfrm>
                          <a:prstGeom prst="rect">
                            <a:avLst/>
                          </a:prstGeom>
                        </pic:spPr>
                      </pic:pic>
                    </a:graphicData>
                  </a:graphic>
                </wp:inline>
              </w:drawing>
            </w:r>
          </w:p>
        </w:tc>
      </w:tr>
      <w:tr w:rsidR="00A22B37" w14:paraId="32EA3CA3" w14:textId="77777777" w:rsidTr="00757F5F">
        <w:tc>
          <w:tcPr>
            <w:tcW w:w="1067" w:type="dxa"/>
          </w:tcPr>
          <w:p w14:paraId="51D8F9A8" w14:textId="77777777" w:rsidR="00A22B37" w:rsidRDefault="00A22B37" w:rsidP="00623EB1">
            <w:pPr>
              <w:rPr>
                <w:lang w:val="en-US"/>
              </w:rPr>
            </w:pPr>
            <w:r>
              <w:rPr>
                <w:lang w:val="en-US"/>
              </w:rPr>
              <w:t>7152</w:t>
            </w:r>
          </w:p>
        </w:tc>
        <w:tc>
          <w:tcPr>
            <w:tcW w:w="1487" w:type="dxa"/>
          </w:tcPr>
          <w:p w14:paraId="55977CC1" w14:textId="77777777" w:rsidR="00A22B37" w:rsidRDefault="00A22B37" w:rsidP="00623EB1">
            <w:pPr>
              <w:rPr>
                <w:lang w:val="en-US"/>
              </w:rPr>
            </w:pPr>
            <w:r>
              <w:rPr>
                <w:lang w:val="en-US"/>
              </w:rPr>
              <w:t>0.35</w:t>
            </w:r>
          </w:p>
        </w:tc>
        <w:tc>
          <w:tcPr>
            <w:tcW w:w="1026" w:type="dxa"/>
          </w:tcPr>
          <w:p w14:paraId="2F99D866" w14:textId="77777777" w:rsidR="00A22B37" w:rsidRDefault="00A22B37" w:rsidP="00623EB1">
            <w:pPr>
              <w:rPr>
                <w:lang w:val="en-US"/>
              </w:rPr>
            </w:pPr>
            <w:r>
              <w:rPr>
                <w:lang w:val="en-US"/>
              </w:rPr>
              <w:t>25</w:t>
            </w:r>
          </w:p>
        </w:tc>
        <w:tc>
          <w:tcPr>
            <w:tcW w:w="1162" w:type="dxa"/>
          </w:tcPr>
          <w:p w14:paraId="3C0F8431" w14:textId="77777777" w:rsidR="00A22B37" w:rsidRPr="00B36FB0" w:rsidRDefault="00A22B37" w:rsidP="00623EB1">
            <w:pPr>
              <w:rPr>
                <w:lang w:val="en-US"/>
              </w:rPr>
            </w:pPr>
            <w:r w:rsidRPr="00B36FB0">
              <w:rPr>
                <w:lang w:val="en-US"/>
              </w:rPr>
              <w:t>-0,6730</w:t>
            </w:r>
          </w:p>
        </w:tc>
        <w:tc>
          <w:tcPr>
            <w:tcW w:w="1391" w:type="dxa"/>
          </w:tcPr>
          <w:p w14:paraId="3A4F1C0D" w14:textId="77777777" w:rsidR="00A22B37" w:rsidRDefault="00A22B37" w:rsidP="00623EB1">
            <w:pPr>
              <w:rPr>
                <w:lang w:val="en-US"/>
              </w:rPr>
            </w:pPr>
            <w:r>
              <w:rPr>
                <w:lang w:val="en-US"/>
              </w:rPr>
              <w:t>0,0978 (</w:t>
            </w:r>
            <w:r w:rsidRPr="00B36FB0">
              <w:rPr>
                <w:lang w:val="en-US"/>
              </w:rPr>
              <w:t>0,430</w:t>
            </w:r>
            <w:r>
              <w:rPr>
                <w:lang w:val="en-US"/>
              </w:rPr>
              <w:t>)</w:t>
            </w:r>
          </w:p>
        </w:tc>
        <w:tc>
          <w:tcPr>
            <w:tcW w:w="2016" w:type="dxa"/>
          </w:tcPr>
          <w:p w14:paraId="07F3E6CF" w14:textId="77777777" w:rsidR="00A22B37" w:rsidRDefault="00A22B37" w:rsidP="00623EB1">
            <w:pPr>
              <w:rPr>
                <w:noProof/>
                <w:lang w:eastAsia="sv-SE"/>
              </w:rPr>
            </w:pPr>
            <w:r>
              <w:rPr>
                <w:noProof/>
                <w:lang w:eastAsia="sv-SE"/>
              </w:rPr>
              <w:drawing>
                <wp:inline distT="0" distB="0" distL="0" distR="0" wp14:anchorId="3E96C430" wp14:editId="38F14E43">
                  <wp:extent cx="975360" cy="967164"/>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83218" cy="974955"/>
                          </a:xfrm>
                          <a:prstGeom prst="rect">
                            <a:avLst/>
                          </a:prstGeom>
                        </pic:spPr>
                      </pic:pic>
                    </a:graphicData>
                  </a:graphic>
                </wp:inline>
              </w:drawing>
            </w:r>
          </w:p>
        </w:tc>
      </w:tr>
    </w:tbl>
    <w:p w14:paraId="1E291624" w14:textId="77777777" w:rsidR="00A22B37" w:rsidRDefault="00A22B37" w:rsidP="009849E8">
      <w:pPr>
        <w:rPr>
          <w:lang w:val="en-US"/>
        </w:rPr>
      </w:pPr>
    </w:p>
    <w:p w14:paraId="038AE4A3" w14:textId="02720481" w:rsidR="00974A1D" w:rsidRDefault="00974A1D" w:rsidP="009849E8">
      <w:pPr>
        <w:rPr>
          <w:lang w:val="en-US"/>
        </w:rPr>
      </w:pPr>
    </w:p>
    <w:p w14:paraId="2974977E" w14:textId="370C533B" w:rsidR="00974A1D" w:rsidRPr="00CA1159" w:rsidRDefault="00974A1D" w:rsidP="009849E8">
      <w:pPr>
        <w:rPr>
          <w:b/>
          <w:lang w:val="en-US"/>
        </w:rPr>
      </w:pPr>
      <w:r w:rsidRPr="00974A1D">
        <w:rPr>
          <w:b/>
          <w:lang w:val="en-US"/>
        </w:rPr>
        <w:t>References</w:t>
      </w:r>
    </w:p>
    <w:p w14:paraId="2AA13397" w14:textId="659206F1" w:rsidR="00D931F7" w:rsidRPr="00FC6EB0" w:rsidRDefault="00974A1D" w:rsidP="00D931F7">
      <w:pPr>
        <w:widowControl w:val="0"/>
        <w:autoSpaceDE w:val="0"/>
        <w:autoSpaceDN w:val="0"/>
        <w:adjustRightInd w:val="0"/>
        <w:spacing w:line="240" w:lineRule="auto"/>
        <w:ind w:left="640" w:hanging="640"/>
        <w:rPr>
          <w:rFonts w:ascii="Calibri" w:hAnsi="Calibri" w:cs="Calibri"/>
          <w:noProof/>
          <w:szCs w:val="24"/>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D931F7" w:rsidRPr="00FC6EB0">
        <w:rPr>
          <w:rFonts w:ascii="Calibri" w:hAnsi="Calibri" w:cs="Calibri"/>
          <w:noProof/>
          <w:szCs w:val="24"/>
          <w:lang w:val="en-US"/>
        </w:rPr>
        <w:t xml:space="preserve">1. </w:t>
      </w:r>
      <w:r w:rsidR="00D931F7" w:rsidRPr="00FC6EB0">
        <w:rPr>
          <w:rFonts w:ascii="Calibri" w:hAnsi="Calibri" w:cs="Calibri"/>
          <w:noProof/>
          <w:szCs w:val="24"/>
          <w:lang w:val="en-US"/>
        </w:rPr>
        <w:tab/>
        <w:t xml:space="preserve">Heider F (1946) Attitudes and Cognitive Organization. </w:t>
      </w:r>
      <w:r w:rsidR="00D931F7" w:rsidRPr="00FC6EB0">
        <w:rPr>
          <w:rFonts w:ascii="Calibri" w:hAnsi="Calibri" w:cs="Calibri"/>
          <w:i/>
          <w:iCs/>
          <w:noProof/>
          <w:szCs w:val="24"/>
          <w:lang w:val="en-US"/>
        </w:rPr>
        <w:t>J Psychol</w:t>
      </w:r>
      <w:r w:rsidR="00D931F7" w:rsidRPr="00FC6EB0">
        <w:rPr>
          <w:rFonts w:ascii="Calibri" w:hAnsi="Calibri" w:cs="Calibri"/>
          <w:noProof/>
          <w:szCs w:val="24"/>
          <w:lang w:val="en-US"/>
        </w:rPr>
        <w:t xml:space="preserve"> 21:107–112.</w:t>
      </w:r>
    </w:p>
    <w:p w14:paraId="0544EC92"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szCs w:val="24"/>
          <w:lang w:val="en-US"/>
        </w:rPr>
      </w:pPr>
      <w:r w:rsidRPr="00FC6EB0">
        <w:rPr>
          <w:rFonts w:ascii="Calibri" w:hAnsi="Calibri" w:cs="Calibri"/>
          <w:noProof/>
          <w:szCs w:val="24"/>
          <w:lang w:val="en-US"/>
        </w:rPr>
        <w:t xml:space="preserve">2. </w:t>
      </w:r>
      <w:r w:rsidRPr="00FC6EB0">
        <w:rPr>
          <w:rFonts w:ascii="Calibri" w:hAnsi="Calibri" w:cs="Calibri"/>
          <w:noProof/>
          <w:szCs w:val="24"/>
          <w:lang w:val="en-US"/>
        </w:rPr>
        <w:tab/>
        <w:t xml:space="preserve">Cartwright D, Harary F (1956) Structural balance: a generalization of Heider’s theory. </w:t>
      </w:r>
      <w:r w:rsidRPr="00FC6EB0">
        <w:rPr>
          <w:rFonts w:ascii="Calibri" w:hAnsi="Calibri" w:cs="Calibri"/>
          <w:i/>
          <w:iCs/>
          <w:noProof/>
          <w:szCs w:val="24"/>
          <w:lang w:val="en-US"/>
        </w:rPr>
        <w:t>Psychol Rev</w:t>
      </w:r>
      <w:r w:rsidRPr="00FC6EB0">
        <w:rPr>
          <w:rFonts w:ascii="Calibri" w:hAnsi="Calibri" w:cs="Calibri"/>
          <w:noProof/>
          <w:szCs w:val="24"/>
          <w:lang w:val="en-US"/>
        </w:rPr>
        <w:t xml:space="preserve"> 63:277–293.</w:t>
      </w:r>
    </w:p>
    <w:p w14:paraId="40343FCE"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szCs w:val="24"/>
          <w:lang w:val="en-US"/>
        </w:rPr>
      </w:pPr>
      <w:r w:rsidRPr="00FC6EB0">
        <w:rPr>
          <w:rFonts w:ascii="Calibri" w:hAnsi="Calibri" w:cs="Calibri"/>
          <w:noProof/>
          <w:szCs w:val="24"/>
          <w:lang w:val="en-US"/>
        </w:rPr>
        <w:t xml:space="preserve">3. </w:t>
      </w:r>
      <w:r w:rsidRPr="00FC6EB0">
        <w:rPr>
          <w:rFonts w:ascii="Calibri" w:hAnsi="Calibri" w:cs="Calibri"/>
          <w:noProof/>
          <w:szCs w:val="24"/>
          <w:lang w:val="en-US"/>
        </w:rPr>
        <w:tab/>
        <w:t xml:space="preserve">Granovetter M (1978) Threshold models of collective behavior. </w:t>
      </w:r>
      <w:r w:rsidRPr="00FC6EB0">
        <w:rPr>
          <w:rFonts w:ascii="Calibri" w:hAnsi="Calibri" w:cs="Calibri"/>
          <w:i/>
          <w:iCs/>
          <w:noProof/>
          <w:szCs w:val="24"/>
          <w:lang w:val="en-US"/>
        </w:rPr>
        <w:t>Am J Sociol</w:t>
      </w:r>
      <w:r w:rsidRPr="00FC6EB0">
        <w:rPr>
          <w:rFonts w:ascii="Calibri" w:hAnsi="Calibri" w:cs="Calibri"/>
          <w:noProof/>
          <w:szCs w:val="24"/>
          <w:lang w:val="en-US"/>
        </w:rPr>
        <w:t xml:space="preserve"> 83(6):1420–1443.</w:t>
      </w:r>
    </w:p>
    <w:p w14:paraId="2F80A677"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szCs w:val="24"/>
          <w:lang w:val="en-US"/>
        </w:rPr>
      </w:pPr>
      <w:r w:rsidRPr="00FC6EB0">
        <w:rPr>
          <w:rFonts w:ascii="Calibri" w:hAnsi="Calibri" w:cs="Calibri"/>
          <w:noProof/>
          <w:szCs w:val="24"/>
          <w:lang w:val="en-US"/>
        </w:rPr>
        <w:lastRenderedPageBreak/>
        <w:t xml:space="preserve">4. </w:t>
      </w:r>
      <w:r w:rsidRPr="00FC6EB0">
        <w:rPr>
          <w:rFonts w:ascii="Calibri" w:hAnsi="Calibri" w:cs="Calibri"/>
          <w:noProof/>
          <w:szCs w:val="24"/>
          <w:lang w:val="en-US"/>
        </w:rPr>
        <w:tab/>
        <w:t xml:space="preserve">Jasny L, Waggle J, Fisher DR (2015) An empirical examination of echo chambers in US climate policy networks. </w:t>
      </w:r>
      <w:r w:rsidRPr="00FC6EB0">
        <w:rPr>
          <w:rFonts w:ascii="Calibri" w:hAnsi="Calibri" w:cs="Calibri"/>
          <w:i/>
          <w:iCs/>
          <w:noProof/>
          <w:szCs w:val="24"/>
          <w:lang w:val="en-US"/>
        </w:rPr>
        <w:t>Nat Clim Chang</w:t>
      </w:r>
      <w:r w:rsidRPr="00FC6EB0">
        <w:rPr>
          <w:rFonts w:ascii="Calibri" w:hAnsi="Calibri" w:cs="Calibri"/>
          <w:noProof/>
          <w:szCs w:val="24"/>
          <w:lang w:val="en-US"/>
        </w:rPr>
        <w:t xml:space="preserve"> (May):1–5.</w:t>
      </w:r>
    </w:p>
    <w:p w14:paraId="757EFAE5"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szCs w:val="24"/>
          <w:lang w:val="en-US"/>
        </w:rPr>
      </w:pPr>
      <w:r w:rsidRPr="00FC6EB0">
        <w:rPr>
          <w:rFonts w:ascii="Calibri" w:hAnsi="Calibri" w:cs="Calibri"/>
          <w:noProof/>
          <w:szCs w:val="24"/>
          <w:lang w:val="en-US"/>
        </w:rPr>
        <w:t xml:space="preserve">5. </w:t>
      </w:r>
      <w:r w:rsidRPr="00FC6EB0">
        <w:rPr>
          <w:rFonts w:ascii="Calibri" w:hAnsi="Calibri" w:cs="Calibri"/>
          <w:noProof/>
          <w:szCs w:val="24"/>
          <w:lang w:val="en-US"/>
        </w:rPr>
        <w:tab/>
        <w:t xml:space="preserve">Barabási AL, Albert R (1999) Emergence of scaling in random networks. </w:t>
      </w:r>
      <w:r w:rsidRPr="00FC6EB0">
        <w:rPr>
          <w:rFonts w:ascii="Calibri" w:hAnsi="Calibri" w:cs="Calibri"/>
          <w:i/>
          <w:iCs/>
          <w:noProof/>
          <w:szCs w:val="24"/>
          <w:lang w:val="en-US"/>
        </w:rPr>
        <w:t>Science (80- )</w:t>
      </w:r>
      <w:r w:rsidRPr="00FC6EB0">
        <w:rPr>
          <w:rFonts w:ascii="Calibri" w:hAnsi="Calibri" w:cs="Calibri"/>
          <w:noProof/>
          <w:szCs w:val="24"/>
          <w:lang w:val="en-US"/>
        </w:rPr>
        <w:t xml:space="preserve"> 286:509–512.</w:t>
      </w:r>
    </w:p>
    <w:p w14:paraId="236C10F7"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szCs w:val="24"/>
          <w:lang w:val="en-US"/>
        </w:rPr>
      </w:pPr>
      <w:r w:rsidRPr="00FC6EB0">
        <w:rPr>
          <w:rFonts w:ascii="Calibri" w:hAnsi="Calibri" w:cs="Calibri"/>
          <w:noProof/>
          <w:szCs w:val="24"/>
          <w:lang w:val="en-US"/>
        </w:rPr>
        <w:t xml:space="preserve">6. </w:t>
      </w:r>
      <w:r w:rsidRPr="00FC6EB0">
        <w:rPr>
          <w:rFonts w:ascii="Calibri" w:hAnsi="Calibri" w:cs="Calibri"/>
          <w:noProof/>
          <w:szCs w:val="24"/>
          <w:lang w:val="en-US"/>
        </w:rPr>
        <w:tab/>
        <w:t xml:space="preserve">Daraganova G, Robins G (2013) Autologistic actor attribute models. </w:t>
      </w:r>
      <w:r w:rsidRPr="00FC6EB0">
        <w:rPr>
          <w:rFonts w:ascii="Calibri" w:hAnsi="Calibri" w:cs="Calibri"/>
          <w:i/>
          <w:iCs/>
          <w:noProof/>
          <w:szCs w:val="24"/>
          <w:lang w:val="en-US"/>
        </w:rPr>
        <w:t>Exponential Random Graph Models for Social Networks: Theory, Methods and Applications</w:t>
      </w:r>
      <w:r w:rsidRPr="00FC6EB0">
        <w:rPr>
          <w:rFonts w:ascii="Calibri" w:hAnsi="Calibri" w:cs="Calibri"/>
          <w:noProof/>
          <w:szCs w:val="24"/>
          <w:lang w:val="en-US"/>
        </w:rPr>
        <w:t>, eds Lusher D, Koskinen J, Robins G (Cambridge University Press,), pp 102–108.</w:t>
      </w:r>
    </w:p>
    <w:p w14:paraId="03D38B42" w14:textId="77777777" w:rsidR="00D931F7" w:rsidRPr="00FC6EB0" w:rsidRDefault="00D931F7" w:rsidP="00D931F7">
      <w:pPr>
        <w:widowControl w:val="0"/>
        <w:autoSpaceDE w:val="0"/>
        <w:autoSpaceDN w:val="0"/>
        <w:adjustRightInd w:val="0"/>
        <w:spacing w:line="240" w:lineRule="auto"/>
        <w:ind w:left="640" w:hanging="640"/>
        <w:rPr>
          <w:rFonts w:ascii="Calibri" w:hAnsi="Calibri" w:cs="Calibri"/>
          <w:noProof/>
          <w:lang w:val="en-US"/>
        </w:rPr>
      </w:pPr>
      <w:r w:rsidRPr="00FC6EB0">
        <w:rPr>
          <w:rFonts w:ascii="Calibri" w:hAnsi="Calibri" w:cs="Calibri"/>
          <w:noProof/>
          <w:szCs w:val="24"/>
          <w:lang w:val="en-US"/>
        </w:rPr>
        <w:t xml:space="preserve">7. </w:t>
      </w:r>
      <w:r w:rsidRPr="00FC6EB0">
        <w:rPr>
          <w:rFonts w:ascii="Calibri" w:hAnsi="Calibri" w:cs="Calibri"/>
          <w:noProof/>
          <w:szCs w:val="24"/>
          <w:lang w:val="en-US"/>
        </w:rPr>
        <w:tab/>
        <w:t xml:space="preserve">Wang P, Robins G, Pattison P, Koskinen JH (2014) </w:t>
      </w:r>
      <w:r w:rsidRPr="00FC6EB0">
        <w:rPr>
          <w:rFonts w:ascii="Calibri" w:hAnsi="Calibri" w:cs="Calibri"/>
          <w:i/>
          <w:iCs/>
          <w:noProof/>
          <w:szCs w:val="24"/>
          <w:lang w:val="en-US"/>
        </w:rPr>
        <w:t>MPNet: Program for the Simulation and Estimation of (p*) Exponential Random Graph Models for Multilevel Networks</w:t>
      </w:r>
      <w:r w:rsidRPr="00FC6EB0">
        <w:rPr>
          <w:rFonts w:ascii="Calibri" w:hAnsi="Calibri" w:cs="Calibri"/>
          <w:noProof/>
          <w:szCs w:val="24"/>
          <w:lang w:val="en-US"/>
        </w:rPr>
        <w:t xml:space="preserve"> Available at: http://sna.unimelb.edu.au/PNet.</w:t>
      </w:r>
    </w:p>
    <w:p w14:paraId="6F31933B" w14:textId="4F8DECF8" w:rsidR="00974A1D" w:rsidRDefault="00974A1D" w:rsidP="009849E8">
      <w:pPr>
        <w:rPr>
          <w:lang w:val="en-US"/>
        </w:rPr>
      </w:pPr>
      <w:r>
        <w:rPr>
          <w:lang w:val="en-US"/>
        </w:rPr>
        <w:fldChar w:fldCharType="end"/>
      </w:r>
    </w:p>
    <w:p w14:paraId="068E6387" w14:textId="77777777" w:rsidR="009849E8" w:rsidRDefault="009849E8" w:rsidP="00677C6E">
      <w:pPr>
        <w:rPr>
          <w:lang w:val="en-US"/>
        </w:rPr>
      </w:pPr>
    </w:p>
    <w:p w14:paraId="57C71049" w14:textId="77777777" w:rsidR="00677C6E" w:rsidRDefault="00677C6E" w:rsidP="005E0A82">
      <w:pPr>
        <w:rPr>
          <w:lang w:val="en-US"/>
        </w:rPr>
      </w:pPr>
    </w:p>
    <w:p w14:paraId="45EB6660" w14:textId="77777777" w:rsidR="005E0A82" w:rsidRDefault="005E0A82">
      <w:pPr>
        <w:rPr>
          <w:lang w:val="en-US"/>
        </w:rPr>
      </w:pPr>
    </w:p>
    <w:p w14:paraId="1DBB0A15" w14:textId="77777777" w:rsidR="005E0A82" w:rsidRDefault="005E0A82">
      <w:pPr>
        <w:rPr>
          <w:lang w:val="en-US"/>
        </w:rPr>
      </w:pPr>
    </w:p>
    <w:p w14:paraId="2D372994" w14:textId="77777777" w:rsidR="00EA1660" w:rsidRPr="00EA1660" w:rsidRDefault="00EA1660">
      <w:pPr>
        <w:rPr>
          <w:lang w:val="en-US"/>
        </w:rPr>
      </w:pPr>
    </w:p>
    <w:sectPr w:rsidR="00EA1660" w:rsidRPr="00EA1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FA"/>
    <w:rsid w:val="00043CA2"/>
    <w:rsid w:val="000610C3"/>
    <w:rsid w:val="000A3727"/>
    <w:rsid w:val="0011635B"/>
    <w:rsid w:val="0017325C"/>
    <w:rsid w:val="00174597"/>
    <w:rsid w:val="001849DD"/>
    <w:rsid w:val="00190E7E"/>
    <w:rsid w:val="001971F2"/>
    <w:rsid w:val="001D555F"/>
    <w:rsid w:val="001E6B42"/>
    <w:rsid w:val="001F7818"/>
    <w:rsid w:val="00201BED"/>
    <w:rsid w:val="002D5566"/>
    <w:rsid w:val="002E6C02"/>
    <w:rsid w:val="002F3A15"/>
    <w:rsid w:val="00316E0F"/>
    <w:rsid w:val="00330872"/>
    <w:rsid w:val="0035137B"/>
    <w:rsid w:val="00387919"/>
    <w:rsid w:val="00392855"/>
    <w:rsid w:val="003A2AF6"/>
    <w:rsid w:val="0041365B"/>
    <w:rsid w:val="00424AE9"/>
    <w:rsid w:val="00433BA6"/>
    <w:rsid w:val="00480261"/>
    <w:rsid w:val="00485DD2"/>
    <w:rsid w:val="004947E8"/>
    <w:rsid w:val="004A0AD1"/>
    <w:rsid w:val="004E589B"/>
    <w:rsid w:val="0051317D"/>
    <w:rsid w:val="0051581C"/>
    <w:rsid w:val="00532627"/>
    <w:rsid w:val="00540FF5"/>
    <w:rsid w:val="005A56BC"/>
    <w:rsid w:val="005C513D"/>
    <w:rsid w:val="005D230D"/>
    <w:rsid w:val="005D46A7"/>
    <w:rsid w:val="005D5E72"/>
    <w:rsid w:val="005D6799"/>
    <w:rsid w:val="005E0A82"/>
    <w:rsid w:val="005F2A09"/>
    <w:rsid w:val="00613687"/>
    <w:rsid w:val="00623879"/>
    <w:rsid w:val="00677C6E"/>
    <w:rsid w:val="006B1E81"/>
    <w:rsid w:val="006D2BF4"/>
    <w:rsid w:val="006E5BEC"/>
    <w:rsid w:val="007047D2"/>
    <w:rsid w:val="00721E61"/>
    <w:rsid w:val="00757F5F"/>
    <w:rsid w:val="00782F03"/>
    <w:rsid w:val="00786012"/>
    <w:rsid w:val="007C469E"/>
    <w:rsid w:val="007D0ECC"/>
    <w:rsid w:val="007D5154"/>
    <w:rsid w:val="0080428F"/>
    <w:rsid w:val="008059F5"/>
    <w:rsid w:val="00844C19"/>
    <w:rsid w:val="00860ECE"/>
    <w:rsid w:val="00875B85"/>
    <w:rsid w:val="00875C85"/>
    <w:rsid w:val="008828D2"/>
    <w:rsid w:val="008C2E39"/>
    <w:rsid w:val="008C5929"/>
    <w:rsid w:val="008E5CA6"/>
    <w:rsid w:val="008F0615"/>
    <w:rsid w:val="00916147"/>
    <w:rsid w:val="00931225"/>
    <w:rsid w:val="00966E32"/>
    <w:rsid w:val="00974A1D"/>
    <w:rsid w:val="0098092B"/>
    <w:rsid w:val="009849E8"/>
    <w:rsid w:val="009D2A1B"/>
    <w:rsid w:val="009D40EC"/>
    <w:rsid w:val="00A01769"/>
    <w:rsid w:val="00A22B37"/>
    <w:rsid w:val="00A54DAD"/>
    <w:rsid w:val="00A66B95"/>
    <w:rsid w:val="00AA7E8D"/>
    <w:rsid w:val="00AD53B2"/>
    <w:rsid w:val="00AE158E"/>
    <w:rsid w:val="00AF64FB"/>
    <w:rsid w:val="00B05E67"/>
    <w:rsid w:val="00B35BC5"/>
    <w:rsid w:val="00B61FA5"/>
    <w:rsid w:val="00BC1C42"/>
    <w:rsid w:val="00BD5B70"/>
    <w:rsid w:val="00BE33DB"/>
    <w:rsid w:val="00C1309E"/>
    <w:rsid w:val="00C43AD7"/>
    <w:rsid w:val="00C71474"/>
    <w:rsid w:val="00C8780D"/>
    <w:rsid w:val="00CA1159"/>
    <w:rsid w:val="00CA13FD"/>
    <w:rsid w:val="00CD2D42"/>
    <w:rsid w:val="00D3759D"/>
    <w:rsid w:val="00D51887"/>
    <w:rsid w:val="00D75CDD"/>
    <w:rsid w:val="00D8610D"/>
    <w:rsid w:val="00D931F7"/>
    <w:rsid w:val="00DE0C9E"/>
    <w:rsid w:val="00DF17FA"/>
    <w:rsid w:val="00DF1BD5"/>
    <w:rsid w:val="00E1476D"/>
    <w:rsid w:val="00E22F43"/>
    <w:rsid w:val="00E5489C"/>
    <w:rsid w:val="00E6023D"/>
    <w:rsid w:val="00E71706"/>
    <w:rsid w:val="00E72424"/>
    <w:rsid w:val="00EA1660"/>
    <w:rsid w:val="00EA716F"/>
    <w:rsid w:val="00F147FE"/>
    <w:rsid w:val="00F30EF1"/>
    <w:rsid w:val="00F95F1D"/>
    <w:rsid w:val="00FB209C"/>
    <w:rsid w:val="00FB58AB"/>
    <w:rsid w:val="00FC6EB0"/>
    <w:rsid w:val="00FD09A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F869"/>
  <w15:chartTrackingRefBased/>
  <w15:docId w15:val="{D62F613F-1BAE-4672-88D4-CAB86B35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B85"/>
    <w:rPr>
      <w:sz w:val="16"/>
      <w:szCs w:val="16"/>
    </w:rPr>
  </w:style>
  <w:style w:type="paragraph" w:styleId="CommentText">
    <w:name w:val="annotation text"/>
    <w:basedOn w:val="Normal"/>
    <w:link w:val="CommentTextChar"/>
    <w:uiPriority w:val="99"/>
    <w:unhideWhenUsed/>
    <w:rsid w:val="00875B85"/>
    <w:pPr>
      <w:spacing w:line="240" w:lineRule="auto"/>
    </w:pPr>
    <w:rPr>
      <w:sz w:val="20"/>
      <w:szCs w:val="20"/>
    </w:rPr>
  </w:style>
  <w:style w:type="character" w:customStyle="1" w:styleId="CommentTextChar">
    <w:name w:val="Comment Text Char"/>
    <w:basedOn w:val="DefaultParagraphFont"/>
    <w:link w:val="CommentText"/>
    <w:uiPriority w:val="99"/>
    <w:rsid w:val="00875B85"/>
    <w:rPr>
      <w:sz w:val="20"/>
      <w:szCs w:val="20"/>
    </w:rPr>
  </w:style>
  <w:style w:type="paragraph" w:styleId="CommentSubject">
    <w:name w:val="annotation subject"/>
    <w:basedOn w:val="CommentText"/>
    <w:next w:val="CommentText"/>
    <w:link w:val="CommentSubjectChar"/>
    <w:uiPriority w:val="99"/>
    <w:semiHidden/>
    <w:unhideWhenUsed/>
    <w:rsid w:val="00875B85"/>
    <w:rPr>
      <w:b/>
      <w:bCs/>
    </w:rPr>
  </w:style>
  <w:style w:type="character" w:customStyle="1" w:styleId="CommentSubjectChar">
    <w:name w:val="Comment Subject Char"/>
    <w:basedOn w:val="CommentTextChar"/>
    <w:link w:val="CommentSubject"/>
    <w:uiPriority w:val="99"/>
    <w:semiHidden/>
    <w:rsid w:val="00875B85"/>
    <w:rPr>
      <w:b/>
      <w:bCs/>
      <w:sz w:val="20"/>
      <w:szCs w:val="20"/>
    </w:rPr>
  </w:style>
  <w:style w:type="paragraph" w:styleId="BalloonText">
    <w:name w:val="Balloon Text"/>
    <w:basedOn w:val="Normal"/>
    <w:link w:val="BalloonTextChar"/>
    <w:uiPriority w:val="99"/>
    <w:semiHidden/>
    <w:unhideWhenUsed/>
    <w:rsid w:val="00875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B85"/>
    <w:rPr>
      <w:rFonts w:ascii="Segoe UI" w:hAnsi="Segoe UI" w:cs="Segoe UI"/>
      <w:sz w:val="18"/>
      <w:szCs w:val="18"/>
    </w:rPr>
  </w:style>
  <w:style w:type="paragraph" w:styleId="ListParagraph">
    <w:name w:val="List Paragraph"/>
    <w:basedOn w:val="Normal"/>
    <w:uiPriority w:val="34"/>
    <w:qFormat/>
    <w:rsid w:val="005D46A7"/>
    <w:pPr>
      <w:ind w:left="720"/>
      <w:contextualSpacing/>
    </w:pPr>
  </w:style>
  <w:style w:type="table" w:styleId="TableGrid">
    <w:name w:val="Table Grid"/>
    <w:basedOn w:val="TableNormal"/>
    <w:uiPriority w:val="39"/>
    <w:rsid w:val="00A2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B60B-2161-4E0C-B581-8F57C468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Örjan Bodin</dc:creator>
  <cp:keywords/>
  <dc:description/>
  <cp:lastModifiedBy>Petr Matous</cp:lastModifiedBy>
  <cp:revision>3</cp:revision>
  <dcterms:created xsi:type="dcterms:W3CDTF">2021-05-06T00:09:00Z</dcterms:created>
  <dcterms:modified xsi:type="dcterms:W3CDTF">2021-05-06T00:09:00Z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http://www.zotero.org/styles/conservation-letters</vt:lpwstr>
  </property>
  <property fmtid="{D5CDD505-2E9C-101B-9397-08002B2CF9AE}" pid="9" name="Mendeley Recent Style Name 3_1">
    <vt:lpwstr>Conservation Letters</vt:lpwstr>
  </property>
  <property fmtid="{D5CDD505-2E9C-101B-9397-08002B2CF9AE}" pid="10" name="Mendeley Recent Style Id 4_1">
    <vt:lpwstr>http://www.zotero.org/styles/ecology-and-society</vt:lpwstr>
  </property>
  <property fmtid="{D5CDD505-2E9C-101B-9397-08002B2CF9AE}" pid="11" name="Mendeley Recent Style Name 4_1">
    <vt:lpwstr>Ecology and Society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http://www.zotero.org/styles/pnas</vt:lpwstr>
  </property>
  <property fmtid="{D5CDD505-2E9C-101B-9397-08002B2CF9AE}" pid="17" name="Mendeley Recent Style Name 7_1">
    <vt:lpwstr>Proceedings of the National Academy of Sciences of the United States of America</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http://www.zotero.org/styles/sustainability-science</vt:lpwstr>
  </property>
  <property fmtid="{D5CDD505-2E9C-101B-9397-08002B2CF9AE}" pid="21" name="Mendeley Recent Style Name 9_1">
    <vt:lpwstr>Sustainability Science</vt:lpwstr>
  </property>
  <property fmtid="{D5CDD505-2E9C-101B-9397-08002B2CF9AE}" pid="22" name="Mendeley Document_1">
    <vt:lpwstr>True</vt:lpwstr>
  </property>
  <property fmtid="{D5CDD505-2E9C-101B-9397-08002B2CF9AE}" pid="23" name="Mendeley Unique User Id_1">
    <vt:lpwstr>7af0e42e-5ba1-3b9f-abb9-3c0878ee59a1</vt:lpwstr>
  </property>
  <property fmtid="{D5CDD505-2E9C-101B-9397-08002B2CF9AE}" pid="24" name="Mendeley Citation Style_1">
    <vt:lpwstr>http://www.zotero.org/styles/pnas</vt:lpwstr>
  </property>
</Properties>
</file>