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F0C3E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Table 1 Hydrate Formation in Pure Water System</w:t>
      </w:r>
    </w:p>
    <w:tbl>
      <w:tblPr>
        <w:tblStyle w:val="7"/>
        <w:tblW w:w="42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8"/>
        <w:gridCol w:w="2438"/>
        <w:gridCol w:w="2438"/>
      </w:tblGrid>
      <w:tr w14:paraId="2578E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66" w:type="pct"/>
            <w:vAlign w:val="center"/>
          </w:tcPr>
          <w:p w14:paraId="362B97AF">
            <w:pPr>
              <w:pStyle w:val="4"/>
              <w:bidi w:val="0"/>
              <w:jc w:val="center"/>
              <w:rPr>
                <w:b w:val="0"/>
                <w:bCs/>
              </w:rPr>
            </w:pPr>
          </w:p>
        </w:tc>
        <w:tc>
          <w:tcPr>
            <w:tcW w:w="1666" w:type="pct"/>
            <w:vAlign w:val="center"/>
          </w:tcPr>
          <w:p w14:paraId="0FB8468A">
            <w:pPr>
              <w:pStyle w:val="4"/>
              <w:bidi w:val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point of time/min</w:t>
            </w:r>
          </w:p>
        </w:tc>
        <w:tc>
          <w:tcPr>
            <w:tcW w:w="1666" w:type="pct"/>
            <w:vAlign w:val="center"/>
          </w:tcPr>
          <w:p w14:paraId="3C96F240">
            <w:pPr>
              <w:pStyle w:val="4"/>
              <w:bidi w:val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Corresponding pressure</w:t>
            </w:r>
            <w:r>
              <w:rPr>
                <w:rFonts w:hint="eastAsia"/>
                <w:b w:val="0"/>
                <w:bCs/>
                <w:lang w:val="en-US" w:eastAsia="zh-CN"/>
              </w:rPr>
              <w:t>/Mpa</w:t>
            </w:r>
          </w:p>
        </w:tc>
      </w:tr>
      <w:tr w14:paraId="0F1EC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66" w:type="pct"/>
            <w:vAlign w:val="center"/>
          </w:tcPr>
          <w:p w14:paraId="6E9EA4B3">
            <w:pPr>
              <w:pStyle w:val="4"/>
              <w:bidi w:val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Origination</w:t>
            </w:r>
          </w:p>
        </w:tc>
        <w:tc>
          <w:tcPr>
            <w:tcW w:w="1666" w:type="pct"/>
            <w:vAlign w:val="center"/>
          </w:tcPr>
          <w:p w14:paraId="11C67491">
            <w:pPr>
              <w:pStyle w:val="4"/>
              <w:bidi w:val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1666" w:type="pct"/>
            <w:vAlign w:val="center"/>
          </w:tcPr>
          <w:p w14:paraId="7AA1B70F">
            <w:pPr>
              <w:pStyle w:val="4"/>
              <w:bidi w:val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15</w:t>
            </w:r>
          </w:p>
        </w:tc>
      </w:tr>
      <w:tr w14:paraId="20347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66" w:type="pct"/>
            <w:vAlign w:val="center"/>
          </w:tcPr>
          <w:p w14:paraId="67DF530F">
            <w:pPr>
              <w:pStyle w:val="4"/>
              <w:bidi w:val="0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Induction period of hydrate formation</w:t>
            </w:r>
          </w:p>
        </w:tc>
        <w:tc>
          <w:tcPr>
            <w:tcW w:w="1666" w:type="pct"/>
            <w:vAlign w:val="center"/>
          </w:tcPr>
          <w:p w14:paraId="57976DF8">
            <w:pPr>
              <w:pStyle w:val="4"/>
              <w:bidi w:val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100</w:t>
            </w:r>
          </w:p>
        </w:tc>
        <w:tc>
          <w:tcPr>
            <w:tcW w:w="1666" w:type="pct"/>
            <w:vAlign w:val="center"/>
          </w:tcPr>
          <w:p w14:paraId="27DD9F1E">
            <w:pPr>
              <w:pStyle w:val="4"/>
              <w:bidi w:val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14.03</w:t>
            </w:r>
          </w:p>
        </w:tc>
      </w:tr>
      <w:tr w14:paraId="6E5C1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66" w:type="pct"/>
            <w:vAlign w:val="center"/>
          </w:tcPr>
          <w:p w14:paraId="0E6D3FD4">
            <w:pPr>
              <w:pStyle w:val="4"/>
              <w:bidi w:val="0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Begin of stable period of hydrate formation </w:t>
            </w:r>
          </w:p>
        </w:tc>
        <w:tc>
          <w:tcPr>
            <w:tcW w:w="1666" w:type="pct"/>
            <w:vAlign w:val="center"/>
          </w:tcPr>
          <w:p w14:paraId="7A52B8DB">
            <w:pPr>
              <w:pStyle w:val="4"/>
              <w:bidi w:val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590</w:t>
            </w:r>
          </w:p>
        </w:tc>
        <w:tc>
          <w:tcPr>
            <w:tcW w:w="1666" w:type="pct"/>
            <w:vAlign w:val="center"/>
          </w:tcPr>
          <w:p w14:paraId="4CE0A7D1">
            <w:pPr>
              <w:pStyle w:val="4"/>
              <w:bidi w:val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10.38</w:t>
            </w:r>
          </w:p>
        </w:tc>
      </w:tr>
      <w:tr w14:paraId="4ADF1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66" w:type="pct"/>
            <w:vAlign w:val="center"/>
          </w:tcPr>
          <w:p w14:paraId="6037B6BA">
            <w:pPr>
              <w:pStyle w:val="4"/>
              <w:bidi w:val="0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End of stable period for hydrate formation</w:t>
            </w:r>
          </w:p>
        </w:tc>
        <w:tc>
          <w:tcPr>
            <w:tcW w:w="1666" w:type="pct"/>
            <w:vAlign w:val="center"/>
          </w:tcPr>
          <w:p w14:paraId="522B9DEC">
            <w:pPr>
              <w:pStyle w:val="4"/>
              <w:bidi w:val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1200</w:t>
            </w:r>
          </w:p>
        </w:tc>
        <w:tc>
          <w:tcPr>
            <w:tcW w:w="1666" w:type="pct"/>
            <w:vAlign w:val="center"/>
          </w:tcPr>
          <w:p w14:paraId="15BEDA4D">
            <w:pPr>
              <w:pStyle w:val="4"/>
              <w:bidi w:val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9.72</w:t>
            </w:r>
          </w:p>
        </w:tc>
      </w:tr>
    </w:tbl>
    <w:p w14:paraId="2D32443D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Table 2 Inhibition effect of different formulations on hydrates</w:t>
      </w:r>
    </w:p>
    <w:tbl>
      <w:tblPr>
        <w:tblStyle w:val="7"/>
        <w:tblW w:w="31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1762"/>
        <w:gridCol w:w="1763"/>
      </w:tblGrid>
      <w:tr w14:paraId="16943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pct"/>
            <w:vAlign w:val="center"/>
          </w:tcPr>
          <w:p w14:paraId="4FDCF95F">
            <w:pPr>
              <w:pStyle w:val="4"/>
              <w:bidi w:val="0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Formula</w:t>
            </w:r>
          </w:p>
        </w:tc>
        <w:tc>
          <w:tcPr>
            <w:tcW w:w="1666" w:type="pct"/>
            <w:vAlign w:val="center"/>
          </w:tcPr>
          <w:p w14:paraId="445B0F48">
            <w:pPr>
              <w:pStyle w:val="4"/>
              <w:bidi w:val="0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Residual pressure</w:t>
            </w:r>
            <w:r>
              <w:rPr>
                <w:rFonts w:hint="eastAsia"/>
                <w:b w:val="0"/>
                <w:bCs/>
                <w:lang w:val="en-US" w:eastAsia="zh-CN"/>
              </w:rPr>
              <w:t>/</w:t>
            </w:r>
            <w:r>
              <w:rPr>
                <w:rFonts w:hint="default"/>
                <w:b w:val="0"/>
                <w:bCs/>
                <w:lang w:val="en-US" w:eastAsia="zh-CN"/>
              </w:rPr>
              <w:t>MPa</w:t>
            </w:r>
          </w:p>
        </w:tc>
        <w:tc>
          <w:tcPr>
            <w:tcW w:w="1666" w:type="pct"/>
            <w:vAlign w:val="center"/>
          </w:tcPr>
          <w:p w14:paraId="247C21A8">
            <w:pPr>
              <w:pStyle w:val="4"/>
              <w:bidi w:val="0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Hydrate formation amount/g</w:t>
            </w:r>
          </w:p>
        </w:tc>
      </w:tr>
      <w:tr w14:paraId="06287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pct"/>
            <w:vAlign w:val="center"/>
          </w:tcPr>
          <w:p w14:paraId="03C9EF5C">
            <w:pPr>
              <w:pStyle w:val="4"/>
              <w:bidi w:val="0"/>
              <w:rPr>
                <w:rFonts w:hint="default"/>
                <w:b w:val="0"/>
                <w:bCs/>
                <w:lang w:val="en-US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0.5%Gly+5%EG</w:t>
            </w:r>
          </w:p>
        </w:tc>
        <w:tc>
          <w:tcPr>
            <w:tcW w:w="1666" w:type="pct"/>
            <w:vAlign w:val="center"/>
          </w:tcPr>
          <w:p w14:paraId="12D91257">
            <w:pPr>
              <w:pStyle w:val="4"/>
              <w:bidi w:val="0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</w:rPr>
              <w:t>11.94</w:t>
            </w:r>
          </w:p>
        </w:tc>
        <w:tc>
          <w:tcPr>
            <w:tcW w:w="1666" w:type="pct"/>
            <w:vAlign w:val="center"/>
          </w:tcPr>
          <w:p w14:paraId="458572CE">
            <w:pPr>
              <w:pStyle w:val="4"/>
              <w:bidi w:val="0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</w:rPr>
              <w:t>100.64</w:t>
            </w:r>
          </w:p>
        </w:tc>
      </w:tr>
      <w:tr w14:paraId="6394F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pct"/>
            <w:vAlign w:val="center"/>
          </w:tcPr>
          <w:p w14:paraId="7D722AD3">
            <w:pPr>
              <w:pStyle w:val="4"/>
              <w:bidi w:val="0"/>
              <w:rPr>
                <w:rFonts w:hint="default"/>
                <w:b w:val="0"/>
                <w:bCs/>
                <w:lang w:val="en-US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0.5%Gly+5%DEG</w:t>
            </w:r>
          </w:p>
        </w:tc>
        <w:tc>
          <w:tcPr>
            <w:tcW w:w="1666" w:type="pct"/>
            <w:vAlign w:val="center"/>
          </w:tcPr>
          <w:p w14:paraId="6774DDD4">
            <w:pPr>
              <w:pStyle w:val="4"/>
              <w:bidi w:val="0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</w:rPr>
              <w:t>10.50</w:t>
            </w:r>
          </w:p>
        </w:tc>
        <w:tc>
          <w:tcPr>
            <w:tcW w:w="1666" w:type="pct"/>
            <w:vAlign w:val="center"/>
          </w:tcPr>
          <w:p w14:paraId="113FEBCF">
            <w:pPr>
              <w:pStyle w:val="4"/>
              <w:bidi w:val="0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</w:rPr>
              <w:t>177.97</w:t>
            </w:r>
          </w:p>
        </w:tc>
      </w:tr>
      <w:tr w14:paraId="22AD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pct"/>
            <w:vAlign w:val="center"/>
          </w:tcPr>
          <w:p w14:paraId="6229A2C1">
            <w:pPr>
              <w:pStyle w:val="4"/>
              <w:bidi w:val="0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0.5%Gly+0.5%EG</w:t>
            </w:r>
          </w:p>
        </w:tc>
        <w:tc>
          <w:tcPr>
            <w:tcW w:w="1666" w:type="pct"/>
            <w:vAlign w:val="center"/>
          </w:tcPr>
          <w:p w14:paraId="2D666ADD">
            <w:pPr>
              <w:pStyle w:val="4"/>
              <w:bidi w:val="0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</w:rPr>
              <w:t>10.24</w:t>
            </w:r>
          </w:p>
        </w:tc>
        <w:tc>
          <w:tcPr>
            <w:tcW w:w="1666" w:type="pct"/>
            <w:vAlign w:val="center"/>
          </w:tcPr>
          <w:p w14:paraId="62E928A8">
            <w:pPr>
              <w:pStyle w:val="4"/>
              <w:bidi w:val="0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</w:rPr>
              <w:t>170.97</w:t>
            </w:r>
          </w:p>
        </w:tc>
      </w:tr>
      <w:tr w14:paraId="7E273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pct"/>
            <w:vAlign w:val="center"/>
          </w:tcPr>
          <w:p w14:paraId="42BA45C9">
            <w:pPr>
              <w:pStyle w:val="4"/>
              <w:bidi w:val="0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2.5%Gly+2.5%EG</w:t>
            </w:r>
          </w:p>
        </w:tc>
        <w:tc>
          <w:tcPr>
            <w:tcW w:w="1666" w:type="pct"/>
            <w:vAlign w:val="center"/>
          </w:tcPr>
          <w:p w14:paraId="4B8156E6">
            <w:pPr>
              <w:pStyle w:val="4"/>
              <w:bidi w:val="0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</w:rPr>
              <w:t>11.64</w:t>
            </w:r>
          </w:p>
        </w:tc>
        <w:tc>
          <w:tcPr>
            <w:tcW w:w="1666" w:type="pct"/>
            <w:vAlign w:val="center"/>
          </w:tcPr>
          <w:p w14:paraId="3AD7FA06">
            <w:pPr>
              <w:pStyle w:val="4"/>
              <w:bidi w:val="0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</w:rPr>
              <w:t>121.45</w:t>
            </w:r>
          </w:p>
        </w:tc>
      </w:tr>
      <w:tr w14:paraId="70A18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pct"/>
            <w:vAlign w:val="center"/>
          </w:tcPr>
          <w:p w14:paraId="24A3C3DB">
            <w:pPr>
              <w:pStyle w:val="4"/>
              <w:bidi w:val="0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5%Gly+5%EG</w:t>
            </w:r>
          </w:p>
        </w:tc>
        <w:tc>
          <w:tcPr>
            <w:tcW w:w="1666" w:type="pct"/>
            <w:vAlign w:val="center"/>
          </w:tcPr>
          <w:p w14:paraId="5A349861">
            <w:pPr>
              <w:pStyle w:val="4"/>
              <w:bidi w:val="0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</w:rPr>
              <w:t>6.13</w:t>
            </w:r>
          </w:p>
        </w:tc>
        <w:tc>
          <w:tcPr>
            <w:tcW w:w="1666" w:type="pct"/>
            <w:vAlign w:val="center"/>
          </w:tcPr>
          <w:p w14:paraId="47527AF0">
            <w:pPr>
              <w:pStyle w:val="4"/>
              <w:bidi w:val="0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</w:rPr>
              <w:t>248.39</w:t>
            </w:r>
          </w:p>
        </w:tc>
      </w:tr>
    </w:tbl>
    <w:p w14:paraId="7B398D2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Table 3 Average pressure fluctuation values of glycine and alcohol mixture</w:t>
      </w:r>
    </w:p>
    <w:tbl>
      <w:tblPr>
        <w:tblStyle w:val="7"/>
        <w:tblW w:w="26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2677"/>
      </w:tblGrid>
      <w:tr w14:paraId="40565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69" w:type="pct"/>
            <w:vAlign w:val="center"/>
          </w:tcPr>
          <w:p w14:paraId="62A00F44">
            <w:pPr>
              <w:pStyle w:val="4"/>
              <w:bidi w:val="0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Formula</w:t>
            </w:r>
          </w:p>
        </w:tc>
        <w:tc>
          <w:tcPr>
            <w:tcW w:w="2930" w:type="pct"/>
            <w:vAlign w:val="center"/>
          </w:tcPr>
          <w:p w14:paraId="59CF16A3">
            <w:pPr>
              <w:pStyle w:val="4"/>
              <w:bidi w:val="0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Average pressure fluctuation values</w:t>
            </w:r>
            <w:r>
              <w:rPr>
                <w:rFonts w:hint="eastAsia"/>
                <w:b w:val="0"/>
                <w:bCs/>
                <w:lang w:val="en-US" w:eastAsia="zh-CN"/>
              </w:rPr>
              <w:t>/10</w:t>
            </w:r>
            <w:r>
              <w:rPr>
                <w:rFonts w:hint="eastAsia"/>
                <w:b w:val="0"/>
                <w:bCs/>
                <w:vertAlign w:val="superscript"/>
                <w:lang w:val="en-US" w:eastAsia="zh-CN"/>
              </w:rPr>
              <w:t>-2</w:t>
            </w:r>
            <w:r>
              <w:rPr>
                <w:rFonts w:hint="default"/>
                <w:b w:val="0"/>
                <w:bCs/>
                <w:lang w:val="en-US" w:eastAsia="zh-CN"/>
              </w:rPr>
              <w:t>MPa</w:t>
            </w:r>
          </w:p>
        </w:tc>
      </w:tr>
      <w:tr w14:paraId="71CF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69" w:type="pct"/>
            <w:vAlign w:val="center"/>
          </w:tcPr>
          <w:p w14:paraId="4477F609">
            <w:pPr>
              <w:pStyle w:val="4"/>
              <w:bidi w:val="0"/>
              <w:rPr>
                <w:rFonts w:hint="default"/>
                <w:b w:val="0"/>
                <w:bCs/>
                <w:lang w:val="en-US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0.5%Gly</w:t>
            </w:r>
          </w:p>
        </w:tc>
        <w:tc>
          <w:tcPr>
            <w:tcW w:w="2930" w:type="pct"/>
            <w:vAlign w:val="center"/>
          </w:tcPr>
          <w:p w14:paraId="11385516">
            <w:pPr>
              <w:pStyle w:val="4"/>
              <w:bidi w:val="0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3.115</w:t>
            </w:r>
          </w:p>
        </w:tc>
      </w:tr>
      <w:tr w14:paraId="5E67E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69" w:type="pct"/>
            <w:vAlign w:val="center"/>
          </w:tcPr>
          <w:p w14:paraId="0ED0FF42">
            <w:pPr>
              <w:pStyle w:val="4"/>
              <w:bidi w:val="0"/>
              <w:rPr>
                <w:rFonts w:hint="default"/>
                <w:b w:val="0"/>
                <w:bCs/>
                <w:lang w:val="en-US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1.0%Gly</w:t>
            </w:r>
          </w:p>
        </w:tc>
        <w:tc>
          <w:tcPr>
            <w:tcW w:w="2930" w:type="pct"/>
            <w:vAlign w:val="center"/>
          </w:tcPr>
          <w:p w14:paraId="1521262B">
            <w:pPr>
              <w:pStyle w:val="4"/>
              <w:bidi w:val="0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1.280</w:t>
            </w:r>
          </w:p>
        </w:tc>
      </w:tr>
      <w:tr w14:paraId="1DAB5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69" w:type="pct"/>
            <w:vAlign w:val="center"/>
          </w:tcPr>
          <w:p w14:paraId="10545705">
            <w:pPr>
              <w:pStyle w:val="4"/>
              <w:bidi w:val="0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0.5%Gly+5%EG</w:t>
            </w:r>
          </w:p>
        </w:tc>
        <w:tc>
          <w:tcPr>
            <w:tcW w:w="2930" w:type="pct"/>
            <w:vAlign w:val="center"/>
          </w:tcPr>
          <w:p w14:paraId="07F93668">
            <w:pPr>
              <w:pStyle w:val="4"/>
              <w:bidi w:val="0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1.870</w:t>
            </w:r>
          </w:p>
        </w:tc>
      </w:tr>
      <w:tr w14:paraId="353AB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69" w:type="pct"/>
            <w:vAlign w:val="center"/>
          </w:tcPr>
          <w:p w14:paraId="58F306D2">
            <w:pPr>
              <w:pStyle w:val="4"/>
              <w:bidi w:val="0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1.0%Gly+5%EG</w:t>
            </w:r>
          </w:p>
        </w:tc>
        <w:tc>
          <w:tcPr>
            <w:tcW w:w="2930" w:type="pct"/>
            <w:vAlign w:val="center"/>
          </w:tcPr>
          <w:p w14:paraId="52A6E683">
            <w:pPr>
              <w:pStyle w:val="4"/>
              <w:bidi w:val="0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0.775</w:t>
            </w:r>
          </w:p>
        </w:tc>
      </w:tr>
      <w:tr w14:paraId="1716A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69" w:type="pct"/>
            <w:vAlign w:val="center"/>
          </w:tcPr>
          <w:p w14:paraId="1DADABE7">
            <w:pPr>
              <w:pStyle w:val="4"/>
              <w:bidi w:val="0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0.5%Gly+5%DEG</w:t>
            </w:r>
          </w:p>
        </w:tc>
        <w:tc>
          <w:tcPr>
            <w:tcW w:w="2930" w:type="pct"/>
            <w:vAlign w:val="center"/>
          </w:tcPr>
          <w:p w14:paraId="20D0432D">
            <w:pPr>
              <w:pStyle w:val="4"/>
              <w:bidi w:val="0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1.310</w:t>
            </w:r>
          </w:p>
        </w:tc>
      </w:tr>
      <w:tr w14:paraId="4EA62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69" w:type="pct"/>
            <w:vAlign w:val="center"/>
          </w:tcPr>
          <w:p w14:paraId="69162A94">
            <w:pPr>
              <w:pStyle w:val="4"/>
              <w:bidi w:val="0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1.0%Gly+5%DEG</w:t>
            </w:r>
          </w:p>
        </w:tc>
        <w:tc>
          <w:tcPr>
            <w:tcW w:w="2930" w:type="pct"/>
            <w:vAlign w:val="center"/>
          </w:tcPr>
          <w:p w14:paraId="404D6A65">
            <w:pPr>
              <w:pStyle w:val="4"/>
              <w:bidi w:val="0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0.715</w:t>
            </w:r>
          </w:p>
        </w:tc>
      </w:tr>
    </w:tbl>
    <w:p w14:paraId="33528309">
      <w:pPr>
        <w:bidi w:val="0"/>
        <w:ind w:left="0" w:leftChars="0" w:firstLine="0" w:firstLineChars="0"/>
      </w:pPr>
      <w:r>
        <w:rPr>
          <w:rFonts w:hint="eastAsia"/>
          <w:lang w:val="en-US" w:eastAsia="zh-CN"/>
        </w:rPr>
        <w:t>Table 4 Inhibition effect of different concentrations of glycine on hydrates in pure water system</w:t>
      </w:r>
    </w:p>
    <w:tbl>
      <w:tblPr>
        <w:tblStyle w:val="7"/>
        <w:tblW w:w="332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50"/>
        <w:gridCol w:w="1383"/>
        <w:gridCol w:w="1209"/>
        <w:gridCol w:w="1092"/>
        <w:gridCol w:w="942"/>
      </w:tblGrid>
      <w:tr w14:paraId="4179F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</w:trPr>
        <w:tc>
          <w:tcPr>
            <w:tcW w:w="1000" w:type="pct"/>
          </w:tcPr>
          <w:p w14:paraId="62BAE361">
            <w:pPr>
              <w:pStyle w:val="4"/>
              <w:bidi w:val="0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Glycine mass fraction/%</w:t>
            </w:r>
          </w:p>
        </w:tc>
        <w:tc>
          <w:tcPr>
            <w:tcW w:w="1000" w:type="pct"/>
          </w:tcPr>
          <w:p w14:paraId="0D6C0813">
            <w:pPr>
              <w:pStyle w:val="4"/>
              <w:bidi w:val="0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Residual pressure</w:t>
            </w:r>
            <w:r>
              <w:rPr>
                <w:rFonts w:hint="eastAsia"/>
                <w:b w:val="0"/>
                <w:bCs/>
                <w:lang w:val="en-US" w:eastAsia="zh-CN"/>
              </w:rPr>
              <w:t>/</w:t>
            </w:r>
            <w:r>
              <w:rPr>
                <w:rFonts w:hint="default"/>
                <w:b w:val="0"/>
                <w:bCs/>
                <w:lang w:val="en-US" w:eastAsia="zh-CN"/>
              </w:rPr>
              <w:t>MPa</w:t>
            </w:r>
          </w:p>
        </w:tc>
        <w:tc>
          <w:tcPr>
            <w:tcW w:w="1000" w:type="pct"/>
          </w:tcPr>
          <w:p w14:paraId="59FE7EE8">
            <w:pPr>
              <w:pStyle w:val="4"/>
              <w:bidi w:val="0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Pressure drop value</w:t>
            </w:r>
            <w:r>
              <w:rPr>
                <w:rFonts w:hint="eastAsia"/>
                <w:b w:val="0"/>
                <w:bCs/>
                <w:lang w:val="en-US" w:eastAsia="zh-CN"/>
              </w:rPr>
              <w:t>/MPa</w:t>
            </w:r>
          </w:p>
        </w:tc>
        <w:tc>
          <w:tcPr>
            <w:tcW w:w="1000" w:type="pct"/>
            <w:vAlign w:val="top"/>
          </w:tcPr>
          <w:p w14:paraId="70B2129C">
            <w:pPr>
              <w:pStyle w:val="4"/>
              <w:bidi w:val="0"/>
              <w:ind w:firstLine="0" w:firstLineChars="0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Hydrate formation amount/g</w:t>
            </w:r>
          </w:p>
        </w:tc>
        <w:tc>
          <w:tcPr>
            <w:tcW w:w="1000" w:type="pct"/>
            <w:vAlign w:val="top"/>
          </w:tcPr>
          <w:p w14:paraId="30395FC5">
            <w:pPr>
              <w:pStyle w:val="4"/>
              <w:bidi w:val="0"/>
              <w:ind w:firstLine="0" w:firstLineChars="0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Induction time</w:t>
            </w:r>
            <w:bookmarkStart w:id="0" w:name="_GoBack"/>
            <w:bookmarkEnd w:id="0"/>
            <w:r>
              <w:rPr>
                <w:rFonts w:hint="eastAsia"/>
                <w:b w:val="0"/>
                <w:bCs/>
                <w:lang w:val="en-US" w:eastAsia="zh-CN"/>
              </w:rPr>
              <w:t>/min</w:t>
            </w:r>
          </w:p>
        </w:tc>
      </w:tr>
      <w:tr w14:paraId="54ECD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</w:trPr>
        <w:tc>
          <w:tcPr>
            <w:tcW w:w="1000" w:type="pct"/>
            <w:vAlign w:val="center"/>
          </w:tcPr>
          <w:p w14:paraId="4EFAE808">
            <w:pPr>
              <w:pStyle w:val="4"/>
              <w:bidi w:val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1000" w:type="pct"/>
            <w:vAlign w:val="center"/>
          </w:tcPr>
          <w:p w14:paraId="3A03713E">
            <w:pPr>
              <w:pStyle w:val="4"/>
              <w:bidi w:val="0"/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9.72</w:t>
            </w:r>
          </w:p>
        </w:tc>
        <w:tc>
          <w:tcPr>
            <w:tcW w:w="1000" w:type="pct"/>
            <w:vAlign w:val="center"/>
          </w:tcPr>
          <w:p w14:paraId="290D129F">
            <w:pPr>
              <w:pStyle w:val="4"/>
              <w:bidi w:val="0"/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5.28</w:t>
            </w:r>
          </w:p>
        </w:tc>
        <w:tc>
          <w:tcPr>
            <w:tcW w:w="1000" w:type="pct"/>
            <w:vAlign w:val="center"/>
          </w:tcPr>
          <w:p w14:paraId="66734716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183.30</w:t>
            </w:r>
          </w:p>
        </w:tc>
        <w:tc>
          <w:tcPr>
            <w:tcW w:w="1000" w:type="pct"/>
            <w:vAlign w:val="center"/>
          </w:tcPr>
          <w:p w14:paraId="506F9B20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100</w:t>
            </w:r>
          </w:p>
        </w:tc>
      </w:tr>
      <w:tr w14:paraId="63E49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</w:trPr>
        <w:tc>
          <w:tcPr>
            <w:tcW w:w="1000" w:type="pct"/>
            <w:vAlign w:val="center"/>
          </w:tcPr>
          <w:p w14:paraId="7785482C">
            <w:pPr>
              <w:pStyle w:val="4"/>
              <w:bidi w:val="0"/>
              <w:ind w:firstLine="0" w:firstLineChars="0"/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0.5</w:t>
            </w:r>
          </w:p>
        </w:tc>
        <w:tc>
          <w:tcPr>
            <w:tcW w:w="1000" w:type="pct"/>
            <w:vAlign w:val="center"/>
          </w:tcPr>
          <w:p w14:paraId="2D926856">
            <w:pPr>
              <w:pStyle w:val="4"/>
              <w:bidi w:val="0"/>
              <w:ind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7.53</w:t>
            </w:r>
          </w:p>
        </w:tc>
        <w:tc>
          <w:tcPr>
            <w:tcW w:w="1000" w:type="pct"/>
            <w:vAlign w:val="center"/>
          </w:tcPr>
          <w:p w14:paraId="17356A2F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7.47</w:t>
            </w:r>
          </w:p>
        </w:tc>
        <w:tc>
          <w:tcPr>
            <w:tcW w:w="1000" w:type="pct"/>
            <w:vAlign w:val="center"/>
          </w:tcPr>
          <w:p w14:paraId="50D00C5A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75.56</w:t>
            </w:r>
          </w:p>
        </w:tc>
        <w:tc>
          <w:tcPr>
            <w:tcW w:w="1000" w:type="pct"/>
            <w:vAlign w:val="center"/>
          </w:tcPr>
          <w:p w14:paraId="7DBC25DA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225</w:t>
            </w:r>
          </w:p>
        </w:tc>
      </w:tr>
      <w:tr w14:paraId="3323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</w:trPr>
        <w:tc>
          <w:tcPr>
            <w:tcW w:w="1000" w:type="pct"/>
            <w:vAlign w:val="center"/>
          </w:tcPr>
          <w:p w14:paraId="72A93F71">
            <w:pPr>
              <w:pStyle w:val="4"/>
              <w:bidi w:val="0"/>
              <w:ind w:firstLine="0" w:firstLineChars="0"/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1000" w:type="pct"/>
            <w:vAlign w:val="center"/>
          </w:tcPr>
          <w:p w14:paraId="3702423F">
            <w:pPr>
              <w:pStyle w:val="4"/>
              <w:bidi w:val="0"/>
              <w:ind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13.16</w:t>
            </w:r>
          </w:p>
        </w:tc>
        <w:tc>
          <w:tcPr>
            <w:tcW w:w="1000" w:type="pct"/>
            <w:vAlign w:val="center"/>
          </w:tcPr>
          <w:p w14:paraId="44DCDE74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1.84</w:t>
            </w:r>
          </w:p>
        </w:tc>
        <w:tc>
          <w:tcPr>
            <w:tcW w:w="1000" w:type="pct"/>
            <w:vAlign w:val="center"/>
          </w:tcPr>
          <w:p w14:paraId="3A9AF181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53.63</w:t>
            </w:r>
          </w:p>
        </w:tc>
        <w:tc>
          <w:tcPr>
            <w:tcW w:w="1000" w:type="pct"/>
            <w:vAlign w:val="center"/>
          </w:tcPr>
          <w:p w14:paraId="68B1B7BE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260</w:t>
            </w:r>
          </w:p>
        </w:tc>
      </w:tr>
      <w:tr w14:paraId="7BCA0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</w:trPr>
        <w:tc>
          <w:tcPr>
            <w:tcW w:w="1000" w:type="pct"/>
            <w:vAlign w:val="center"/>
          </w:tcPr>
          <w:p w14:paraId="7599BDEF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</w:t>
            </w:r>
          </w:p>
        </w:tc>
        <w:tc>
          <w:tcPr>
            <w:tcW w:w="1000" w:type="pct"/>
            <w:vAlign w:val="center"/>
          </w:tcPr>
          <w:p w14:paraId="4CA6E41D">
            <w:pPr>
              <w:pStyle w:val="4"/>
              <w:bidi w:val="0"/>
              <w:ind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11.56</w:t>
            </w:r>
          </w:p>
        </w:tc>
        <w:tc>
          <w:tcPr>
            <w:tcW w:w="1000" w:type="pct"/>
            <w:vAlign w:val="center"/>
          </w:tcPr>
          <w:p w14:paraId="5744A8D2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3.44</w:t>
            </w:r>
          </w:p>
        </w:tc>
        <w:tc>
          <w:tcPr>
            <w:tcW w:w="1000" w:type="pct"/>
            <w:vAlign w:val="center"/>
          </w:tcPr>
          <w:p w14:paraId="41F181B2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138.96</w:t>
            </w:r>
          </w:p>
        </w:tc>
        <w:tc>
          <w:tcPr>
            <w:tcW w:w="1000" w:type="pct"/>
            <w:vAlign w:val="center"/>
          </w:tcPr>
          <w:p w14:paraId="61E61865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275</w:t>
            </w:r>
          </w:p>
        </w:tc>
      </w:tr>
      <w:tr w14:paraId="5E328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</w:trPr>
        <w:tc>
          <w:tcPr>
            <w:tcW w:w="1000" w:type="pct"/>
            <w:vAlign w:val="center"/>
          </w:tcPr>
          <w:p w14:paraId="68636204">
            <w:pPr>
              <w:pStyle w:val="4"/>
              <w:bidi w:val="0"/>
              <w:ind w:firstLine="0" w:firstLineChars="0"/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</w:t>
            </w:r>
          </w:p>
        </w:tc>
        <w:tc>
          <w:tcPr>
            <w:tcW w:w="1000" w:type="pct"/>
            <w:vAlign w:val="center"/>
          </w:tcPr>
          <w:p w14:paraId="61560C4A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10.63</w:t>
            </w:r>
          </w:p>
        </w:tc>
        <w:tc>
          <w:tcPr>
            <w:tcW w:w="1000" w:type="pct"/>
            <w:vAlign w:val="center"/>
          </w:tcPr>
          <w:p w14:paraId="626C54CA">
            <w:pPr>
              <w:pStyle w:val="4"/>
              <w:bidi w:val="0"/>
              <w:ind w:firstLine="0" w:firstLineChars="0"/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4.37</w:t>
            </w:r>
          </w:p>
        </w:tc>
        <w:tc>
          <w:tcPr>
            <w:tcW w:w="1000" w:type="pct"/>
            <w:vAlign w:val="center"/>
          </w:tcPr>
          <w:p w14:paraId="05D50D9D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default"/>
                <w:b w:val="0"/>
                <w:bCs/>
                <w:lang w:val="en-US" w:eastAsia="zh-CN"/>
              </w:rPr>
              <w:t>144.56</w:t>
            </w:r>
          </w:p>
        </w:tc>
        <w:tc>
          <w:tcPr>
            <w:tcW w:w="1000" w:type="pct"/>
            <w:vAlign w:val="center"/>
          </w:tcPr>
          <w:p w14:paraId="57F62F03">
            <w:pPr>
              <w:pStyle w:val="4"/>
              <w:bidi w:val="0"/>
              <w:ind w:firstLine="0" w:firstLineChars="0"/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340</w:t>
            </w:r>
          </w:p>
        </w:tc>
      </w:tr>
    </w:tbl>
    <w:p w14:paraId="6C294E70"/>
    <w:p w14:paraId="446224CB"/>
    <w:p w14:paraId="4CEE29F9"/>
    <w:p w14:paraId="2370257D"/>
    <w:p w14:paraId="601FD2FC"/>
    <w:p w14:paraId="434FE3E0"/>
    <w:p w14:paraId="71EFCFEA"/>
    <w:p w14:paraId="4896E7E9">
      <w:pPr>
        <w:rPr>
          <w:rFonts w:hint="default"/>
          <w:lang w:val="en-US" w:eastAsia="zh-CN"/>
        </w:rPr>
      </w:pPr>
    </w:p>
    <w:p w14:paraId="1FC4C810"/>
    <w:p w14:paraId="61BA30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  <w:ind w:firstLine="420"/>
      </w:pPr>
      <w:r>
        <w:separator/>
      </w:r>
    </w:p>
  </w:footnote>
  <w:footnote w:type="continuationSeparator" w:id="1">
    <w:p>
      <w:pPr>
        <w:spacing w:line="48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YWRhZDhlOTczMDQ3MTQ0Y2NhYmRiMzJmNGFkYWEifQ=="/>
  </w:docVars>
  <w:rsids>
    <w:rsidRoot w:val="343873FF"/>
    <w:rsid w:val="084A4201"/>
    <w:rsid w:val="0D3953B3"/>
    <w:rsid w:val="27633FDF"/>
    <w:rsid w:val="343873FF"/>
    <w:rsid w:val="3A921AC5"/>
    <w:rsid w:val="3C7301D7"/>
    <w:rsid w:val="4702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480" w:lineRule="auto"/>
      <w:ind w:firstLine="420" w:firstLineChars="200"/>
      <w:jc w:val="left"/>
      <w:textAlignment w:val="baseline"/>
    </w:pPr>
    <w:rPr>
      <w:rFonts w:ascii="Arial" w:hAnsi="Arial" w:eastAsia="宋体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3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华文中宋"/>
      <w:b w:val="0"/>
      <w:sz w:val="28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240" w:lineRule="auto"/>
      <w:ind w:firstLine="0" w:firstLineChars="0"/>
      <w:jc w:val="center"/>
      <w:outlineLvl w:val="3"/>
    </w:pPr>
    <w:rPr>
      <w:rFonts w:ascii="Arial" w:hAnsi="Arial" w:eastAsiaTheme="minorEastAsia"/>
      <w:b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2024-09-10T07:31:00Z</dcterms:created>
  <dc:creator>milk cow</dc:creator>
  <cp:lastModifiedBy>milk cow</cp:lastModifiedBy>
  <dcterms:modified xsi:type="dcterms:W3CDTF">2024-09-10T08:34:25Z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98FF6DC9123943809BF65AB71CF99E4F_11</vt:lpwstr>
  </property>
</Properties>
</file>