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50AD" w:rsidRPr="00104C3A" w:rsidRDefault="00F650AD" w:rsidP="00F650AD">
      <w:pPr>
        <w:pStyle w:val="Heading2"/>
      </w:pPr>
      <w:bookmarkStart w:id="0" w:name="_GoBack"/>
      <w:bookmarkEnd w:id="0"/>
      <w:r>
        <w:t xml:space="preserve">Appendix 2: </w:t>
      </w:r>
      <w:r w:rsidRPr="00104C3A">
        <w:t>Value of Information analyses</w:t>
      </w:r>
    </w:p>
    <w:p w:rsidR="00F650AD" w:rsidRPr="00104C3A" w:rsidRDefault="00F650AD" w:rsidP="00F650AD">
      <w:pPr>
        <w:pStyle w:val="Heading3"/>
      </w:pPr>
      <w:r w:rsidRPr="00104C3A">
        <w:t>Expected value of perfect information</w:t>
      </w:r>
    </w:p>
    <w:p w:rsidR="00F650AD" w:rsidRPr="0086090B" w:rsidRDefault="00F650AD" w:rsidP="00F650AD">
      <w:pPr>
        <w:spacing w:line="360" w:lineRule="auto"/>
        <w:jc w:val="both"/>
        <w:rPr>
          <w:lang w:val="en-CA"/>
        </w:rPr>
      </w:pPr>
      <w:r w:rsidRPr="0086090B">
        <w:rPr>
          <w:lang w:val="en-CA"/>
        </w:rPr>
        <w:t xml:space="preserve">Reflecting the uncertainty in effectiveness of prehospital CPAP, together with the large potential opportunity losses from making the incorrect adoption decision, base case individual EVPI was considerable at the NICE willingness to pay threshold: </w:t>
      </w:r>
      <w:r w:rsidRPr="0086090B">
        <w:rPr>
          <w:iCs/>
        </w:rPr>
        <w:t>£300</w:t>
      </w:r>
      <w:r w:rsidRPr="0086090B">
        <w:rPr>
          <w:lang w:val="en-CA"/>
        </w:rPr>
        <w:t xml:space="preserve"> at λ=£20,000. Given the relatively large annual population with ARF eligible for prehospital CPAP treatment (11,000 across England and Wales), and long time period over which the technology is likely to be applicable (5 years), base case population EVPI was also correspondingly large in the base case analysis: </w:t>
      </w:r>
      <w:r w:rsidRPr="0086090B">
        <w:t>£16.5 million</w:t>
      </w:r>
      <w:r w:rsidRPr="0086090B">
        <w:rPr>
          <w:lang w:val="en-CA"/>
        </w:rPr>
        <w:t xml:space="preserve"> at λ=£20,000/QALY. </w:t>
      </w:r>
      <w:r w:rsidRPr="0086090B">
        <w:t xml:space="preserve">This indicated it would be worth spending up to £16.5 million on research investigating the effectiveness of prehospital CPAP in ARF. </w:t>
      </w:r>
      <w:r w:rsidRPr="0086090B">
        <w:rPr>
          <w:lang w:val="en-CA"/>
        </w:rPr>
        <w:t>Population EVPI was substantial at thresholds under £8,000, but decreased to a minimum at</w:t>
      </w:r>
      <w:r w:rsidRPr="0086090B">
        <w:t xml:space="preserve"> a threshold of £10,000/QALY, where there was little uncertainty about whether to adopt or reject CPAP based on existing evidence. Population</w:t>
      </w:r>
      <w:r w:rsidRPr="0086090B">
        <w:rPr>
          <w:iCs/>
        </w:rPr>
        <w:t xml:space="preserve"> EVPI continued to increase at higher cost-effectiveness thresholds, representing rising uncertainty. Base case population EVPI is presented in Figure A1.</w:t>
      </w:r>
    </w:p>
    <w:p w:rsidR="00F650AD" w:rsidRPr="0086090B" w:rsidRDefault="00F650AD" w:rsidP="00F650AD">
      <w:pPr>
        <w:spacing w:line="360" w:lineRule="auto"/>
        <w:jc w:val="center"/>
        <w:rPr>
          <w:lang w:val="en-CA"/>
        </w:rPr>
      </w:pPr>
      <w:r>
        <w:rPr>
          <w:noProof/>
        </w:rPr>
        <w:drawing>
          <wp:inline distT="0" distB="0" distL="0" distR="0" wp14:anchorId="48C788E3" wp14:editId="29DB3572">
            <wp:extent cx="5669280" cy="2964456"/>
            <wp:effectExtent l="0" t="0" r="762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74379" cy="2967122"/>
                    </a:xfrm>
                    <a:prstGeom prst="rect">
                      <a:avLst/>
                    </a:prstGeom>
                    <a:noFill/>
                  </pic:spPr>
                </pic:pic>
              </a:graphicData>
            </a:graphic>
          </wp:inline>
        </w:drawing>
      </w:r>
    </w:p>
    <w:p w:rsidR="00F650AD" w:rsidRPr="0086090B" w:rsidRDefault="00F650AD" w:rsidP="00F650AD">
      <w:pPr>
        <w:pStyle w:val="Caption"/>
        <w:spacing w:line="360" w:lineRule="auto"/>
        <w:rPr>
          <w:rFonts w:asciiTheme="minorHAnsi" w:hAnsiTheme="minorHAnsi"/>
          <w:color w:val="auto"/>
          <w:sz w:val="22"/>
          <w:szCs w:val="22"/>
          <w:lang w:val="en-CA"/>
        </w:rPr>
      </w:pPr>
      <w:bookmarkStart w:id="1" w:name="_Toc4657038"/>
      <w:r w:rsidRPr="0086090B">
        <w:rPr>
          <w:rFonts w:asciiTheme="minorHAnsi" w:hAnsiTheme="minorHAnsi"/>
          <w:color w:val="auto"/>
          <w:sz w:val="22"/>
          <w:szCs w:val="22"/>
        </w:rPr>
        <w:t>Figure A1. Base case population EVPI</w:t>
      </w:r>
      <w:bookmarkEnd w:id="1"/>
      <w:r w:rsidRPr="0086090B">
        <w:rPr>
          <w:rFonts w:asciiTheme="minorHAnsi" w:hAnsiTheme="minorHAnsi"/>
          <w:color w:val="auto"/>
          <w:sz w:val="22"/>
          <w:szCs w:val="22"/>
        </w:rPr>
        <w:t xml:space="preserve"> </w:t>
      </w:r>
    </w:p>
    <w:p w:rsidR="00F650AD" w:rsidRPr="0086090B" w:rsidRDefault="00F650AD" w:rsidP="00F650AD">
      <w:pPr>
        <w:spacing w:line="360" w:lineRule="auto"/>
        <w:rPr>
          <w:iCs/>
        </w:rPr>
      </w:pPr>
      <w:r w:rsidRPr="0086090B">
        <w:rPr>
          <w:lang w:val="en-CA"/>
        </w:rPr>
        <w:t xml:space="preserve">For the updated network meta-analysis scenario analysis individual EVPI was also appreciable at λ=£20,000: £67.6; corresponding to a population EVPI of </w:t>
      </w:r>
      <w:r w:rsidRPr="0086090B">
        <w:t>£3.72 million. P</w:t>
      </w:r>
      <w:r w:rsidRPr="0086090B">
        <w:rPr>
          <w:iCs/>
        </w:rPr>
        <w:t>opulation EVPI for this scenario analysis are presented in Figure A2.</w:t>
      </w:r>
    </w:p>
    <w:p w:rsidR="00F650AD" w:rsidRPr="0086090B" w:rsidRDefault="00F650AD" w:rsidP="00F650AD">
      <w:pPr>
        <w:spacing w:line="360" w:lineRule="auto"/>
        <w:jc w:val="center"/>
        <w:rPr>
          <w:lang w:val="en-CA"/>
        </w:rPr>
      </w:pPr>
      <w:r>
        <w:rPr>
          <w:noProof/>
        </w:rPr>
        <w:lastRenderedPageBreak/>
        <w:drawing>
          <wp:inline distT="0" distB="0" distL="0" distR="0" wp14:anchorId="599E2D1B" wp14:editId="243544B8">
            <wp:extent cx="5566410" cy="307159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72867" cy="3075156"/>
                    </a:xfrm>
                    <a:prstGeom prst="rect">
                      <a:avLst/>
                    </a:prstGeom>
                    <a:noFill/>
                  </pic:spPr>
                </pic:pic>
              </a:graphicData>
            </a:graphic>
          </wp:inline>
        </w:drawing>
      </w:r>
    </w:p>
    <w:p w:rsidR="00F650AD" w:rsidRPr="0086090B" w:rsidRDefault="00F650AD" w:rsidP="00F650AD">
      <w:pPr>
        <w:pStyle w:val="Caption"/>
        <w:spacing w:line="360" w:lineRule="auto"/>
        <w:rPr>
          <w:rFonts w:asciiTheme="minorHAnsi" w:hAnsiTheme="minorHAnsi"/>
          <w:color w:val="auto"/>
          <w:sz w:val="22"/>
          <w:szCs w:val="22"/>
          <w:lang w:val="en-CA"/>
        </w:rPr>
      </w:pPr>
      <w:bookmarkStart w:id="2" w:name="_Toc4657039"/>
      <w:r w:rsidRPr="0086090B">
        <w:rPr>
          <w:rFonts w:asciiTheme="minorHAnsi" w:hAnsiTheme="minorHAnsi"/>
          <w:color w:val="auto"/>
          <w:sz w:val="22"/>
          <w:szCs w:val="22"/>
        </w:rPr>
        <w:t>Figure A2. Updated network meta-analysis scenario population EVPI</w:t>
      </w:r>
      <w:bookmarkEnd w:id="2"/>
    </w:p>
    <w:p w:rsidR="00F650AD" w:rsidRPr="0086090B" w:rsidRDefault="00F650AD" w:rsidP="00F650AD">
      <w:pPr>
        <w:spacing w:line="360" w:lineRule="auto"/>
        <w:rPr>
          <w:b/>
          <w:i/>
        </w:rPr>
      </w:pPr>
    </w:p>
    <w:p w:rsidR="00F650AD" w:rsidRPr="0086090B" w:rsidRDefault="00F650AD" w:rsidP="00F650AD">
      <w:pPr>
        <w:pStyle w:val="Heading3"/>
        <w:rPr>
          <w:sz w:val="22"/>
          <w:szCs w:val="22"/>
        </w:rPr>
      </w:pPr>
      <w:r w:rsidRPr="0086090B">
        <w:rPr>
          <w:sz w:val="22"/>
          <w:szCs w:val="22"/>
        </w:rPr>
        <w:t>Expected value of partial perfect information</w:t>
      </w:r>
    </w:p>
    <w:p w:rsidR="00F650AD" w:rsidRPr="0086090B" w:rsidRDefault="00F650AD" w:rsidP="00F650AD">
      <w:pPr>
        <w:spacing w:line="360" w:lineRule="auto"/>
        <w:jc w:val="both"/>
      </w:pPr>
      <w:r w:rsidRPr="0086090B">
        <w:t>The population EVPI places an upper limit on the total value of addition research relating to a specific decision problem, but does not indicate where future research may be beneficial. The population expected value of partial perfect information (EVPPI) indicate the value of reducing the uncertainty surrounding particular input parameters in the decision model. Ten parameters, reflecting targets for potential future research designs, were considered in the EVPPI analyses: Baseline mortality and risks; relative effectiveness for mortality and intubation; costs of prehospital CPAP, hospitalisation, intubation and long term survival; life expectancy; and lifetime quality of life.</w:t>
      </w:r>
    </w:p>
    <w:p w:rsidR="00F650AD" w:rsidRPr="0086090B" w:rsidRDefault="00F650AD" w:rsidP="00F650AD">
      <w:pPr>
        <w:spacing w:line="360" w:lineRule="auto"/>
        <w:jc w:val="both"/>
      </w:pPr>
      <w:r w:rsidRPr="0086090B">
        <w:t>The expected value of partial perfect information (EVPPI) associated with each of these parameters in the base case are illustrated in Figure A3. At the threshold of £20,000/QALY, individual EVPPI associated with effectiveness of CPAP in reducing mortality was £299.6 and individual EVPPIs for all the other parameters were zero. The population EVPPI for CPAP effectiveness on mortality in base case was £16.5 million.</w:t>
      </w:r>
    </w:p>
    <w:p w:rsidR="00F650AD" w:rsidRPr="0086090B" w:rsidRDefault="00F650AD" w:rsidP="00F650AD">
      <w:pPr>
        <w:spacing w:line="360" w:lineRule="auto"/>
      </w:pPr>
    </w:p>
    <w:p w:rsidR="00F650AD" w:rsidRPr="0086090B" w:rsidRDefault="00F650AD" w:rsidP="00F650AD">
      <w:pPr>
        <w:spacing w:line="360" w:lineRule="auto"/>
        <w:jc w:val="center"/>
      </w:pPr>
      <w:r w:rsidRPr="0086090B">
        <w:rPr>
          <w:noProof/>
        </w:rPr>
        <w:lastRenderedPageBreak/>
        <w:drawing>
          <wp:inline distT="0" distB="0" distL="0" distR="0" wp14:anchorId="2A9A0D81" wp14:editId="7304CC5A">
            <wp:extent cx="5372100" cy="295275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F650AD" w:rsidRPr="0086090B" w:rsidRDefault="00F650AD" w:rsidP="00F650AD">
      <w:pPr>
        <w:pStyle w:val="Caption"/>
        <w:spacing w:line="360" w:lineRule="auto"/>
        <w:rPr>
          <w:rFonts w:asciiTheme="minorHAnsi" w:hAnsiTheme="minorHAnsi"/>
          <w:b w:val="0"/>
          <w:color w:val="auto"/>
          <w:sz w:val="22"/>
          <w:szCs w:val="22"/>
        </w:rPr>
      </w:pPr>
      <w:bookmarkStart w:id="3" w:name="_Toc4657040"/>
      <w:r w:rsidRPr="0086090B">
        <w:rPr>
          <w:rFonts w:asciiTheme="minorHAnsi" w:hAnsiTheme="minorHAnsi"/>
          <w:color w:val="auto"/>
          <w:sz w:val="22"/>
          <w:szCs w:val="22"/>
        </w:rPr>
        <w:t>Figure A3. Base case population EVPPI at a £20,000 per QALY cost-effectiveness threshold</w:t>
      </w:r>
      <w:bookmarkEnd w:id="3"/>
    </w:p>
    <w:p w:rsidR="00F650AD" w:rsidRPr="0086090B" w:rsidRDefault="00F650AD" w:rsidP="00F650AD">
      <w:pPr>
        <w:spacing w:line="360" w:lineRule="auto"/>
      </w:pPr>
      <w:r w:rsidRPr="0086090B">
        <w:t>The expected value of partial perfect information (EVPPI) for model parameters in the updated meta-analysis scenario analysis are illustrated in Figure A4. At the threshold of £20,000/QALY, individual EVPPI associated with effectiveness of CPAP in reducing mortality was £67.6, and EVPPIs for all the other parameters were zero. The population EVPPI for CPAP effectiveness on mortality in this scenario analysis was £3.72 million.</w:t>
      </w:r>
    </w:p>
    <w:p w:rsidR="00F650AD" w:rsidRPr="0086090B" w:rsidRDefault="00F650AD" w:rsidP="00F650AD">
      <w:pPr>
        <w:spacing w:line="360" w:lineRule="auto"/>
        <w:rPr>
          <w:lang w:val="en-CA"/>
        </w:rPr>
      </w:pPr>
      <w:r w:rsidRPr="0086090B">
        <w:rPr>
          <w:noProof/>
        </w:rPr>
        <w:drawing>
          <wp:inline distT="0" distB="0" distL="0" distR="0" wp14:anchorId="1A208545" wp14:editId="6CA5632F">
            <wp:extent cx="5695950" cy="3124200"/>
            <wp:effectExtent l="0" t="0" r="0" b="0"/>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30312D" w:rsidRPr="00F650AD" w:rsidRDefault="00F650AD" w:rsidP="00F650AD">
      <w:pPr>
        <w:pStyle w:val="Caption"/>
        <w:spacing w:line="360" w:lineRule="auto"/>
        <w:rPr>
          <w:rFonts w:asciiTheme="minorHAnsi" w:hAnsiTheme="minorHAnsi"/>
          <w:color w:val="auto"/>
          <w:sz w:val="22"/>
          <w:szCs w:val="22"/>
        </w:rPr>
      </w:pPr>
      <w:bookmarkStart w:id="4" w:name="_Toc4657041"/>
      <w:r w:rsidRPr="0086090B">
        <w:rPr>
          <w:rFonts w:asciiTheme="minorHAnsi" w:hAnsiTheme="minorHAnsi"/>
          <w:color w:val="auto"/>
          <w:sz w:val="22"/>
          <w:szCs w:val="22"/>
        </w:rPr>
        <w:t>Figure A4. Updated network meta-analysis scenario EVPPI at a £20,000 per QALY cost-effectiveness threshold</w:t>
      </w:r>
      <w:bookmarkEnd w:id="4"/>
    </w:p>
    <w:sectPr w:rsidR="0030312D" w:rsidRPr="00F650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0000000000000000000"/>
    <w:charset w:val="86"/>
    <w:family w:val="roman"/>
    <w:notTrueType/>
    <w:pitch w:val="default"/>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0AD"/>
    <w:rsid w:val="0030312D"/>
    <w:rsid w:val="00F650A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E760D"/>
  <w15:chartTrackingRefBased/>
  <w15:docId w15:val="{AD3A1E38-AA6C-4105-BAA3-41B6794B5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0AD"/>
  </w:style>
  <w:style w:type="paragraph" w:styleId="Heading2">
    <w:name w:val="heading 2"/>
    <w:basedOn w:val="Normal"/>
    <w:next w:val="Normal"/>
    <w:link w:val="Heading2Char"/>
    <w:uiPriority w:val="9"/>
    <w:unhideWhenUsed/>
    <w:qFormat/>
    <w:rsid w:val="00F650A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650A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650AD"/>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650AD"/>
    <w:rPr>
      <w:rFonts w:asciiTheme="majorHAnsi" w:eastAsiaTheme="majorEastAsia" w:hAnsiTheme="majorHAnsi" w:cstheme="majorBidi"/>
      <w:color w:val="1F4D78" w:themeColor="accent1" w:themeShade="7F"/>
      <w:sz w:val="24"/>
      <w:szCs w:val="24"/>
    </w:rPr>
  </w:style>
  <w:style w:type="paragraph" w:styleId="Caption">
    <w:name w:val="caption"/>
    <w:basedOn w:val="Normal"/>
    <w:next w:val="Normal"/>
    <w:uiPriority w:val="35"/>
    <w:qFormat/>
    <w:rsid w:val="00F650AD"/>
    <w:pPr>
      <w:spacing w:after="200" w:line="240" w:lineRule="auto"/>
    </w:pPr>
    <w:rPr>
      <w:rFonts w:ascii="Calibri" w:eastAsia="Times New Roman" w:hAnsi="Calibri" w:cs="Times New Roman"/>
      <w:b/>
      <w:bCs/>
      <w:color w:val="4F81BD"/>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cm1ptx\Desktop\ACUTE\VoI\EVPPI%20compariso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cm1ptx\Desktop\ACUTE\VoI\EVPPI%20comparis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0"/>
          <c:tx>
            <c:v>2-level EVPPI</c:v>
          </c:tx>
          <c:spPr>
            <a:solidFill>
              <a:schemeClr val="tx2"/>
            </a:solidFill>
          </c:spPr>
          <c:invertIfNegative val="0"/>
          <c:cat>
            <c:strRef>
              <c:f>'ACUTE EVPPI results'!$B$1:$K$1</c:f>
              <c:strCache>
                <c:ptCount val="10"/>
                <c:pt idx="0">
                  <c:v>Baseline Mortality</c:v>
                </c:pt>
                <c:pt idx="1">
                  <c:v>Baseline Intubation</c:v>
                </c:pt>
                <c:pt idx="2">
                  <c:v>Log OR Mortality</c:v>
                </c:pt>
                <c:pt idx="3">
                  <c:v>Log OR Intubation</c:v>
                </c:pt>
                <c:pt idx="4">
                  <c:v>Cost of pre-hospital CPAP</c:v>
                </c:pt>
                <c:pt idx="5">
                  <c:v>Hospitalisation costs</c:v>
                </c:pt>
                <c:pt idx="6">
                  <c:v>Intubation costs</c:v>
                </c:pt>
                <c:pt idx="7">
                  <c:v>Costs per year</c:v>
                </c:pt>
                <c:pt idx="8">
                  <c:v>Life expectancy</c:v>
                </c:pt>
                <c:pt idx="9">
                  <c:v>Utility</c:v>
                </c:pt>
              </c:strCache>
            </c:strRef>
          </c:cat>
          <c:val>
            <c:numRef>
              <c:f>'ACUTE EVPPI results'!$B$3:$K$3</c:f>
              <c:numCache>
                <c:formatCode>0.000</c:formatCode>
                <c:ptCount val="10"/>
                <c:pt idx="0">
                  <c:v>0</c:v>
                </c:pt>
                <c:pt idx="1">
                  <c:v>0</c:v>
                </c:pt>
                <c:pt idx="2">
                  <c:v>16500000</c:v>
                </c:pt>
                <c:pt idx="3">
                  <c:v>0</c:v>
                </c:pt>
                <c:pt idx="4">
                  <c:v>0</c:v>
                </c:pt>
                <c:pt idx="5">
                  <c:v>-8.2628552194874403E-13</c:v>
                </c:pt>
                <c:pt idx="6">
                  <c:v>0</c:v>
                </c:pt>
                <c:pt idx="7">
                  <c:v>0</c:v>
                </c:pt>
                <c:pt idx="8">
                  <c:v>0</c:v>
                </c:pt>
                <c:pt idx="9">
                  <c:v>0</c:v>
                </c:pt>
              </c:numCache>
            </c:numRef>
          </c:val>
          <c:extLst>
            <c:ext xmlns:c16="http://schemas.microsoft.com/office/drawing/2014/chart" uri="{C3380CC4-5D6E-409C-BE32-E72D297353CC}">
              <c16:uniqueId val="{00000000-7962-4387-B648-FFCAA6BD9783}"/>
            </c:ext>
          </c:extLst>
        </c:ser>
        <c:dLbls>
          <c:showLegendKey val="0"/>
          <c:showVal val="0"/>
          <c:showCatName val="0"/>
          <c:showSerName val="0"/>
          <c:showPercent val="0"/>
          <c:showBubbleSize val="0"/>
        </c:dLbls>
        <c:gapWidth val="150"/>
        <c:axId val="514085448"/>
        <c:axId val="514088192"/>
      </c:barChart>
      <c:catAx>
        <c:axId val="514085448"/>
        <c:scaling>
          <c:orientation val="minMax"/>
        </c:scaling>
        <c:delete val="0"/>
        <c:axPos val="b"/>
        <c:numFmt formatCode="General" sourceLinked="0"/>
        <c:majorTickMark val="out"/>
        <c:minorTickMark val="none"/>
        <c:tickLblPos val="nextTo"/>
        <c:crossAx val="514088192"/>
        <c:crosses val="autoZero"/>
        <c:auto val="1"/>
        <c:lblAlgn val="ctr"/>
        <c:lblOffset val="100"/>
        <c:noMultiLvlLbl val="0"/>
      </c:catAx>
      <c:valAx>
        <c:axId val="514088192"/>
        <c:scaling>
          <c:orientation val="minMax"/>
          <c:min val="0"/>
        </c:scaling>
        <c:delete val="0"/>
        <c:axPos val="l"/>
        <c:title>
          <c:tx>
            <c:rich>
              <a:bodyPr rot="-5400000" vert="horz"/>
              <a:lstStyle/>
              <a:p>
                <a:pPr>
                  <a:defRPr/>
                </a:pPr>
                <a:r>
                  <a:rPr lang="en-GB"/>
                  <a:t>Population</a:t>
                </a:r>
                <a:r>
                  <a:rPr lang="en-GB" baseline="0"/>
                  <a:t> </a:t>
                </a:r>
                <a:r>
                  <a:rPr lang="en-GB"/>
                  <a:t>EVPPI</a:t>
                </a:r>
              </a:p>
            </c:rich>
          </c:tx>
          <c:overlay val="0"/>
        </c:title>
        <c:numFmt formatCode="#,##0" sourceLinked="0"/>
        <c:majorTickMark val="out"/>
        <c:minorTickMark val="none"/>
        <c:tickLblPos val="nextTo"/>
        <c:crossAx val="514085448"/>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0"/>
          <c:tx>
            <c:v>2-level EVPPI</c:v>
          </c:tx>
          <c:spPr>
            <a:solidFill>
              <a:schemeClr val="tx2"/>
            </a:solidFill>
          </c:spPr>
          <c:invertIfNegative val="0"/>
          <c:cat>
            <c:strRef>
              <c:f>'NMA EVPPI results)'!$B$1:$K$1</c:f>
              <c:strCache>
                <c:ptCount val="10"/>
                <c:pt idx="0">
                  <c:v>Baseline Mortality</c:v>
                </c:pt>
                <c:pt idx="1">
                  <c:v>Baseline Intubation</c:v>
                </c:pt>
                <c:pt idx="2">
                  <c:v>Log OR Mortality</c:v>
                </c:pt>
                <c:pt idx="3">
                  <c:v>Log OR Intubation</c:v>
                </c:pt>
                <c:pt idx="4">
                  <c:v>Cost of pre-hospital CPAP</c:v>
                </c:pt>
                <c:pt idx="5">
                  <c:v>Hospitalisation costs</c:v>
                </c:pt>
                <c:pt idx="6">
                  <c:v>Intubation costs</c:v>
                </c:pt>
                <c:pt idx="7">
                  <c:v>Costs per year</c:v>
                </c:pt>
                <c:pt idx="8">
                  <c:v>Life expectancy</c:v>
                </c:pt>
                <c:pt idx="9">
                  <c:v>Utility</c:v>
                </c:pt>
              </c:strCache>
            </c:strRef>
          </c:cat>
          <c:val>
            <c:numRef>
              <c:f>'NMA EVPPI results)'!$B$3:$K$3</c:f>
              <c:numCache>
                <c:formatCode>0.000</c:formatCode>
                <c:ptCount val="10"/>
                <c:pt idx="0">
                  <c:v>0</c:v>
                </c:pt>
                <c:pt idx="1">
                  <c:v>0</c:v>
                </c:pt>
                <c:pt idx="2">
                  <c:v>3720000</c:v>
                </c:pt>
                <c:pt idx="3">
                  <c:v>0</c:v>
                </c:pt>
                <c:pt idx="4">
                  <c:v>0</c:v>
                </c:pt>
                <c:pt idx="5">
                  <c:v>-8.2628552194874403E-13</c:v>
                </c:pt>
                <c:pt idx="6">
                  <c:v>0</c:v>
                </c:pt>
                <c:pt idx="7">
                  <c:v>0</c:v>
                </c:pt>
                <c:pt idx="8">
                  <c:v>0</c:v>
                </c:pt>
                <c:pt idx="9">
                  <c:v>0</c:v>
                </c:pt>
              </c:numCache>
            </c:numRef>
          </c:val>
          <c:extLst>
            <c:ext xmlns:c16="http://schemas.microsoft.com/office/drawing/2014/chart" uri="{C3380CC4-5D6E-409C-BE32-E72D297353CC}">
              <c16:uniqueId val="{00000000-5C7A-46EB-9DB8-B82826985C84}"/>
            </c:ext>
          </c:extLst>
        </c:ser>
        <c:dLbls>
          <c:showLegendKey val="0"/>
          <c:showVal val="0"/>
          <c:showCatName val="0"/>
          <c:showSerName val="0"/>
          <c:showPercent val="0"/>
          <c:showBubbleSize val="0"/>
        </c:dLbls>
        <c:gapWidth val="150"/>
        <c:axId val="514085840"/>
        <c:axId val="514086624"/>
      </c:barChart>
      <c:catAx>
        <c:axId val="514085840"/>
        <c:scaling>
          <c:orientation val="minMax"/>
        </c:scaling>
        <c:delete val="0"/>
        <c:axPos val="b"/>
        <c:numFmt formatCode="General" sourceLinked="0"/>
        <c:majorTickMark val="out"/>
        <c:minorTickMark val="none"/>
        <c:tickLblPos val="nextTo"/>
        <c:crossAx val="514086624"/>
        <c:crosses val="autoZero"/>
        <c:auto val="1"/>
        <c:lblAlgn val="ctr"/>
        <c:lblOffset val="100"/>
        <c:noMultiLvlLbl val="0"/>
      </c:catAx>
      <c:valAx>
        <c:axId val="514086624"/>
        <c:scaling>
          <c:orientation val="minMax"/>
          <c:min val="0"/>
        </c:scaling>
        <c:delete val="0"/>
        <c:axPos val="l"/>
        <c:title>
          <c:tx>
            <c:rich>
              <a:bodyPr rot="-5400000" vert="horz"/>
              <a:lstStyle/>
              <a:p>
                <a:pPr>
                  <a:defRPr/>
                </a:pPr>
                <a:r>
                  <a:rPr lang="en-GB"/>
                  <a:t>Population EVPPI</a:t>
                </a:r>
              </a:p>
            </c:rich>
          </c:tx>
          <c:overlay val="0"/>
        </c:title>
        <c:numFmt formatCode="#,##0" sourceLinked="0"/>
        <c:majorTickMark val="out"/>
        <c:minorTickMark val="none"/>
        <c:tickLblPos val="nextTo"/>
        <c:crossAx val="514085840"/>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496</Words>
  <Characters>2832</Characters>
  <Application>Microsoft Office Word</Application>
  <DocSecurity>0</DocSecurity>
  <Lines>23</Lines>
  <Paragraphs>6</Paragraphs>
  <ScaleCrop>false</ScaleCrop>
  <Company>The University of Sheffield</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Praveen Thokala</dc:creator>
  <cp:keywords/>
  <dc:description/>
  <cp:lastModifiedBy>Praveen Thokala</cp:lastModifiedBy>
  <cp:revision>1</cp:revision>
  <dcterms:created xsi:type="dcterms:W3CDTF">2020-05-26T08:53:00Z</dcterms:created>
  <dcterms:modified xsi:type="dcterms:W3CDTF">2020-05-26T08:53:00Z</dcterms:modified>
</cp:coreProperties>
</file>