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FF10F9" w14:textId="77777777" w:rsidR="003A3018" w:rsidRDefault="003A3018" w:rsidP="003A3018">
      <w:pPr>
        <w:jc w:val="center"/>
        <w:rPr>
          <w:rFonts w:ascii="Times New Roman" w:hAnsi="Times New Roman" w:cs="Times New Roman"/>
        </w:rPr>
      </w:pPr>
      <w:bookmarkStart w:id="0" w:name="_Hlk145496567"/>
      <w:r w:rsidRPr="00DB104B">
        <w:rPr>
          <w:rFonts w:ascii="Times New Roman" w:hAnsi="Times New Roman" w:cs="Times New Roman"/>
        </w:rPr>
        <w:t xml:space="preserve">PARASITOLOGY RESEARCH </w:t>
      </w:r>
    </w:p>
    <w:p w14:paraId="403B05FC" w14:textId="77777777" w:rsidR="003A3018" w:rsidRPr="00DB104B" w:rsidRDefault="003A3018" w:rsidP="003A3018">
      <w:pPr>
        <w:jc w:val="center"/>
        <w:rPr>
          <w:rFonts w:ascii="Times New Roman" w:hAnsi="Times New Roman" w:cs="Times New Roman"/>
        </w:rPr>
      </w:pPr>
    </w:p>
    <w:p w14:paraId="3361731C" w14:textId="77777777" w:rsidR="003A3018" w:rsidRPr="00DB104B" w:rsidRDefault="003A3018" w:rsidP="003A3018">
      <w:pPr>
        <w:jc w:val="center"/>
        <w:rPr>
          <w:rFonts w:ascii="Times New Roman" w:hAnsi="Times New Roman" w:cs="Times New Roman"/>
          <w:sz w:val="32"/>
          <w:szCs w:val="32"/>
        </w:rPr>
      </w:pPr>
      <w:r w:rsidRPr="00DB104B">
        <w:rPr>
          <w:rFonts w:ascii="Times New Roman" w:hAnsi="Times New Roman" w:cs="Times New Roman"/>
          <w:sz w:val="32"/>
          <w:szCs w:val="32"/>
        </w:rPr>
        <w:t xml:space="preserve">Development of a Molecular Assay for the Determination of </w:t>
      </w:r>
    </w:p>
    <w:p w14:paraId="3C89B57D" w14:textId="77777777" w:rsidR="003A3018" w:rsidRPr="00DB104B" w:rsidRDefault="003A3018" w:rsidP="003A3018">
      <w:pPr>
        <w:jc w:val="center"/>
        <w:rPr>
          <w:rFonts w:ascii="Times New Roman" w:hAnsi="Times New Roman" w:cs="Times New Roman"/>
          <w:sz w:val="32"/>
          <w:szCs w:val="32"/>
        </w:rPr>
      </w:pPr>
      <w:r w:rsidRPr="00DB104B">
        <w:rPr>
          <w:rFonts w:ascii="Times New Roman" w:hAnsi="Times New Roman" w:cs="Times New Roman"/>
          <w:i/>
          <w:iCs/>
          <w:sz w:val="32"/>
          <w:szCs w:val="32"/>
        </w:rPr>
        <w:t xml:space="preserve">Eimeria tenella </w:t>
      </w:r>
      <w:r w:rsidRPr="00DB104B">
        <w:rPr>
          <w:rFonts w:ascii="Times New Roman" w:hAnsi="Times New Roman" w:cs="Times New Roman"/>
          <w:sz w:val="32"/>
          <w:szCs w:val="32"/>
        </w:rPr>
        <w:t>Oocyst Viability</w:t>
      </w:r>
      <w:bookmarkEnd w:id="0"/>
    </w:p>
    <w:p w14:paraId="0A045EB8" w14:textId="77777777" w:rsidR="003A3018" w:rsidRPr="00DB104B" w:rsidRDefault="003A3018" w:rsidP="003A3018">
      <w:pPr>
        <w:rPr>
          <w:rFonts w:ascii="Times New Roman" w:hAnsi="Times New Roman" w:cs="Times New Roman"/>
        </w:rPr>
      </w:pPr>
    </w:p>
    <w:p w14:paraId="03E70289" w14:textId="77777777" w:rsidR="00AE5DE1" w:rsidRPr="000B4F4B" w:rsidRDefault="00AE5DE1" w:rsidP="00AE5DE1">
      <w:pPr>
        <w:rPr>
          <w:rFonts w:ascii="Times New Roman" w:hAnsi="Times New Roman" w:cs="Times New Roman"/>
          <w:vertAlign w:val="superscript"/>
        </w:rPr>
      </w:pPr>
      <w:r w:rsidRPr="000B4F4B">
        <w:rPr>
          <w:rFonts w:ascii="Times New Roman" w:hAnsi="Times New Roman" w:cs="Times New Roman"/>
        </w:rPr>
        <w:t>Kruth PS</w:t>
      </w:r>
      <w:r w:rsidRPr="000B4F4B">
        <w:rPr>
          <w:rFonts w:ascii="Times New Roman" w:hAnsi="Times New Roman" w:cs="Times New Roman"/>
          <w:vertAlign w:val="superscript"/>
        </w:rPr>
        <w:t>1,2</w:t>
      </w:r>
      <w:r w:rsidRPr="000B4F4B">
        <w:rPr>
          <w:rFonts w:ascii="Times New Roman" w:hAnsi="Times New Roman" w:cs="Times New Roman"/>
        </w:rPr>
        <w:t>, Whale J</w:t>
      </w:r>
      <w:r w:rsidRPr="000B4F4B">
        <w:rPr>
          <w:rFonts w:ascii="Times New Roman" w:hAnsi="Times New Roman" w:cs="Times New Roman"/>
          <w:vertAlign w:val="superscript"/>
        </w:rPr>
        <w:t>1</w:t>
      </w:r>
      <w:r w:rsidRPr="000B4F4B">
        <w:rPr>
          <w:rFonts w:ascii="Times New Roman" w:hAnsi="Times New Roman" w:cs="Times New Roman"/>
        </w:rPr>
        <w:t xml:space="preserve">, </w:t>
      </w:r>
      <w:proofErr w:type="spellStart"/>
      <w:r w:rsidRPr="000B4F4B">
        <w:rPr>
          <w:rFonts w:ascii="Times New Roman" w:hAnsi="Times New Roman" w:cs="Times New Roman"/>
        </w:rPr>
        <w:t>Léveillé</w:t>
      </w:r>
      <w:proofErr w:type="spellEnd"/>
      <w:r w:rsidRPr="000B4F4B">
        <w:rPr>
          <w:rFonts w:ascii="Times New Roman" w:hAnsi="Times New Roman" w:cs="Times New Roman"/>
        </w:rPr>
        <w:t xml:space="preserve"> AN</w:t>
      </w:r>
      <w:r w:rsidRPr="000B4F4B">
        <w:rPr>
          <w:rFonts w:ascii="Times New Roman" w:hAnsi="Times New Roman" w:cs="Times New Roman"/>
          <w:vertAlign w:val="superscript"/>
        </w:rPr>
        <w:t>1,3</w:t>
      </w:r>
      <w:r w:rsidRPr="000B4F4B">
        <w:rPr>
          <w:rFonts w:ascii="Times New Roman" w:hAnsi="Times New Roman" w:cs="Times New Roman"/>
        </w:rPr>
        <w:t>, Brisbin J</w:t>
      </w:r>
      <w:r w:rsidRPr="000B4F4B">
        <w:rPr>
          <w:rFonts w:ascii="Times New Roman" w:hAnsi="Times New Roman" w:cs="Times New Roman"/>
          <w:vertAlign w:val="superscript"/>
        </w:rPr>
        <w:t>4</w:t>
      </w:r>
      <w:r w:rsidRPr="000B4F4B">
        <w:rPr>
          <w:rFonts w:ascii="Times New Roman" w:hAnsi="Times New Roman" w:cs="Times New Roman"/>
        </w:rPr>
        <w:t>, Barta JR</w:t>
      </w:r>
      <w:r w:rsidRPr="000B4F4B">
        <w:rPr>
          <w:rFonts w:ascii="Times New Roman" w:hAnsi="Times New Roman" w:cs="Times New Roman"/>
          <w:vertAlign w:val="superscript"/>
        </w:rPr>
        <w:t>1,5</w:t>
      </w:r>
    </w:p>
    <w:p w14:paraId="505904C1" w14:textId="77777777" w:rsidR="00AE5DE1" w:rsidRPr="000B4F4B" w:rsidRDefault="00AE5DE1" w:rsidP="00AE5DE1">
      <w:pPr>
        <w:rPr>
          <w:rFonts w:ascii="Times New Roman" w:hAnsi="Times New Roman" w:cs="Times New Roman"/>
          <w:vertAlign w:val="superscript"/>
        </w:rPr>
      </w:pPr>
    </w:p>
    <w:p w14:paraId="021848CB" w14:textId="77777777" w:rsidR="00AE5DE1" w:rsidRPr="000B4F4B" w:rsidRDefault="00AE5DE1" w:rsidP="00AE5DE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1</w:t>
      </w:r>
      <w:r w:rsidRPr="000B4F4B">
        <w:rPr>
          <w:rFonts w:ascii="Times New Roman" w:hAnsi="Times New Roman" w:cs="Times New Roman"/>
        </w:rPr>
        <w:t>Department of Pathobiology, Ontario Veterinary College, University of Guelph, Guelph, Ontario, Canada</w:t>
      </w:r>
    </w:p>
    <w:p w14:paraId="78AD3DB4" w14:textId="77777777" w:rsidR="00AE5DE1" w:rsidRPr="000B4F4B" w:rsidRDefault="00AE5DE1" w:rsidP="00AE5DE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2</w:t>
      </w:r>
      <w:r w:rsidRPr="000B4F4B">
        <w:rPr>
          <w:rFonts w:ascii="Times New Roman" w:hAnsi="Times New Roman" w:cs="Times New Roman"/>
        </w:rPr>
        <w:t>ORCID: 0000-0002-3994-8080</w:t>
      </w:r>
    </w:p>
    <w:p w14:paraId="292517CF" w14:textId="77777777" w:rsidR="00AE5DE1" w:rsidRPr="000B4F4B" w:rsidRDefault="00AE5DE1" w:rsidP="00AE5DE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3</w:t>
      </w:r>
      <w:r w:rsidRPr="000B4F4B">
        <w:rPr>
          <w:rFonts w:ascii="Times New Roman" w:hAnsi="Times New Roman" w:cs="Times New Roman"/>
        </w:rPr>
        <w:t>ORCID: 0000-0002-5506-3792</w:t>
      </w:r>
    </w:p>
    <w:p w14:paraId="0F0F1C85" w14:textId="77777777" w:rsidR="00AE5DE1" w:rsidRPr="000B4F4B" w:rsidRDefault="00AE5DE1" w:rsidP="00AE5DE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4</w:t>
      </w:r>
      <w:r w:rsidRPr="000B4F4B">
        <w:rPr>
          <w:rFonts w:ascii="Times New Roman" w:hAnsi="Times New Roman" w:cs="Times New Roman"/>
        </w:rPr>
        <w:t>Ceva Animal Health Inc., Guelph, Ontario, Canada</w:t>
      </w:r>
    </w:p>
    <w:p w14:paraId="51C5D642" w14:textId="77777777" w:rsidR="00AE5DE1" w:rsidRPr="000B4F4B" w:rsidRDefault="00AE5DE1" w:rsidP="00AE5DE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5</w:t>
      </w:r>
      <w:r w:rsidRPr="000B4F4B">
        <w:rPr>
          <w:rFonts w:ascii="Times New Roman" w:hAnsi="Times New Roman" w:cs="Times New Roman"/>
        </w:rPr>
        <w:t>ORCID: 0000-0001-6896-2271</w:t>
      </w:r>
    </w:p>
    <w:p w14:paraId="2DB987CE" w14:textId="77777777" w:rsidR="00AE5DE1" w:rsidRPr="000B4F4B" w:rsidRDefault="00AE5DE1" w:rsidP="00AE5DE1">
      <w:pPr>
        <w:rPr>
          <w:rFonts w:ascii="Times New Roman" w:hAnsi="Times New Roman" w:cs="Times New Roman"/>
        </w:rPr>
      </w:pPr>
    </w:p>
    <w:p w14:paraId="419BBDE8" w14:textId="77777777" w:rsidR="00AE5DE1" w:rsidRPr="000B4F4B" w:rsidRDefault="00AE5DE1" w:rsidP="00AE5DE1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</w:rPr>
        <w:t xml:space="preserve">JRB is corresponding author: </w:t>
      </w:r>
      <w:hyperlink r:id="rId4" w:history="1">
        <w:r w:rsidRPr="000B4F4B">
          <w:rPr>
            <w:rStyle w:val="Hyperlink"/>
            <w:rFonts w:ascii="Times New Roman" w:hAnsi="Times New Roman" w:cs="Times New Roman"/>
          </w:rPr>
          <w:t>jbarta@uoguelph.ca</w:t>
        </w:r>
      </w:hyperlink>
    </w:p>
    <w:p w14:paraId="6C2D5A4E" w14:textId="0F5A5675" w:rsidR="009045D5" w:rsidRDefault="009045D5" w:rsidP="009045D5">
      <w:pPr>
        <w:pStyle w:val="Heading1"/>
      </w:pPr>
      <w:r>
        <w:t>Supplementary File 4</w:t>
      </w:r>
    </w:p>
    <w:p w14:paraId="728AD6C0" w14:textId="18A2A533" w:rsidR="009045D5" w:rsidRPr="009045D5" w:rsidRDefault="009045D5" w:rsidP="009045D5">
      <w:pPr>
        <w:pStyle w:val="Heading2"/>
        <w:rPr>
          <w:sz w:val="24"/>
          <w:szCs w:val="24"/>
        </w:rPr>
      </w:pPr>
      <w:r w:rsidRPr="009045D5">
        <w:rPr>
          <w:sz w:val="24"/>
          <w:szCs w:val="24"/>
        </w:rPr>
        <w:t>Luciferase RNA Spike-Ins</w:t>
      </w:r>
    </w:p>
    <w:p w14:paraId="22EE43AB" w14:textId="1CE75A95" w:rsidR="009045D5" w:rsidRDefault="009045D5" w:rsidP="009045D5">
      <w:pPr>
        <w:pStyle w:val="NoSpacing"/>
        <w:spacing w:line="360" w:lineRule="auto"/>
        <w:ind w:firstLine="0"/>
      </w:pPr>
      <w:r w:rsidRPr="00C05CAF">
        <w:t xml:space="preserve">Prior to isolating RNA from </w:t>
      </w:r>
      <w:r>
        <w:t>time point</w:t>
      </w:r>
      <w:r w:rsidRPr="00C05CAF">
        <w:t xml:space="preserve"> samples, several RNA isolations were conducted on oocysts </w:t>
      </w:r>
      <w:r>
        <w:t>stored at 21</w:t>
      </w:r>
      <w:r>
        <w:rPr>
          <w:vertAlign w:val="superscript"/>
        </w:rPr>
        <w:t>o</w:t>
      </w:r>
      <w:r>
        <w:rPr>
          <w:rFonts w:cs="Times New Roman"/>
        </w:rPr>
        <w:t>C</w:t>
      </w:r>
      <w:r w:rsidRPr="00C05CAF">
        <w:t xml:space="preserve"> at either 97 or 159 days of age, and which had been subjected to either heat stimulat</w:t>
      </w:r>
      <w:r>
        <w:t>ion at 41</w:t>
      </w:r>
      <w:r>
        <w:rPr>
          <w:vertAlign w:val="superscript"/>
        </w:rPr>
        <w:t>o</w:t>
      </w:r>
      <w:r>
        <w:rPr>
          <w:rFonts w:cs="Times New Roman"/>
        </w:rPr>
        <w:t>C</w:t>
      </w:r>
      <w:r w:rsidRPr="00C05CAF">
        <w:t xml:space="preserve"> for 90 minutes prior to RNA recovery </w:t>
      </w:r>
      <w:r>
        <w:t>or were held at steady state</w:t>
      </w:r>
      <w:r w:rsidRPr="00C05CAF">
        <w:t xml:space="preserve">. RNA recovery used the same process described </w:t>
      </w:r>
      <w:r w:rsidRPr="002331AA">
        <w:t>in manuscript text; however</w:t>
      </w:r>
      <w:r>
        <w:t>,</w:t>
      </w:r>
      <w:r w:rsidRPr="00C05CAF">
        <w:t xml:space="preserve"> the total amount of Luciferase RNA included in the lysis buffer for each extraction ranged from 10 </w:t>
      </w:r>
      <w:r>
        <w:t>to</w:t>
      </w:r>
      <w:r w:rsidRPr="00C05CAF">
        <w:t xml:space="preserve"> 1,000 ng (1.027 ×</w:t>
      </w:r>
      <w:r w:rsidRPr="00C05CAF">
        <w:rPr>
          <w:rFonts w:cs="Times New Roman"/>
        </w:rPr>
        <w:t xml:space="preserve"> 10</w:t>
      </w:r>
      <w:r w:rsidRPr="00C05CAF">
        <w:rPr>
          <w:rFonts w:cs="Times New Roman"/>
          <w:vertAlign w:val="superscript"/>
        </w:rPr>
        <w:t>10</w:t>
      </w:r>
      <w:r w:rsidRPr="00C05CAF">
        <w:rPr>
          <w:rFonts w:cs="Times New Roman"/>
        </w:rPr>
        <w:t xml:space="preserve"> </w:t>
      </w:r>
      <w:r>
        <w:t>to</w:t>
      </w:r>
      <w:r w:rsidRPr="00C05CAF">
        <w:t xml:space="preserve"> 1.027 ×</w:t>
      </w:r>
      <w:r w:rsidRPr="00C05CAF">
        <w:rPr>
          <w:rFonts w:cs="Times New Roman"/>
        </w:rPr>
        <w:t xml:space="preserve"> 10</w:t>
      </w:r>
      <w:r w:rsidRPr="00C05CAF">
        <w:rPr>
          <w:rFonts w:cs="Times New Roman"/>
          <w:vertAlign w:val="superscript"/>
        </w:rPr>
        <w:t>12</w:t>
      </w:r>
      <w:r w:rsidRPr="00C05CAF">
        <w:rPr>
          <w:rFonts w:cs="Times New Roman"/>
        </w:rPr>
        <w:t xml:space="preserve"> copies)</w:t>
      </w:r>
      <w:r w:rsidRPr="00C05CAF">
        <w:t xml:space="preserve">. Recovered RNA was subsequently reverse transcribed with the same protocol used for experimental samples. Complementary DNA </w:t>
      </w:r>
      <w:r>
        <w:t xml:space="preserve">(cDNA) </w:t>
      </w:r>
      <w:r w:rsidRPr="00C05CAF">
        <w:t>was assessed via qPCR to examine efficiency of RNA recovery and reverse transcription, suitability of using a genomic target as internal control, and optimal amount of luciferase RNA to include as spike-in control.</w:t>
      </w:r>
      <w:r>
        <w:t xml:space="preserve"> Total RNA recovered from differently aged oocysts that received the same amount of Luciferase RNA in the extraction buffer produced </w:t>
      </w:r>
      <w:proofErr w:type="spellStart"/>
      <w:r>
        <w:t>C</w:t>
      </w:r>
      <w:r w:rsidRPr="00E4245B">
        <w:rPr>
          <w:vertAlign w:val="subscript"/>
        </w:rPr>
        <w:t>q</w:t>
      </w:r>
      <w:proofErr w:type="spellEnd"/>
      <w:r>
        <w:t xml:space="preserve"> values up to 3.2 cycles apart, indicating the combined efficiency of RNA recovery and reverse transcription spans a range of approximately ten-fold. Copy numbers of the luciferase RNA target were calculated for each qPCR repeat well using measured </w:t>
      </w:r>
      <w:proofErr w:type="spellStart"/>
      <w:r>
        <w:t>C</w:t>
      </w:r>
      <w:r>
        <w:rPr>
          <w:vertAlign w:val="subscript"/>
        </w:rPr>
        <w:t>q</w:t>
      </w:r>
      <w:proofErr w:type="spellEnd"/>
      <w:r>
        <w:t xml:space="preserve"> values and the regression formula for the Luc-1 standard curve (slope = -3.298; y</w:t>
      </w:r>
      <w:r>
        <w:noBreakHyphen/>
        <w:t xml:space="preserve">intercept = 36.688). A luciferase RNA spike-in of 10 ng per RNA extraction generated qPCR </w:t>
      </w:r>
      <w:proofErr w:type="spellStart"/>
      <w:r>
        <w:t>C</w:t>
      </w:r>
      <w:r w:rsidRPr="00E21E1C">
        <w:rPr>
          <w:vertAlign w:val="subscript"/>
        </w:rPr>
        <w:t>q</w:t>
      </w:r>
      <w:proofErr w:type="spellEnd"/>
      <w:r>
        <w:t xml:space="preserve"> values ranging from 14.86 to 17.80; a spike-in of 20 ng luciferase RNA (per 6.5 </w:t>
      </w:r>
      <w:r w:rsidRPr="00FA7B24">
        <w:t>×</w:t>
      </w:r>
      <w:r>
        <w:t xml:space="preserve"> 10</w:t>
      </w:r>
      <w:r>
        <w:rPr>
          <w:vertAlign w:val="superscript"/>
        </w:rPr>
        <w:t>6</w:t>
      </w:r>
      <w:r>
        <w:t xml:space="preserve"> oocysts) was chosen based on these results. </w:t>
      </w:r>
    </w:p>
    <w:p w14:paraId="29982851" w14:textId="77777777" w:rsidR="009E2A5F" w:rsidRDefault="009E2A5F"/>
    <w:sectPr w:rsidR="009E2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5D5"/>
    <w:rsid w:val="000A5369"/>
    <w:rsid w:val="003A3018"/>
    <w:rsid w:val="004362C5"/>
    <w:rsid w:val="00500C02"/>
    <w:rsid w:val="009045D5"/>
    <w:rsid w:val="009D0752"/>
    <w:rsid w:val="009E2A5F"/>
    <w:rsid w:val="00AE5DE1"/>
    <w:rsid w:val="00B77C02"/>
    <w:rsid w:val="00BD675B"/>
    <w:rsid w:val="00CE2636"/>
    <w:rsid w:val="00E568D7"/>
    <w:rsid w:val="00F0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89C5D"/>
  <w15:chartTrackingRefBased/>
  <w15:docId w15:val="{59D1A6C2-C7AD-4AC4-82DE-F46BB1BC0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C02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45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45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45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45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45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45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45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45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C02"/>
    <w:rPr>
      <w:rFonts w:ascii="Times New Roman" w:eastAsiaTheme="majorEastAsia" w:hAnsi="Times New Roman" w:cstheme="majorBidi"/>
      <w:b/>
      <w:sz w:val="36"/>
      <w:szCs w:val="32"/>
    </w:rPr>
  </w:style>
  <w:style w:type="table" w:styleId="GridTable2">
    <w:name w:val="Grid Table 2"/>
    <w:basedOn w:val="TableNormal"/>
    <w:uiPriority w:val="47"/>
    <w:rsid w:val="009E2A5F"/>
    <w:rPr>
      <w:rFonts w:ascii="Times New Roman" w:hAnsi="Times New Roman"/>
      <w:sz w:val="18"/>
      <w:lang w:val="en-CA"/>
    </w:rPr>
    <w:tblPr>
      <w:tblStyleRowBandSize w:val="1"/>
      <w:tblStyleColBandSize w:val="1"/>
      <w:tblBorders>
        <w:top w:val="single" w:sz="4" w:space="0" w:color="747474" w:themeColor="background2" w:themeShade="80"/>
        <w:bottom w:val="single" w:sz="4" w:space="0" w:color="747474" w:themeColor="background2" w:themeShade="80"/>
        <w:insideH w:val="single" w:sz="4" w:space="0" w:color="747474" w:themeColor="background2" w:themeShade="80"/>
        <w:insideV w:val="single" w:sz="4" w:space="0" w:color="747474" w:themeColor="background2" w:themeShade="80"/>
      </w:tblBorders>
    </w:tblPr>
    <w:tcPr>
      <w:tcMar>
        <w:top w:w="43" w:type="dxa"/>
        <w:left w:w="29" w:type="dxa"/>
        <w:bottom w:w="43" w:type="dxa"/>
        <w:right w:w="29" w:type="dxa"/>
      </w:tcMar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9045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45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45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45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45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45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45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45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45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45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45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45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45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45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45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45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45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45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45D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aliases w:val="Appendix text"/>
    <w:uiPriority w:val="1"/>
    <w:qFormat/>
    <w:rsid w:val="009045D5"/>
    <w:pPr>
      <w:spacing w:line="276" w:lineRule="auto"/>
      <w:ind w:firstLine="720"/>
    </w:pPr>
    <w:rPr>
      <w:rFonts w:ascii="Times New Roman" w:hAnsi="Times New Roman"/>
      <w:kern w:val="0"/>
      <w14:ligatures w14:val="none"/>
    </w:rPr>
  </w:style>
  <w:style w:type="paragraph" w:customStyle="1" w:styleId="appendices">
    <w:name w:val="appendices"/>
    <w:basedOn w:val="Normal"/>
    <w:link w:val="appendicesChar"/>
    <w:qFormat/>
    <w:rsid w:val="009045D5"/>
    <w:pPr>
      <w:spacing w:before="120" w:after="120"/>
      <w:contextualSpacing/>
    </w:pPr>
    <w:rPr>
      <w:rFonts w:ascii="Times New Roman" w:hAnsi="Times New Roman"/>
      <w:b/>
      <w:bCs/>
      <w:kern w:val="0"/>
      <w:sz w:val="28"/>
      <w:szCs w:val="32"/>
      <w:lang w:val="en-CA"/>
    </w:rPr>
  </w:style>
  <w:style w:type="character" w:customStyle="1" w:styleId="appendicesChar">
    <w:name w:val="appendices Char"/>
    <w:basedOn w:val="DefaultParagraphFont"/>
    <w:link w:val="appendices"/>
    <w:rsid w:val="009045D5"/>
    <w:rPr>
      <w:rFonts w:ascii="Times New Roman" w:hAnsi="Times New Roman"/>
      <w:b/>
      <w:bCs/>
      <w:kern w:val="0"/>
      <w:sz w:val="28"/>
      <w:szCs w:val="32"/>
      <w:lang w:val="en-CA"/>
    </w:rPr>
  </w:style>
  <w:style w:type="character" w:styleId="Hyperlink">
    <w:name w:val="Hyperlink"/>
    <w:basedOn w:val="DefaultParagraphFont"/>
    <w:uiPriority w:val="99"/>
    <w:unhideWhenUsed/>
    <w:rsid w:val="003A301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barta@uoguelph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Perryn Kruth</dc:creator>
  <cp:keywords/>
  <dc:description/>
  <cp:lastModifiedBy>Perryn Kruth</cp:lastModifiedBy>
  <cp:revision>3</cp:revision>
  <dcterms:created xsi:type="dcterms:W3CDTF">2024-08-26T17:21:00Z</dcterms:created>
  <dcterms:modified xsi:type="dcterms:W3CDTF">2024-09-02T11:36:00Z</dcterms:modified>
</cp:coreProperties>
</file>