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882" w:tblpY="300"/>
        <w:tblOverlap w:val="never"/>
        <w:tblW w:w="85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1"/>
        <w:gridCol w:w="1446"/>
        <w:gridCol w:w="2118"/>
        <w:gridCol w:w="2065"/>
        <w:gridCol w:w="5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8577" w:type="dxa"/>
            <w:gridSpan w:val="5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Bold" w:hAnsi="Times New Roman Bold" w:eastAsia="Times New Roman Regular" w:cs="Times New Roman Bold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Supplementary Table 1 The blood gas analysis of the study population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46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All Patients (n=388)</w:t>
            </w:r>
          </w:p>
        </w:tc>
        <w:tc>
          <w:tcPr>
            <w:tcW w:w="2118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HFNC Success Group (n=256)</w:t>
            </w:r>
          </w:p>
        </w:tc>
        <w:tc>
          <w:tcPr>
            <w:tcW w:w="2065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HFNC Failure Group (n=132)</w:t>
            </w:r>
          </w:p>
        </w:tc>
        <w:tc>
          <w:tcPr>
            <w:tcW w:w="577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Intubation within 48h, n</w:t>
            </w:r>
          </w:p>
        </w:tc>
        <w:tc>
          <w:tcPr>
            <w:tcW w:w="1446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  <w:t>52</w:t>
            </w:r>
          </w:p>
        </w:tc>
        <w:tc>
          <w:tcPr>
            <w:tcW w:w="2118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2065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  <w:t>52</w:t>
            </w:r>
          </w:p>
        </w:tc>
        <w:tc>
          <w:tcPr>
            <w:tcW w:w="577" w:type="dxa"/>
            <w:tcBorders>
              <w:top w:val="single" w:color="000000" w:sz="1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Intubation within 7day, n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  <w:t>20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  <w:t>20</w:t>
            </w:r>
            <w:bookmarkStart w:id="0" w:name="_GoBack"/>
            <w:bookmarkEnd w:id="0"/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 1h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Frequency, breaths/min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26.65±5.134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24.25±4.144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30.25±4.34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SpO2 %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95.86±3.929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96.45±3.824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94.83±3.955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PaO2/FiO2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139.5±76.99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151.7±84.92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117.3±54.37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PCO2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102.63±46.71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108.83±50.68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91.35±36.50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 6h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Frequency, breaths/min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26.58±4.989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22.07±3.786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32.87±4.82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SpO2 %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94.69±4.594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94.58±4.965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94.89±4.446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PaO2/FiO2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132.6±93.68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158.6±109.6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87.11±29.76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PCO2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35.02±10.41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34.89±12.73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35.29±4.384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 12h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Frequency, breaths/min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28.90±4.689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22.01±2.986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33.16±3.95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SpO2 %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94.86±6.174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94.64±6.60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95.67±4.844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PaO2/FiO2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129.2±74.95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121.7±66.48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84.4±25.75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PCO2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33.38±5.151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33.43±4.604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33.21±7.468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 24h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Frequency, breaths/min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28.85±4.221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29.13±5.357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28.67±3.525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SpO2 %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96.59±2.692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96.09±3.025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97.17±2.186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PaO2/FiO2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134.27±62.59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130.95±59.42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138.51±67.94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PCO2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34.82±9.556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33.00±6.792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34.77±12.14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 48h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Frequency, breaths/min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27.6±4.235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26.45±5.067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29±2.550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SpO2 %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96.28±3.519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96.26±3.828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96.34±2.817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PaO2/FiO2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146.1±86.37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151.4±86.36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133.2±88.79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PCO2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35.14±7.736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34.15±5.665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37.46±11.18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At 72h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Frequency, breaths/min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26.11±5.763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25.08±5.751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28.33±5.610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SpO2 %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96.82±2.745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96.61±2.989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97.22±2.25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PaO2/FiO2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152.68±100.43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146.95±73.79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164.71±145.88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2371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PCO2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36.23±6.644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36.79±6.240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35.13±7.579</w:t>
            </w:r>
          </w:p>
        </w:tc>
        <w:tc>
          <w:tcPr>
            <w:tcW w:w="577" w:type="dxa"/>
            <w:tcBorders>
              <w:top w:val="nil"/>
              <w:left w:val="nil"/>
              <w:bottom w:val="single" w:color="000000" w:sz="1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0.507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76D9B0"/>
    <w:rsid w:val="6A7D7DA1"/>
    <w:rsid w:val="6FA72CC4"/>
    <w:rsid w:val="EF76D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Office_6.2.0.8299_F1E327BC-269C-435d-A152-05C5408002CA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2024-05-21T06:28:00Z</dcterms:created>
  <dc:creator>薛明</dc:creator>
  <cp:lastModifiedBy>薛明</cp:lastModifiedBy>
  <dcterms:modified xsi:type="dcterms:W3CDTF">2024-09-02T12:22:17Z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2052-6.2.0.8299</vt:lpwstr>
  </property>
  <property fmtid="{D5CDD505-2E9C-101B-9397-08002B2CF9AE}" pid="3" name="ICV">
    <vt:lpwstr>A05B0B0C987F1B611D5E4B66EBD701E7_41</vt:lpwstr>
  </property>
</Properties>
</file>