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1C0E97" w14:textId="77777777" w:rsidR="001A4053" w:rsidRPr="0009739C" w:rsidRDefault="001A4053" w:rsidP="000113AD">
      <w:pPr>
        <w:autoSpaceDE w:val="0"/>
        <w:autoSpaceDN w:val="0"/>
        <w:adjustRightInd w:val="0"/>
        <w:snapToGrid w:val="0"/>
        <w:spacing w:beforeLines="50" w:before="156" w:afterLines="50" w:after="156" w:line="480" w:lineRule="auto"/>
        <w:rPr>
          <w:rFonts w:ascii="Times New Roman" w:eastAsia="AdvGulliv-R" w:hAnsi="Times New Roman"/>
          <w:b/>
          <w:bCs/>
          <w:i/>
          <w:iCs/>
          <w:color w:val="00B0F0"/>
          <w:kern w:val="0"/>
          <w:sz w:val="28"/>
          <w:szCs w:val="28"/>
        </w:rPr>
      </w:pPr>
      <w:r w:rsidRPr="0009739C">
        <w:rPr>
          <w:rFonts w:ascii="Times New Roman" w:eastAsia="AdvGulliv-R" w:hAnsi="Times New Roman"/>
          <w:b/>
          <w:bCs/>
          <w:i/>
          <w:iCs/>
          <w:color w:val="00B0F0"/>
          <w:kern w:val="0"/>
          <w:sz w:val="28"/>
          <w:szCs w:val="28"/>
        </w:rPr>
        <w:t xml:space="preserve">Supplemental Materials </w:t>
      </w:r>
    </w:p>
    <w:p w14:paraId="236896B1" w14:textId="77777777" w:rsidR="001A4053" w:rsidRPr="0009739C" w:rsidRDefault="001A4053" w:rsidP="000113AD">
      <w:pPr>
        <w:autoSpaceDE w:val="0"/>
        <w:autoSpaceDN w:val="0"/>
        <w:adjustRightInd w:val="0"/>
        <w:snapToGrid w:val="0"/>
        <w:spacing w:beforeLines="50" w:before="156" w:afterLines="50" w:after="156" w:line="480" w:lineRule="auto"/>
        <w:rPr>
          <w:rFonts w:ascii="Times New Roman" w:hAnsi="Times New Roman"/>
          <w:color w:val="333333"/>
          <w:sz w:val="24"/>
          <w:shd w:val="clear" w:color="auto" w:fill="FFFFFF"/>
        </w:rPr>
      </w:pPr>
      <w:r w:rsidRPr="0009739C">
        <w:rPr>
          <w:rFonts w:ascii="Times New Roman" w:eastAsia="AdvGulliv-R" w:hAnsi="Times New Roman"/>
          <w:b/>
          <w:bCs/>
          <w:kern w:val="0"/>
          <w:sz w:val="24"/>
        </w:rPr>
        <w:t>text-s1</w:t>
      </w:r>
      <w:r w:rsidRPr="0009739C">
        <w:rPr>
          <w:rFonts w:ascii="Times New Roman" w:hAnsi="Times New Roman"/>
          <w:color w:val="333333"/>
          <w:sz w:val="24"/>
          <w:shd w:val="clear" w:color="auto" w:fill="FFFFFF"/>
        </w:rPr>
        <w:t xml:space="preserve"> </w:t>
      </w:r>
    </w:p>
    <w:p w14:paraId="7E69C3FD" w14:textId="77777777" w:rsidR="001A4053" w:rsidRPr="0009739C" w:rsidRDefault="001A4053" w:rsidP="000113AD">
      <w:pPr>
        <w:autoSpaceDE w:val="0"/>
        <w:autoSpaceDN w:val="0"/>
        <w:adjustRightInd w:val="0"/>
        <w:snapToGrid w:val="0"/>
        <w:spacing w:beforeLines="50" w:before="156" w:afterLines="50" w:after="156" w:line="480" w:lineRule="auto"/>
        <w:rPr>
          <w:rFonts w:ascii="Times New Roman" w:hAnsi="Times New Roman"/>
          <w:color w:val="333333"/>
          <w:sz w:val="24"/>
          <w:shd w:val="clear" w:color="auto" w:fill="FFFFFF"/>
        </w:rPr>
      </w:pPr>
      <w:r w:rsidRPr="0009739C">
        <w:rPr>
          <w:rFonts w:ascii="Times New Roman" w:eastAsia="AdvGulliv-R" w:hAnsi="Times New Roman"/>
          <w:b/>
          <w:kern w:val="0"/>
          <w:sz w:val="24"/>
        </w:rPr>
        <w:t>Contrast-enhanced CT:</w:t>
      </w:r>
    </w:p>
    <w:p w14:paraId="3A90A9E3" w14:textId="77777777" w:rsidR="001A4053" w:rsidRPr="0009739C" w:rsidRDefault="001A4053" w:rsidP="000113AD">
      <w:pPr>
        <w:autoSpaceDE w:val="0"/>
        <w:autoSpaceDN w:val="0"/>
        <w:adjustRightInd w:val="0"/>
        <w:snapToGrid w:val="0"/>
        <w:spacing w:beforeLines="50" w:before="156" w:afterLines="50" w:after="156" w:line="480" w:lineRule="auto"/>
        <w:rPr>
          <w:rFonts w:ascii="Times New Roman" w:hAnsi="Times New Roman"/>
          <w:color w:val="333333"/>
          <w:sz w:val="24"/>
          <w:shd w:val="clear" w:color="auto" w:fill="FFFFFF"/>
        </w:rPr>
      </w:pPr>
      <w:r w:rsidRPr="0009739C">
        <w:rPr>
          <w:rFonts w:ascii="Times New Roman" w:eastAsia="AdvGulliv-R" w:hAnsi="Times New Roman"/>
          <w:kern w:val="0"/>
          <w:sz w:val="24"/>
        </w:rPr>
        <w:t xml:space="preserve">CT examination was conducted with a MDCT (Cohort 1, SOMATOM Definition AS+ &amp; Dual Energy Force, Siemens, </w:t>
      </w:r>
      <w:proofErr w:type="spellStart"/>
      <w:r w:rsidRPr="0009739C">
        <w:rPr>
          <w:rFonts w:ascii="Times New Roman" w:eastAsia="AdvGulliv-R" w:hAnsi="Times New Roman"/>
          <w:kern w:val="0"/>
          <w:sz w:val="24"/>
        </w:rPr>
        <w:t>Forchheim</w:t>
      </w:r>
      <w:proofErr w:type="spellEnd"/>
      <w:r w:rsidRPr="0009739C">
        <w:rPr>
          <w:rFonts w:ascii="Times New Roman" w:eastAsia="AdvGulliv-R" w:hAnsi="Times New Roman"/>
          <w:kern w:val="0"/>
          <w:sz w:val="24"/>
        </w:rPr>
        <w:t xml:space="preserve">, Germany; Cohort 2, Revolution CT, GE Healthcare, Waukesha, Wisconsin, US; Cohort 3, </w:t>
      </w:r>
      <w:proofErr w:type="spellStart"/>
      <w:r w:rsidRPr="0009739C">
        <w:rPr>
          <w:rFonts w:ascii="Times New Roman" w:eastAsia="AdvGulliv-R" w:hAnsi="Times New Roman"/>
          <w:kern w:val="0"/>
          <w:sz w:val="24"/>
        </w:rPr>
        <w:t>iCT</w:t>
      </w:r>
      <w:proofErr w:type="spellEnd"/>
      <w:r w:rsidRPr="0009739C">
        <w:rPr>
          <w:rFonts w:ascii="Times New Roman" w:eastAsia="AdvGulliv-R" w:hAnsi="Times New Roman"/>
          <w:kern w:val="0"/>
          <w:sz w:val="24"/>
        </w:rPr>
        <w:t xml:space="preserve">, Philips Healthcare, Amsterdam, Netherlands) in three institutions before the surgical treatment. </w:t>
      </w:r>
      <w:proofErr w:type="spellStart"/>
      <w:r w:rsidRPr="0009739C">
        <w:rPr>
          <w:rFonts w:ascii="Times New Roman" w:eastAsia="AdvGulliv-R" w:hAnsi="Times New Roman"/>
          <w:kern w:val="0"/>
          <w:sz w:val="24"/>
        </w:rPr>
        <w:t>Precontrast</w:t>
      </w:r>
      <w:proofErr w:type="spellEnd"/>
      <w:r w:rsidRPr="0009739C">
        <w:rPr>
          <w:rFonts w:ascii="Times New Roman" w:eastAsia="AdvGulliv-R" w:hAnsi="Times New Roman"/>
          <w:kern w:val="0"/>
          <w:sz w:val="24"/>
        </w:rPr>
        <w:t xml:space="preserve"> CT scans were obtained before contrast media injection. Non-ionic contrast medium (</w:t>
      </w:r>
      <w:proofErr w:type="spellStart"/>
      <w:r w:rsidRPr="0009739C">
        <w:rPr>
          <w:rFonts w:ascii="Times New Roman" w:eastAsia="AdvGulliv-R" w:hAnsi="Times New Roman"/>
          <w:kern w:val="0"/>
          <w:sz w:val="24"/>
        </w:rPr>
        <w:t>Ultravist</w:t>
      </w:r>
      <w:proofErr w:type="spellEnd"/>
      <w:r w:rsidRPr="0009739C">
        <w:rPr>
          <w:rFonts w:ascii="Times New Roman" w:eastAsia="AdvGulliv-R" w:hAnsi="Times New Roman"/>
          <w:kern w:val="0"/>
          <w:sz w:val="24"/>
        </w:rPr>
        <w:t xml:space="preserve">; 300 </w:t>
      </w:r>
      <w:proofErr w:type="spellStart"/>
      <w:r w:rsidRPr="0009739C">
        <w:rPr>
          <w:rFonts w:ascii="Times New Roman" w:eastAsia="AdvGulliv-R" w:hAnsi="Times New Roman"/>
          <w:kern w:val="0"/>
          <w:sz w:val="24"/>
        </w:rPr>
        <w:t>mgI</w:t>
      </w:r>
      <w:proofErr w:type="spellEnd"/>
      <w:r w:rsidRPr="0009739C">
        <w:rPr>
          <w:rFonts w:ascii="Times New Roman" w:eastAsia="AdvGulliv-R" w:hAnsi="Times New Roman"/>
          <w:kern w:val="0"/>
          <w:sz w:val="24"/>
        </w:rPr>
        <w:t xml:space="preserve">/mL, Bayer, Berlin, Germany) was injected into the antecubital vein with a dose of 60-110 ml (1.5 ml per kilogram of body weight) and an average injection rate of 3.0 ml/s through a venous indwelling needle (20 or 22 gauge). By using the automated scan-triggering software (Care-Bolus; Siemens Medical Systems, Iselin, NJ), the arterial phase and portal venous phase scan started automatically with a 15 s delay and a 50 s delay after the attenuation value of abdominal aorta reached 100 HU, respectively. After the acquisition of the portal venous phase images, delayed phase images were acquired with a delay of 180 s. CT scans were obtained at a </w:t>
      </w:r>
      <w:bookmarkStart w:id="0" w:name="OLE_LINK1"/>
      <w:r w:rsidRPr="0009739C">
        <w:rPr>
          <w:rFonts w:ascii="Times New Roman" w:eastAsia="AdvGulliv-R" w:hAnsi="Times New Roman"/>
          <w:kern w:val="0"/>
          <w:sz w:val="24"/>
        </w:rPr>
        <w:t>tube current-time product</w:t>
      </w:r>
      <w:bookmarkEnd w:id="0"/>
      <w:r w:rsidRPr="0009739C">
        <w:rPr>
          <w:rFonts w:ascii="Times New Roman" w:eastAsia="AdvGulliv-R" w:hAnsi="Times New Roman"/>
          <w:kern w:val="0"/>
          <w:sz w:val="24"/>
        </w:rPr>
        <w:t xml:space="preserve"> of 180mAs and a peak voltage of 120kVp. Whole-liver scanning was completed in 4 to 8seconds while patients held their breath. Images were reconstructed with a 5 mm slice thickness. </w:t>
      </w:r>
    </w:p>
    <w:p w14:paraId="5AD22F5F" w14:textId="77777777" w:rsidR="001A4053" w:rsidRPr="0009739C" w:rsidRDefault="001A4053" w:rsidP="000113AD">
      <w:pPr>
        <w:autoSpaceDE w:val="0"/>
        <w:autoSpaceDN w:val="0"/>
        <w:adjustRightInd w:val="0"/>
        <w:snapToGrid w:val="0"/>
        <w:spacing w:beforeLines="50" w:before="156" w:afterLines="50" w:after="156" w:line="480" w:lineRule="auto"/>
        <w:rPr>
          <w:rFonts w:ascii="Times New Roman" w:hAnsi="Times New Roman"/>
          <w:color w:val="333333"/>
          <w:sz w:val="24"/>
          <w:shd w:val="clear" w:color="auto" w:fill="FFFFFF"/>
        </w:rPr>
      </w:pPr>
      <w:r w:rsidRPr="0009739C">
        <w:rPr>
          <w:rFonts w:ascii="Times New Roman" w:eastAsia="AdvGulliv-R" w:hAnsi="Times New Roman"/>
          <w:b/>
          <w:bCs/>
          <w:kern w:val="0"/>
          <w:sz w:val="24"/>
        </w:rPr>
        <w:t xml:space="preserve">Gd-based contrast-enhanced MRI </w:t>
      </w:r>
    </w:p>
    <w:p w14:paraId="4C703B68" w14:textId="77777777" w:rsidR="001A4053" w:rsidRPr="0009739C" w:rsidRDefault="001A4053" w:rsidP="000113AD">
      <w:pPr>
        <w:autoSpaceDE w:val="0"/>
        <w:autoSpaceDN w:val="0"/>
        <w:adjustRightInd w:val="0"/>
        <w:snapToGrid w:val="0"/>
        <w:spacing w:beforeLines="50" w:before="156" w:afterLines="50" w:after="156" w:line="480" w:lineRule="auto"/>
        <w:rPr>
          <w:rFonts w:ascii="Times New Roman" w:eastAsia="AdvGulliv-R" w:hAnsi="Times New Roman"/>
          <w:kern w:val="0"/>
          <w:sz w:val="24"/>
        </w:rPr>
      </w:pPr>
      <w:r w:rsidRPr="0009739C">
        <w:rPr>
          <w:rFonts w:ascii="Times New Roman" w:eastAsia="AdvGulliv-R" w:hAnsi="Times New Roman"/>
          <w:kern w:val="0"/>
          <w:sz w:val="24"/>
        </w:rPr>
        <w:t>354 patients were examined on a 1.5T MR scanner (</w:t>
      </w:r>
      <w:proofErr w:type="spellStart"/>
      <w:r w:rsidRPr="0009739C">
        <w:rPr>
          <w:rFonts w:ascii="Times New Roman" w:eastAsia="AdvGulliv-R" w:hAnsi="Times New Roman"/>
          <w:kern w:val="0"/>
          <w:sz w:val="24"/>
        </w:rPr>
        <w:t>HDxt</w:t>
      </w:r>
      <w:proofErr w:type="spellEnd"/>
      <w:r w:rsidRPr="0009739C">
        <w:rPr>
          <w:rFonts w:ascii="Times New Roman" w:eastAsia="AdvGulliv-R" w:hAnsi="Times New Roman"/>
          <w:kern w:val="0"/>
          <w:sz w:val="24"/>
        </w:rPr>
        <w:t xml:space="preserve"> Signa, GE medical system, USA) and a 3.0 T MR scanner (Skyra, Siemens Healthcare). The Gd-EOB-DTPA MRI of the liver in our institute were performed with the following sequences</w:t>
      </w:r>
      <w:r w:rsidRPr="0009739C">
        <w:rPr>
          <w:rFonts w:ascii="Times New Roman" w:eastAsia="等线" w:hAnsi="Times New Roman"/>
          <w:kern w:val="0"/>
          <w:sz w:val="24"/>
        </w:rPr>
        <w:t>:</w:t>
      </w:r>
      <w:r w:rsidRPr="0009739C">
        <w:rPr>
          <w:rFonts w:ascii="Times New Roman" w:eastAsia="AdvGulliv-R" w:hAnsi="Times New Roman"/>
          <w:kern w:val="0"/>
          <w:sz w:val="24"/>
        </w:rPr>
        <w:t xml:space="preserve"> axial T1-</w:t>
      </w:r>
      <w:r w:rsidRPr="0009739C">
        <w:rPr>
          <w:rFonts w:ascii="Times New Roman" w:eastAsia="AdvGulliv-R" w:hAnsi="Times New Roman"/>
          <w:kern w:val="0"/>
          <w:sz w:val="24"/>
        </w:rPr>
        <w:lastRenderedPageBreak/>
        <w:t>weighted dual-echo in-phase and opposed-phase gradient-echo (GRE) sequence and T2-weighted single-shot fast spin echo sequence (SS-FSE). A single-shot echo-planar imaging sequence (b-value of 0 and 800 s/mm</w:t>
      </w:r>
      <w:r w:rsidRPr="0009739C">
        <w:rPr>
          <w:rFonts w:ascii="Times New Roman" w:eastAsia="AdvGulliv-R" w:hAnsi="Times New Roman"/>
          <w:kern w:val="0"/>
          <w:sz w:val="24"/>
          <w:vertAlign w:val="superscript"/>
        </w:rPr>
        <w:t>2</w:t>
      </w:r>
      <w:r w:rsidRPr="0009739C">
        <w:rPr>
          <w:rFonts w:ascii="Times New Roman" w:eastAsia="AdvGulliv-R" w:hAnsi="Times New Roman"/>
          <w:kern w:val="0"/>
          <w:sz w:val="24"/>
        </w:rPr>
        <w:t>) was used to obtain diffusion-weighted imaging (DWI). Finally, a total of 0.025 mmol/kg of Gd-EOB-DTPA (</w:t>
      </w:r>
      <w:proofErr w:type="spellStart"/>
      <w:r w:rsidRPr="0009739C">
        <w:rPr>
          <w:rFonts w:ascii="Times New Roman" w:eastAsia="AdvGulliv-R" w:hAnsi="Times New Roman"/>
          <w:kern w:val="0"/>
          <w:sz w:val="24"/>
        </w:rPr>
        <w:t>Primovist</w:t>
      </w:r>
      <w:proofErr w:type="spellEnd"/>
      <w:r w:rsidRPr="0009739C">
        <w:rPr>
          <w:rFonts w:ascii="Times New Roman" w:eastAsia="AdvGulliv-R" w:hAnsi="Times New Roman"/>
          <w:kern w:val="0"/>
          <w:sz w:val="24"/>
        </w:rPr>
        <w:t>; Bayer, Berlin, Germany) or 0.1 mmol/kg Gd-DTPA (</w:t>
      </w:r>
      <w:proofErr w:type="spellStart"/>
      <w:r w:rsidRPr="0009739C">
        <w:rPr>
          <w:rFonts w:ascii="Times New Roman" w:eastAsia="AdvGulliv-R" w:hAnsi="Times New Roman"/>
          <w:kern w:val="0"/>
          <w:sz w:val="24"/>
        </w:rPr>
        <w:t>Magnevist</w:t>
      </w:r>
      <w:proofErr w:type="spellEnd"/>
      <w:r w:rsidRPr="0009739C">
        <w:rPr>
          <w:rFonts w:ascii="Times New Roman" w:eastAsia="AdvGulliv-R" w:hAnsi="Times New Roman"/>
          <w:kern w:val="0"/>
          <w:sz w:val="24"/>
        </w:rPr>
        <w:t>, Bayer, Berlin, Germany)</w:t>
      </w:r>
      <w:r w:rsidRPr="0009739C">
        <w:rPr>
          <w:rFonts w:ascii="Times New Roman" w:hAnsi="Times New Roman"/>
          <w:kern w:val="0"/>
          <w:sz w:val="24"/>
        </w:rPr>
        <w:t xml:space="preserve"> </w:t>
      </w:r>
      <w:r w:rsidRPr="0009739C">
        <w:rPr>
          <w:rFonts w:ascii="Times New Roman" w:eastAsia="AdvGulliv-R" w:hAnsi="Times New Roman"/>
          <w:kern w:val="0"/>
          <w:sz w:val="24"/>
        </w:rPr>
        <w:t xml:space="preserve">was injected via the antecubital vein at a rate of 2.0 to 3.0 mL/s and followed by a 20-ml saline flush. Breath-hold serial axial T1-weighted 3D spoiled GRE fat-suppressed images with slice interpolation was repeated before and after the injection of Gd-based contrast agents. In addition to a pre-contrast acquisition, the dynamic imaging phases including arterial phase (AP), porta-venous phase (PVP), the transitional phase (TP) and hepatobiliary phase (HBP) were obtained </w:t>
      </w:r>
      <w:r w:rsidRPr="0009739C">
        <w:rPr>
          <w:rFonts w:ascii="Times New Roman" w:eastAsia="等线" w:hAnsi="Times New Roman"/>
          <w:kern w:val="0"/>
          <w:sz w:val="24"/>
        </w:rPr>
        <w:t>at</w:t>
      </w:r>
      <w:r w:rsidRPr="0009739C">
        <w:rPr>
          <w:rFonts w:ascii="Times New Roman" w:eastAsia="AdvGulliv-R" w:hAnsi="Times New Roman"/>
          <w:kern w:val="0"/>
          <w:sz w:val="24"/>
        </w:rPr>
        <w:t xml:space="preserve"> 20 sec, 45 sec, 3 min, and 15 min after the agent injection, respectively.</w:t>
      </w:r>
    </w:p>
    <w:p w14:paraId="14DC2631" w14:textId="669DF566" w:rsidR="001A4053" w:rsidRPr="0009739C" w:rsidRDefault="001A4053" w:rsidP="000113AD">
      <w:pPr>
        <w:spacing w:beforeLines="100" w:before="312" w:after="240" w:line="480" w:lineRule="auto"/>
        <w:rPr>
          <w:rFonts w:ascii="Times New Roman" w:eastAsiaTheme="minorEastAsia" w:hAnsi="Times New Roman"/>
          <w:b/>
          <w:bCs/>
          <w:i/>
          <w:iCs/>
          <w:kern w:val="0"/>
          <w:sz w:val="24"/>
        </w:rPr>
      </w:pPr>
      <w:bookmarkStart w:id="1" w:name="_Hlk92870051"/>
      <w:r w:rsidRPr="0009739C">
        <w:rPr>
          <w:rFonts w:ascii="Times New Roman" w:eastAsiaTheme="minorEastAsia" w:hAnsi="Times New Roman"/>
          <w:b/>
          <w:bCs/>
          <w:i/>
          <w:iCs/>
          <w:kern w:val="0"/>
          <w:sz w:val="24"/>
        </w:rPr>
        <w:t>Supplemental figure legends:</w:t>
      </w:r>
    </w:p>
    <w:p w14:paraId="5CB1DB39" w14:textId="514F1DB3" w:rsidR="001A4053" w:rsidRPr="0009739C" w:rsidRDefault="001A4053" w:rsidP="000113AD">
      <w:pPr>
        <w:spacing w:beforeLines="100" w:before="312" w:after="240" w:line="480" w:lineRule="auto"/>
        <w:rPr>
          <w:rFonts w:ascii="Times New Roman" w:eastAsiaTheme="minorEastAsia" w:hAnsi="Times New Roman"/>
          <w:kern w:val="0"/>
          <w:sz w:val="24"/>
        </w:rPr>
      </w:pPr>
      <w:r w:rsidRPr="0009739C">
        <w:rPr>
          <w:rFonts w:ascii="Times New Roman" w:eastAsiaTheme="minorEastAsia" w:hAnsi="Times New Roman"/>
          <w:b/>
          <w:bCs/>
          <w:color w:val="FF0000"/>
          <w:kern w:val="0"/>
          <w:sz w:val="24"/>
        </w:rPr>
        <w:t xml:space="preserve">Suppl fig. 1. </w:t>
      </w:r>
      <w:r w:rsidRPr="0009739C">
        <w:rPr>
          <w:rFonts w:ascii="Times New Roman" w:eastAsiaTheme="minorEastAsia" w:hAnsi="Times New Roman"/>
          <w:b/>
          <w:bCs/>
          <w:kern w:val="0"/>
          <w:sz w:val="24"/>
        </w:rPr>
        <w:t xml:space="preserve">The flowchart of the pipeline for </w:t>
      </w:r>
      <w:r w:rsidRPr="0009739C">
        <w:rPr>
          <w:rFonts w:ascii="Times New Roman" w:eastAsia="等线" w:hAnsi="Times New Roman"/>
          <w:b/>
          <w:bCs/>
          <w:kern w:val="0"/>
          <w:sz w:val="24"/>
        </w:rPr>
        <w:t xml:space="preserve">Liver </w:t>
      </w:r>
      <w:r w:rsidR="0009739C">
        <w:rPr>
          <w:rFonts w:ascii="Times New Roman" w:eastAsia="等线" w:hAnsi="Times New Roman"/>
          <w:b/>
          <w:bCs/>
          <w:kern w:val="0"/>
          <w:sz w:val="24"/>
        </w:rPr>
        <w:t xml:space="preserve">Tumor </w:t>
      </w:r>
      <w:r w:rsidRPr="0009739C">
        <w:rPr>
          <w:rFonts w:ascii="Times New Roman" w:eastAsia="等线" w:hAnsi="Times New Roman"/>
          <w:b/>
          <w:bCs/>
          <w:kern w:val="0"/>
          <w:sz w:val="24"/>
        </w:rPr>
        <w:t>Imaging Staging</w:t>
      </w:r>
      <w:r w:rsidRPr="0009739C">
        <w:rPr>
          <w:rFonts w:ascii="Times New Roman" w:eastAsiaTheme="minorEastAsia" w:hAnsi="Times New Roman"/>
          <w:b/>
          <w:bCs/>
          <w:kern w:val="0"/>
          <w:sz w:val="24"/>
        </w:rPr>
        <w:t xml:space="preserve"> (L</w:t>
      </w:r>
      <w:r w:rsidR="0009739C">
        <w:rPr>
          <w:rFonts w:ascii="Times New Roman" w:eastAsiaTheme="minorEastAsia" w:hAnsi="Times New Roman"/>
          <w:b/>
          <w:bCs/>
          <w:kern w:val="0"/>
          <w:sz w:val="24"/>
        </w:rPr>
        <w:t>T</w:t>
      </w:r>
      <w:r w:rsidRPr="0009739C">
        <w:rPr>
          <w:rFonts w:ascii="Times New Roman" w:eastAsiaTheme="minorEastAsia" w:hAnsi="Times New Roman"/>
          <w:b/>
          <w:bCs/>
          <w:kern w:val="0"/>
          <w:sz w:val="24"/>
        </w:rPr>
        <w:t xml:space="preserve">IS) tool development. </w:t>
      </w:r>
      <w:r w:rsidRPr="0009739C">
        <w:rPr>
          <w:rFonts w:ascii="Times New Roman" w:eastAsiaTheme="minorEastAsia" w:hAnsi="Times New Roman"/>
          <w:kern w:val="0"/>
          <w:sz w:val="24"/>
        </w:rPr>
        <w:t xml:space="preserve">In first stage, individual images within the derivation cohort of study are interpreted by a panel of radiologists (a). This first-stage procedure produces an expert-based structural report for HCC (b). Subsequently, in second stage, the dedicative imaging features are modelled with a multivariate regression analysis approach, and the factors significantly connected to HCC aggressiveness are selected and clustered (c). In last step, the findings of the regression analysis are simplified and presented as a decision tree and a </w:t>
      </w:r>
      <w:r w:rsidRPr="0009739C">
        <w:rPr>
          <w:rFonts w:ascii="Times New Roman" w:eastAsia="等线" w:hAnsi="Times New Roman"/>
          <w:kern w:val="0"/>
          <w:sz w:val="24"/>
        </w:rPr>
        <w:t>five-score diagnostic</w:t>
      </w:r>
      <w:r w:rsidRPr="0009739C">
        <w:rPr>
          <w:rFonts w:ascii="Times New Roman" w:eastAsiaTheme="minorEastAsia" w:hAnsi="Times New Roman"/>
          <w:kern w:val="0"/>
          <w:sz w:val="24"/>
        </w:rPr>
        <w:t xml:space="preserve"> scheme (d), which is intuitive and easier for the interpretation of HCC aggressiveness. </w:t>
      </w:r>
    </w:p>
    <w:p w14:paraId="1D0151C8" w14:textId="0A151A48" w:rsidR="001A4053" w:rsidRPr="0009739C" w:rsidRDefault="001A4053" w:rsidP="000113AD">
      <w:pPr>
        <w:autoSpaceDE w:val="0"/>
        <w:autoSpaceDN w:val="0"/>
        <w:adjustRightInd w:val="0"/>
        <w:snapToGrid w:val="0"/>
        <w:spacing w:beforeLines="50" w:before="156" w:afterLines="50" w:after="156" w:line="480" w:lineRule="auto"/>
        <w:rPr>
          <w:rFonts w:ascii="Times New Roman" w:eastAsiaTheme="minorEastAsia" w:hAnsi="Times New Roman"/>
          <w:b/>
          <w:color w:val="FF0000"/>
          <w:kern w:val="0"/>
          <w:sz w:val="24"/>
        </w:rPr>
      </w:pPr>
    </w:p>
    <w:p w14:paraId="56AB1742" w14:textId="77777777" w:rsidR="001A4053" w:rsidRDefault="001A4053" w:rsidP="000113AD">
      <w:pPr>
        <w:autoSpaceDE w:val="0"/>
        <w:autoSpaceDN w:val="0"/>
        <w:adjustRightInd w:val="0"/>
        <w:snapToGrid w:val="0"/>
        <w:spacing w:beforeLines="50" w:before="156" w:afterLines="50" w:after="156" w:line="480" w:lineRule="auto"/>
        <w:rPr>
          <w:rFonts w:ascii="Times New Roman" w:eastAsiaTheme="minorEastAsia" w:hAnsi="Times New Roman"/>
          <w:b/>
          <w:kern w:val="0"/>
          <w:sz w:val="24"/>
        </w:rPr>
      </w:pPr>
      <w:r w:rsidRPr="0009739C">
        <w:rPr>
          <w:rFonts w:ascii="Times New Roman" w:eastAsia="AdvGulliv-R" w:hAnsi="Times New Roman"/>
          <w:b/>
          <w:color w:val="FF0000"/>
          <w:kern w:val="0"/>
          <w:sz w:val="24"/>
        </w:rPr>
        <w:t>Suppl fig. 2.</w:t>
      </w:r>
      <w:r w:rsidRPr="0009739C">
        <w:rPr>
          <w:rFonts w:ascii="Times New Roman" w:eastAsia="AdvGulliv-R" w:hAnsi="Times New Roman"/>
          <w:b/>
          <w:kern w:val="0"/>
          <w:sz w:val="24"/>
        </w:rPr>
        <w:t xml:space="preserve"> The incidence of tumor PG1 to PG3 stratified by LTIS assignment in center 1 (a), center 2 (b) and center 3 (c). </w:t>
      </w:r>
      <w:bookmarkEnd w:id="1"/>
    </w:p>
    <w:p w14:paraId="0DB8CD37" w14:textId="36781D02" w:rsidR="00BD1B6D" w:rsidRPr="00BD1B6D" w:rsidRDefault="00BD1B6D" w:rsidP="000113AD">
      <w:pPr>
        <w:autoSpaceDE w:val="0"/>
        <w:autoSpaceDN w:val="0"/>
        <w:adjustRightInd w:val="0"/>
        <w:snapToGrid w:val="0"/>
        <w:spacing w:beforeLines="50" w:before="156" w:afterLines="50" w:after="156" w:line="480" w:lineRule="auto"/>
        <w:rPr>
          <w:rFonts w:ascii="Times New Roman" w:eastAsiaTheme="minorEastAsia" w:hAnsi="Times New Roman" w:hint="eastAsia"/>
          <w:b/>
          <w:kern w:val="0"/>
          <w:sz w:val="24"/>
        </w:rPr>
      </w:pPr>
      <w:r w:rsidRPr="0009739C">
        <w:rPr>
          <w:rFonts w:ascii="Times New Roman" w:eastAsia="AdvGulliv-R" w:hAnsi="Times New Roman"/>
          <w:b/>
          <w:color w:val="FF0000"/>
          <w:kern w:val="0"/>
          <w:sz w:val="24"/>
        </w:rPr>
        <w:t xml:space="preserve">Suppl fig. </w:t>
      </w:r>
      <w:r w:rsidRPr="00BD1B6D">
        <w:rPr>
          <w:rFonts w:ascii="Times New Roman" w:eastAsia="AdvGulliv-R" w:hAnsi="Times New Roman" w:hint="eastAsia"/>
          <w:b/>
          <w:color w:val="FF0000"/>
          <w:kern w:val="0"/>
          <w:sz w:val="24"/>
        </w:rPr>
        <w:t>3</w:t>
      </w:r>
      <w:r w:rsidRPr="0009739C">
        <w:rPr>
          <w:rFonts w:ascii="Times New Roman" w:eastAsia="AdvGulliv-R" w:hAnsi="Times New Roman"/>
          <w:b/>
          <w:color w:val="FF0000"/>
          <w:kern w:val="0"/>
          <w:sz w:val="24"/>
        </w:rPr>
        <w:t>.</w:t>
      </w:r>
      <w:r>
        <w:rPr>
          <w:rFonts w:ascii="Times New Roman" w:eastAsiaTheme="minorEastAsia" w:hAnsi="Times New Roman" w:hint="eastAsia"/>
          <w:b/>
          <w:color w:val="FF0000"/>
          <w:kern w:val="0"/>
          <w:sz w:val="24"/>
        </w:rPr>
        <w:t xml:space="preserve"> </w:t>
      </w:r>
      <w:r>
        <w:rPr>
          <w:rFonts w:ascii="Times New Roman" w:eastAsia="AdvGulliv-R" w:hAnsi="Times New Roman"/>
          <w:b/>
          <w:kern w:val="0"/>
          <w:sz w:val="24"/>
        </w:rPr>
        <w:t>Forest plots of RFS (a) and OS (b) with a Cox’s proportional hazard analysis of clinical variables, L</w:t>
      </w:r>
      <w:r>
        <w:rPr>
          <w:rFonts w:ascii="Times New Roman" w:hAnsi="Times New Roman" w:hint="eastAsia"/>
          <w:b/>
          <w:kern w:val="0"/>
          <w:sz w:val="24"/>
        </w:rPr>
        <w:t>T</w:t>
      </w:r>
      <w:r>
        <w:rPr>
          <w:rFonts w:ascii="Times New Roman" w:eastAsia="AdvGulliv-R" w:hAnsi="Times New Roman"/>
          <w:b/>
          <w:kern w:val="0"/>
          <w:sz w:val="24"/>
        </w:rPr>
        <w:t xml:space="preserve">IS score, AJCC stage and histopathological aggressive grade. </w:t>
      </w:r>
      <w:r>
        <w:rPr>
          <w:rFonts w:ascii="Times New Roman" w:eastAsiaTheme="minorEastAsia" w:hAnsi="Times New Roman"/>
          <w:kern w:val="0"/>
          <w:sz w:val="24"/>
        </w:rPr>
        <w:t xml:space="preserve">RFS = recurrence-free survival; OS = overall survival. *, </w:t>
      </w:r>
      <w:r>
        <w:rPr>
          <w:rFonts w:ascii="Times New Roman" w:eastAsiaTheme="minorEastAsia" w:hAnsi="Times New Roman"/>
          <w:i/>
          <w:kern w:val="0"/>
          <w:sz w:val="24"/>
        </w:rPr>
        <w:t>p</w:t>
      </w:r>
      <w:r>
        <w:rPr>
          <w:rFonts w:ascii="Times New Roman" w:eastAsiaTheme="minorEastAsia" w:hAnsi="Times New Roman"/>
          <w:kern w:val="0"/>
          <w:sz w:val="24"/>
        </w:rPr>
        <w:t xml:space="preserve"> &lt; 0.05; **, </w:t>
      </w:r>
      <w:r>
        <w:rPr>
          <w:rFonts w:ascii="Times New Roman" w:eastAsiaTheme="minorEastAsia" w:hAnsi="Times New Roman"/>
          <w:i/>
          <w:kern w:val="0"/>
          <w:sz w:val="24"/>
        </w:rPr>
        <w:t>p</w:t>
      </w:r>
      <w:r>
        <w:rPr>
          <w:rFonts w:ascii="Times New Roman" w:eastAsiaTheme="minorEastAsia" w:hAnsi="Times New Roman"/>
          <w:kern w:val="0"/>
          <w:sz w:val="24"/>
        </w:rPr>
        <w:t xml:space="preserve"> &lt; 0.01; ***, </w:t>
      </w:r>
      <w:r>
        <w:rPr>
          <w:rFonts w:ascii="Times New Roman" w:eastAsiaTheme="minorEastAsia" w:hAnsi="Times New Roman"/>
          <w:i/>
          <w:kern w:val="0"/>
          <w:sz w:val="24"/>
        </w:rPr>
        <w:t>p</w:t>
      </w:r>
      <w:r>
        <w:rPr>
          <w:rFonts w:ascii="Times New Roman" w:eastAsiaTheme="minorEastAsia" w:hAnsi="Times New Roman"/>
          <w:kern w:val="0"/>
          <w:sz w:val="24"/>
        </w:rPr>
        <w:t xml:space="preserve"> &lt; 0.001.</w:t>
      </w:r>
    </w:p>
    <w:p w14:paraId="7CA82241" w14:textId="77777777" w:rsidR="001A4053" w:rsidRPr="0009739C" w:rsidRDefault="001A4053" w:rsidP="001A4053">
      <w:pPr>
        <w:autoSpaceDE w:val="0"/>
        <w:autoSpaceDN w:val="0"/>
        <w:adjustRightInd w:val="0"/>
        <w:jc w:val="left"/>
        <w:rPr>
          <w:rFonts w:ascii="Times New Roman" w:hAnsi="Times New Roman"/>
          <w:kern w:val="0"/>
          <w:sz w:val="17"/>
          <w:szCs w:val="17"/>
        </w:rPr>
      </w:pPr>
    </w:p>
    <w:p w14:paraId="59370B4D" w14:textId="77777777" w:rsidR="001A4053" w:rsidRPr="0009739C" w:rsidRDefault="001A4053" w:rsidP="001A4053">
      <w:pPr>
        <w:autoSpaceDE w:val="0"/>
        <w:autoSpaceDN w:val="0"/>
        <w:adjustRightInd w:val="0"/>
        <w:snapToGrid w:val="0"/>
        <w:spacing w:beforeLines="100" w:before="312" w:afterLines="100" w:after="312"/>
        <w:rPr>
          <w:rFonts w:ascii="Times New Roman" w:eastAsiaTheme="minorEastAsia" w:hAnsi="Times New Roman"/>
          <w:color w:val="000000" w:themeColor="text1"/>
          <w:kern w:val="0"/>
          <w:sz w:val="20"/>
          <w:szCs w:val="20"/>
        </w:rPr>
      </w:pPr>
    </w:p>
    <w:p w14:paraId="0523B250" w14:textId="77777777" w:rsidR="00817021" w:rsidRPr="0009739C" w:rsidRDefault="00817021">
      <w:pPr>
        <w:rPr>
          <w:rFonts w:ascii="Times New Roman" w:hAnsi="Times New Roman"/>
        </w:rPr>
      </w:pPr>
    </w:p>
    <w:sectPr w:rsidR="00817021" w:rsidRPr="000973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6327E0" w14:textId="77777777" w:rsidR="00495E82" w:rsidRDefault="00495E82" w:rsidP="000113AD">
      <w:r>
        <w:separator/>
      </w:r>
    </w:p>
  </w:endnote>
  <w:endnote w:type="continuationSeparator" w:id="0">
    <w:p w14:paraId="286F9706" w14:textId="77777777" w:rsidR="00495E82" w:rsidRDefault="00495E82" w:rsidP="000113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dvGulliv-R">
    <w:altName w:val="MS Gothic"/>
    <w:charset w:val="80"/>
    <w:family w:val="auto"/>
    <w:pitch w:val="default"/>
    <w:sig w:usb0="00000000" w:usb1="00000000" w:usb2="00000010" w:usb3="00000000" w:csb0="0002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A232C4" w14:textId="77777777" w:rsidR="00495E82" w:rsidRDefault="00495E82" w:rsidP="000113AD">
      <w:r>
        <w:separator/>
      </w:r>
    </w:p>
  </w:footnote>
  <w:footnote w:type="continuationSeparator" w:id="0">
    <w:p w14:paraId="5F9F9D69" w14:textId="77777777" w:rsidR="00495E82" w:rsidRDefault="00495E82" w:rsidP="000113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053"/>
    <w:rsid w:val="000113AD"/>
    <w:rsid w:val="0009739C"/>
    <w:rsid w:val="001926B9"/>
    <w:rsid w:val="001A4053"/>
    <w:rsid w:val="002D7898"/>
    <w:rsid w:val="00495E82"/>
    <w:rsid w:val="00680346"/>
    <w:rsid w:val="00681FF7"/>
    <w:rsid w:val="00817021"/>
    <w:rsid w:val="00BD1B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312037"/>
  <w15:chartTrackingRefBased/>
  <w15:docId w15:val="{DEA256EE-00CC-47BE-A4FE-3CF5877EA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A4053"/>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113A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113AD"/>
    <w:rPr>
      <w:rFonts w:ascii="Calibri" w:eastAsia="宋体" w:hAnsi="Calibri" w:cs="Times New Roman"/>
      <w:sz w:val="18"/>
      <w:szCs w:val="18"/>
    </w:rPr>
  </w:style>
  <w:style w:type="paragraph" w:styleId="a5">
    <w:name w:val="footer"/>
    <w:basedOn w:val="a"/>
    <w:link w:val="a6"/>
    <w:uiPriority w:val="99"/>
    <w:unhideWhenUsed/>
    <w:rsid w:val="000113AD"/>
    <w:pPr>
      <w:tabs>
        <w:tab w:val="center" w:pos="4153"/>
        <w:tab w:val="right" w:pos="8306"/>
      </w:tabs>
      <w:snapToGrid w:val="0"/>
      <w:jc w:val="left"/>
    </w:pPr>
    <w:rPr>
      <w:sz w:val="18"/>
      <w:szCs w:val="18"/>
    </w:rPr>
  </w:style>
  <w:style w:type="character" w:customStyle="1" w:styleId="a6">
    <w:name w:val="页脚 字符"/>
    <w:basedOn w:val="a0"/>
    <w:link w:val="a5"/>
    <w:uiPriority w:val="99"/>
    <w:rsid w:val="000113AD"/>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557</Words>
  <Characters>3181</Characters>
  <Application>Microsoft Office Word</Application>
  <DocSecurity>0</DocSecurity>
  <Lines>26</Lines>
  <Paragraphs>7</Paragraphs>
  <ScaleCrop>false</ScaleCrop>
  <Company/>
  <LinksUpToDate>false</LinksUpToDate>
  <CharactersWithSpaces>3731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zhangyd</dc:creator>
  <cp:keywords/>
  <dc:description/>
  <cp:lastModifiedBy>xiang li</cp:lastModifiedBy>
  <cp:revision>4</cp:revision>
  <dcterms:created xsi:type="dcterms:W3CDTF">2022-11-21T09:37:00Z</dcterms:created>
  <dcterms:modified xsi:type="dcterms:W3CDTF">2024-09-01T14:57:00Z</dcterms:modified>
</cp:coreProperties>
</file>