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AD5D8" w14:textId="01BEA56A" w:rsidR="0043474F" w:rsidRDefault="004112F7" w:rsidP="004112F7">
      <w:pPr>
        <w:pStyle w:val="Heading1"/>
        <w:rPr>
          <w:lang w:val="en-CA"/>
        </w:rPr>
      </w:pPr>
      <w:r>
        <w:rPr>
          <w:lang w:val="en-CA"/>
        </w:rPr>
        <w:t>Supplementary Material</w:t>
      </w:r>
    </w:p>
    <w:p w14:paraId="6CFF5A09" w14:textId="7A92AC83" w:rsidR="004112F7" w:rsidRDefault="004112F7" w:rsidP="004112F7">
      <w:pPr>
        <w:pStyle w:val="Heading2"/>
        <w:rPr>
          <w:lang w:val="en-CA"/>
        </w:rPr>
      </w:pPr>
      <w:r>
        <w:rPr>
          <w:lang w:val="en-CA"/>
        </w:rPr>
        <w:t>Summary of Tiered Management Triggers for Other Values in the Metlakatla Cumulative Effects Management (CEM) Program</w:t>
      </w:r>
    </w:p>
    <w:p w14:paraId="24874F28" w14:textId="3ABF17C4" w:rsidR="004112F7" w:rsidRDefault="004112F7" w:rsidP="004112F7">
      <w:pPr>
        <w:pStyle w:val="Heading3"/>
        <w:rPr>
          <w:lang w:val="en-CA"/>
        </w:rPr>
      </w:pPr>
      <w:r>
        <w:rPr>
          <w:lang w:val="en-CA"/>
        </w:rPr>
        <w:t>Housing Value (Social/Health Pillar)</w:t>
      </w:r>
    </w:p>
    <w:p w14:paraId="7E30A309" w14:textId="77777777" w:rsidR="004112F7" w:rsidRDefault="004112F7" w:rsidP="004112F7">
      <w:pPr>
        <w:ind w:firstLine="567"/>
      </w:pPr>
      <w:r>
        <w:t xml:space="preserve">The Metlakatla identified housing as a priority value within the social/health pillar in the CEM Program. The focus of this value is on renter households in Prince Rupert because renters typically face greater affordability challenges and a majority of impacts from development to housing will occur off-reserve in the </w:t>
      </w:r>
      <w:r w:rsidRPr="00D8032B">
        <w:t>city</w:t>
      </w:r>
      <w:r>
        <w:t xml:space="preserve"> (Metlakatla Stewardship Society 2019).</w:t>
      </w:r>
      <w:r w:rsidRPr="00D8032B">
        <w:t xml:space="preserve"> </w:t>
      </w:r>
      <w:r>
        <w:t>Housing is measured by the core housing need indicator; a household is in core housing need if its housing fails to meet one or more standards for adequacy (i.e., condition of the home), affordability, and suitability (i.e., crowdedness). The broad desired goal for housing in the Metlakatla CEM Program is “Metlakatla First Nation strives to have all members living in housing which meets their needs in terms of condition, size, and affordability.”</w:t>
      </w:r>
    </w:p>
    <w:p w14:paraId="2AEB93FF" w14:textId="7592478C" w:rsidR="004112F7" w:rsidRDefault="004112F7" w:rsidP="004112F7">
      <w:pPr>
        <w:ind w:firstLine="567"/>
      </w:pPr>
      <w:r>
        <w:t xml:space="preserve">The Metlakatla </w:t>
      </w:r>
      <w:r>
        <w:t>CEM Working Group (</w:t>
      </w:r>
      <w:r>
        <w:t>CEMWG</w:t>
      </w:r>
      <w:r>
        <w:t>)</w:t>
      </w:r>
      <w:r>
        <w:t xml:space="preserve"> decided to choose the “Combined Approach” for setting tiered management triggers for the housing value because it will keep Metlakatla values and priorities at the forefront of the management strategy for housing while being supported by comparative housing data in BC. The CEMWG developed the Combined Approach as a third alternative by merging strengths from the two proposed alternative approaches for setting tiered management triggers for housing. The Metlakatla Values-Based Approach is grounded in Metlakatla’s values and priorities and explicitly accounts for the cumulative effects’ context. The Comparative Baseline Approach used data on historical and current housing from Prince Rupert and other comparable communities that would be considered defensible by housing agencies and potential partners. The critical management trigger was set at a level that aligned with the </w:t>
      </w:r>
      <w:r>
        <w:t>British Columbia (BC)</w:t>
      </w:r>
      <w:r>
        <w:t xml:space="preserve">-wide average for core housing need for non-Indigenous households and the cautionary management trigger was comparable to the long-term incidence of core housing need for non-Indigenous households in Prince Rupert. The cautionary management trigger aligned with Metlakatla’s risk tolerance by allowing for actions to be implemented earlier. The CEMWG recognized that changes in housing do not happen overnight and funding for housing initiatives take time to be acquired, so it is important to start actions early. Another recurrent theme in the evaluation and trade-off discussions was the level of financial and administrative capacity required to bring core housing need back to the standard management zone. </w:t>
      </w:r>
    </w:p>
    <w:p w14:paraId="1BE7AFC6" w14:textId="0B86334C" w:rsidR="004112F7" w:rsidRDefault="004112F7" w:rsidP="004112F7">
      <w:pPr>
        <w:pStyle w:val="Heading3"/>
        <w:rPr>
          <w:lang w:val="en-CA"/>
        </w:rPr>
      </w:pPr>
      <w:r>
        <w:rPr>
          <w:lang w:val="en-CA"/>
        </w:rPr>
        <w:t>Butter Clam Value (Environmental Pillar)</w:t>
      </w:r>
    </w:p>
    <w:p w14:paraId="32F67925" w14:textId="57E2932A" w:rsidR="004112F7" w:rsidRDefault="004112F7" w:rsidP="004112F7">
      <w:pPr>
        <w:ind w:firstLine="567"/>
      </w:pPr>
      <w:r>
        <w:t xml:space="preserve">Butter clams </w:t>
      </w:r>
      <w:r w:rsidRPr="00E5079C">
        <w:t>were</w:t>
      </w:r>
      <w:r>
        <w:t xml:space="preserve"> selected as a priority environmental value in the Metlakatla CEM Program because they are an important localized resource for the Metlakatla, both historically and for </w:t>
      </w:r>
      <w:r>
        <w:t xml:space="preserve">food, social, </w:t>
      </w:r>
      <w:r>
        <w:lastRenderedPageBreak/>
        <w:t>and ceremonial (</w:t>
      </w:r>
      <w:r>
        <w:t>FSC</w:t>
      </w:r>
      <w:r>
        <w:t>)</w:t>
      </w:r>
      <w:r>
        <w:t xml:space="preserve"> purposes, and are sensitive to marine pollution and </w:t>
      </w:r>
      <w:r w:rsidRPr="00D8032B">
        <w:t xml:space="preserve">contamination </w:t>
      </w:r>
      <w:r>
        <w:t>(Metlakatla Stewardship Society 2019). Population density was identified as a condition indicator for butter clams (i.e., individuals/m</w:t>
      </w:r>
      <w:r>
        <w:rPr>
          <w:vertAlign w:val="superscript"/>
        </w:rPr>
        <w:t>2</w:t>
      </w:r>
      <w:r>
        <w:t>). Management trigger levels were set as a percent reduction in population density from a stable population level. A stable population refers to a collectively agreed upon range of mean population densities that is considered “normal” for populations in the area. “Normal” accounts for the natural variability of clam populations and may be beach-specific, as certain characteristics (e.g., harvest level) and environmental conditions (e.g., wave action) can affect the normal range for clam population density. The broad desired goal for butter clams in the Metlakatla CEM Program is “To protect and improve the health and abundance of bivalve populations for the continued harvesting by Metlakatla First Nation.”</w:t>
      </w:r>
    </w:p>
    <w:p w14:paraId="34924F91" w14:textId="0C21D5CC" w:rsidR="004112F7" w:rsidRDefault="004112F7" w:rsidP="004112F7">
      <w:pPr>
        <w:ind w:firstLine="567"/>
      </w:pPr>
      <w:r>
        <w:t xml:space="preserve">The Metlakatla CEMWG selected the “Metlakatla Values-Based Approach” for setting tiered management triggers for the butter clam value because it explicitly accounts for local values and aligns better with Metlakatla’s values, concerns, priorities, and risk tolerance when compared to the other alternative, “Accepted Standards Approach”. The CEMWG had an in-depth discussion about the merits and issues with both approaches in terms of technical defensibility. Although the Accepted Standards Approach is based on an internationally recognized set of standards for species extinction (i.e., </w:t>
      </w:r>
      <w:r>
        <w:t>International Union for the Conservation of Nature (</w:t>
      </w:r>
      <w:r>
        <w:t>IUCN</w:t>
      </w:r>
      <w:r>
        <w:t>)</w:t>
      </w:r>
      <w:r>
        <w:t xml:space="preserve"> standards), these standards were specifically developed for a global scale and might not be suited for a regional or local context. A level of subjectivity is built into both approaches; expert judgment in the Accepted Standards Approach and community perspectives in the Metlakatla Values-Based Approach. Ultimately, participants felt that the IUCN standards were too risky. Given the level of uncertainty about the current condition of butter clam populations, the group did not feel comfortable waiting before enhanced actions are implemented. </w:t>
      </w:r>
    </w:p>
    <w:p w14:paraId="335682A1" w14:textId="446EF383" w:rsidR="004112F7" w:rsidRDefault="004112F7" w:rsidP="004112F7">
      <w:pPr>
        <w:pStyle w:val="Heading2"/>
        <w:rPr>
          <w:lang w:val="en-CA"/>
        </w:rPr>
      </w:pPr>
      <w:r>
        <w:rPr>
          <w:lang w:val="en-CA"/>
        </w:rPr>
        <w:t>Summary of Key Considerations for Setting Tiered Management Triggers and Actions for the FSC Activity Value</w:t>
      </w:r>
    </w:p>
    <w:tbl>
      <w:tblPr>
        <w:tblStyle w:val="TableGrid"/>
        <w:tblW w:w="0" w:type="auto"/>
        <w:tblLook w:val="04A0" w:firstRow="1" w:lastRow="0" w:firstColumn="1" w:lastColumn="0" w:noHBand="0" w:noVBand="1"/>
      </w:tblPr>
      <w:tblGrid>
        <w:gridCol w:w="1980"/>
        <w:gridCol w:w="2693"/>
        <w:gridCol w:w="4677"/>
      </w:tblGrid>
      <w:tr w:rsidR="004112F7" w14:paraId="762F53F4" w14:textId="77777777" w:rsidTr="004112F7">
        <w:tc>
          <w:tcPr>
            <w:tcW w:w="1980" w:type="dxa"/>
          </w:tcPr>
          <w:p w14:paraId="7C443BEF" w14:textId="01346E70" w:rsidR="004112F7" w:rsidRPr="004112F7" w:rsidRDefault="004112F7" w:rsidP="004112F7">
            <w:pPr>
              <w:spacing w:after="0" w:line="240" w:lineRule="auto"/>
              <w:contextualSpacing/>
              <w:rPr>
                <w:b/>
                <w:bCs/>
                <w:lang w:val="en-CA"/>
              </w:rPr>
            </w:pPr>
            <w:r>
              <w:rPr>
                <w:b/>
                <w:bCs/>
                <w:lang w:val="en-CA"/>
              </w:rPr>
              <w:t>Considerations</w:t>
            </w:r>
          </w:p>
        </w:tc>
        <w:tc>
          <w:tcPr>
            <w:tcW w:w="2693" w:type="dxa"/>
          </w:tcPr>
          <w:p w14:paraId="60BC38AF" w14:textId="471D8597" w:rsidR="004112F7" w:rsidRPr="004112F7" w:rsidRDefault="004112F7" w:rsidP="004112F7">
            <w:pPr>
              <w:spacing w:after="0" w:line="240" w:lineRule="auto"/>
              <w:contextualSpacing/>
              <w:rPr>
                <w:b/>
                <w:bCs/>
                <w:lang w:val="en-CA"/>
              </w:rPr>
            </w:pPr>
            <w:r>
              <w:rPr>
                <w:b/>
                <w:bCs/>
                <w:lang w:val="en-CA"/>
              </w:rPr>
              <w:t>Components</w:t>
            </w:r>
          </w:p>
        </w:tc>
        <w:tc>
          <w:tcPr>
            <w:tcW w:w="4677" w:type="dxa"/>
          </w:tcPr>
          <w:p w14:paraId="2FD76AF7" w14:textId="72114D4E" w:rsidR="004112F7" w:rsidRPr="004112F7" w:rsidRDefault="004112F7" w:rsidP="004112F7">
            <w:pPr>
              <w:spacing w:after="0" w:line="240" w:lineRule="auto"/>
              <w:contextualSpacing/>
              <w:rPr>
                <w:b/>
                <w:bCs/>
                <w:lang w:val="en-CA"/>
              </w:rPr>
            </w:pPr>
            <w:r>
              <w:rPr>
                <w:b/>
                <w:bCs/>
                <w:lang w:val="en-CA"/>
              </w:rPr>
              <w:t>Description</w:t>
            </w:r>
          </w:p>
        </w:tc>
      </w:tr>
      <w:tr w:rsidR="004112F7" w14:paraId="02991698" w14:textId="77777777" w:rsidTr="004112F7">
        <w:tc>
          <w:tcPr>
            <w:tcW w:w="1980" w:type="dxa"/>
          </w:tcPr>
          <w:p w14:paraId="10B4A9C2" w14:textId="1F962C81" w:rsidR="004112F7" w:rsidRPr="004112F7" w:rsidRDefault="004112F7" w:rsidP="004112F7">
            <w:pPr>
              <w:spacing w:after="0" w:line="240" w:lineRule="auto"/>
              <w:contextualSpacing/>
              <w:rPr>
                <w:b/>
                <w:bCs/>
                <w:lang w:val="en-CA"/>
              </w:rPr>
            </w:pPr>
            <w:r>
              <w:rPr>
                <w:b/>
                <w:bCs/>
                <w:lang w:val="en-CA"/>
              </w:rPr>
              <w:t>Metlakatla CEM’s Broad Desired Goal</w:t>
            </w:r>
          </w:p>
        </w:tc>
        <w:tc>
          <w:tcPr>
            <w:tcW w:w="7370" w:type="dxa"/>
            <w:gridSpan w:val="2"/>
          </w:tcPr>
          <w:p w14:paraId="45E879E5" w14:textId="3B4DA100" w:rsidR="004112F7" w:rsidRDefault="004112F7" w:rsidP="004112F7">
            <w:pPr>
              <w:spacing w:after="0" w:line="240" w:lineRule="auto"/>
              <w:contextualSpacing/>
              <w:rPr>
                <w:lang w:val="en-CA"/>
              </w:rPr>
            </w:pPr>
            <w:r>
              <w:t xml:space="preserve">To strengthen and protect Metlakatla’s continued participation in important cultural practices for future </w:t>
            </w:r>
            <w:r w:rsidRPr="00D8032B">
              <w:t>generations</w:t>
            </w:r>
            <w:r>
              <w:t xml:space="preserve"> (Metlakatla Stewardship Society 2019).</w:t>
            </w:r>
          </w:p>
        </w:tc>
      </w:tr>
      <w:tr w:rsidR="004112F7" w14:paraId="60832508" w14:textId="77777777" w:rsidTr="004112F7">
        <w:tc>
          <w:tcPr>
            <w:tcW w:w="1980" w:type="dxa"/>
            <w:vMerge w:val="restart"/>
          </w:tcPr>
          <w:p w14:paraId="460474E0" w14:textId="47F2DD57" w:rsidR="004112F7" w:rsidRPr="004112F7" w:rsidRDefault="004112F7" w:rsidP="004112F7">
            <w:pPr>
              <w:spacing w:after="0" w:line="240" w:lineRule="auto"/>
              <w:contextualSpacing/>
              <w:rPr>
                <w:b/>
                <w:bCs/>
                <w:lang w:val="en-CA"/>
              </w:rPr>
            </w:pPr>
            <w:r>
              <w:rPr>
                <w:b/>
                <w:bCs/>
                <w:lang w:val="en-CA"/>
              </w:rPr>
              <w:t>Metlakatla’s Values, Concerns, and Priorities</w:t>
            </w:r>
          </w:p>
        </w:tc>
        <w:tc>
          <w:tcPr>
            <w:tcW w:w="2693" w:type="dxa"/>
          </w:tcPr>
          <w:p w14:paraId="34047CEF" w14:textId="7C53958F" w:rsidR="004112F7" w:rsidRDefault="004112F7" w:rsidP="004112F7">
            <w:pPr>
              <w:spacing w:after="0" w:line="240" w:lineRule="auto"/>
              <w:contextualSpacing/>
              <w:rPr>
                <w:lang w:val="en-CA"/>
              </w:rPr>
            </w:pPr>
            <w:r>
              <w:rPr>
                <w:lang w:val="en-CA"/>
              </w:rPr>
              <w:t>Metlakatla Values</w:t>
            </w:r>
          </w:p>
        </w:tc>
        <w:tc>
          <w:tcPr>
            <w:tcW w:w="4677" w:type="dxa"/>
          </w:tcPr>
          <w:p w14:paraId="2B39B936" w14:textId="3F41459C" w:rsidR="004112F7" w:rsidRDefault="004112F7" w:rsidP="004112F7">
            <w:pPr>
              <w:spacing w:after="0" w:line="240" w:lineRule="auto"/>
              <w:contextualSpacing/>
              <w:rPr>
                <w:lang w:val="en-CA"/>
              </w:rPr>
            </w:pPr>
            <w:r>
              <w:t>FSC participation, particularly for youth, is important for knowledge transfer, continuation of cultural practices, and for self-determination.</w:t>
            </w:r>
          </w:p>
        </w:tc>
      </w:tr>
      <w:tr w:rsidR="004112F7" w14:paraId="330FCB35" w14:textId="77777777" w:rsidTr="004112F7">
        <w:tc>
          <w:tcPr>
            <w:tcW w:w="1980" w:type="dxa"/>
            <w:vMerge/>
          </w:tcPr>
          <w:p w14:paraId="22308AA3" w14:textId="77777777" w:rsidR="004112F7" w:rsidRDefault="004112F7" w:rsidP="004112F7">
            <w:pPr>
              <w:spacing w:after="0" w:line="240" w:lineRule="auto"/>
              <w:contextualSpacing/>
              <w:rPr>
                <w:lang w:val="en-CA"/>
              </w:rPr>
            </w:pPr>
          </w:p>
        </w:tc>
        <w:tc>
          <w:tcPr>
            <w:tcW w:w="2693" w:type="dxa"/>
          </w:tcPr>
          <w:p w14:paraId="3B4343D1" w14:textId="163C8C4F" w:rsidR="004112F7" w:rsidRDefault="004112F7" w:rsidP="004112F7">
            <w:pPr>
              <w:spacing w:after="0" w:line="240" w:lineRule="auto"/>
              <w:contextualSpacing/>
              <w:rPr>
                <w:lang w:val="en-CA"/>
              </w:rPr>
            </w:pPr>
            <w:r>
              <w:rPr>
                <w:lang w:val="en-CA"/>
              </w:rPr>
              <w:t>Metlakatla Concerns</w:t>
            </w:r>
          </w:p>
        </w:tc>
        <w:tc>
          <w:tcPr>
            <w:tcW w:w="4677" w:type="dxa"/>
          </w:tcPr>
          <w:p w14:paraId="1E8D7009" w14:textId="14F71049" w:rsidR="004112F7" w:rsidRDefault="004112F7" w:rsidP="004112F7">
            <w:pPr>
              <w:spacing w:after="0" w:line="240" w:lineRule="auto"/>
              <w:contextualSpacing/>
              <w:rPr>
                <w:lang w:val="en-CA"/>
              </w:rPr>
            </w:pPr>
            <w:r>
              <w:t>Who will participate in FSC activities when Metlakatla Elders are gone? How does Metlakatla overcome barriers to FSC participation for youth and for all community members?</w:t>
            </w:r>
          </w:p>
        </w:tc>
      </w:tr>
      <w:tr w:rsidR="004112F7" w14:paraId="03C09DDA" w14:textId="77777777" w:rsidTr="004112F7">
        <w:tc>
          <w:tcPr>
            <w:tcW w:w="1980" w:type="dxa"/>
            <w:vMerge/>
          </w:tcPr>
          <w:p w14:paraId="7FF38418" w14:textId="77777777" w:rsidR="004112F7" w:rsidRDefault="004112F7" w:rsidP="004112F7">
            <w:pPr>
              <w:spacing w:after="0" w:line="240" w:lineRule="auto"/>
              <w:contextualSpacing/>
              <w:rPr>
                <w:lang w:val="en-CA"/>
              </w:rPr>
            </w:pPr>
          </w:p>
        </w:tc>
        <w:tc>
          <w:tcPr>
            <w:tcW w:w="2693" w:type="dxa"/>
          </w:tcPr>
          <w:p w14:paraId="3C1F96BD" w14:textId="76E4AA6F" w:rsidR="004112F7" w:rsidRDefault="004112F7" w:rsidP="004112F7">
            <w:pPr>
              <w:spacing w:after="0" w:line="240" w:lineRule="auto"/>
              <w:contextualSpacing/>
              <w:rPr>
                <w:lang w:val="en-CA"/>
              </w:rPr>
            </w:pPr>
            <w:r>
              <w:rPr>
                <w:lang w:val="en-CA"/>
              </w:rPr>
              <w:t>Metlakatla Priorities</w:t>
            </w:r>
          </w:p>
        </w:tc>
        <w:tc>
          <w:tcPr>
            <w:tcW w:w="4677" w:type="dxa"/>
          </w:tcPr>
          <w:p w14:paraId="22E69A77" w14:textId="6A7F8CBC" w:rsidR="004112F7" w:rsidRDefault="004112F7" w:rsidP="004112F7">
            <w:pPr>
              <w:spacing w:after="0" w:line="240" w:lineRule="auto"/>
              <w:contextualSpacing/>
              <w:rPr>
                <w:lang w:val="en-CA"/>
              </w:rPr>
            </w:pPr>
            <w:r>
              <w:t>To have more youth and community members participate in FSC activities over time.</w:t>
            </w:r>
          </w:p>
        </w:tc>
      </w:tr>
      <w:tr w:rsidR="004112F7" w14:paraId="6FA1DF99" w14:textId="77777777" w:rsidTr="004112F7">
        <w:tc>
          <w:tcPr>
            <w:tcW w:w="1980" w:type="dxa"/>
            <w:vMerge w:val="restart"/>
          </w:tcPr>
          <w:p w14:paraId="0F7466C6" w14:textId="7BBC3E57" w:rsidR="004112F7" w:rsidRPr="004112F7" w:rsidRDefault="004112F7" w:rsidP="004112F7">
            <w:pPr>
              <w:spacing w:after="0" w:line="240" w:lineRule="auto"/>
              <w:contextualSpacing/>
              <w:rPr>
                <w:b/>
                <w:bCs/>
                <w:lang w:val="en-CA"/>
              </w:rPr>
            </w:pPr>
            <w:r>
              <w:rPr>
                <w:b/>
                <w:bCs/>
                <w:lang w:val="en-CA"/>
              </w:rPr>
              <w:lastRenderedPageBreak/>
              <w:t>Current Condition of Pilot Value</w:t>
            </w:r>
          </w:p>
        </w:tc>
        <w:tc>
          <w:tcPr>
            <w:tcW w:w="2693" w:type="dxa"/>
          </w:tcPr>
          <w:p w14:paraId="7F9784B4" w14:textId="49A8C13C" w:rsidR="004112F7" w:rsidRDefault="004112F7" w:rsidP="004112F7">
            <w:pPr>
              <w:spacing w:after="0" w:line="240" w:lineRule="auto"/>
              <w:contextualSpacing/>
              <w:rPr>
                <w:lang w:val="en-CA"/>
              </w:rPr>
            </w:pPr>
            <w:r>
              <w:rPr>
                <w:lang w:val="en-CA"/>
              </w:rPr>
              <w:t>Youth Participation Rate</w:t>
            </w:r>
          </w:p>
        </w:tc>
        <w:tc>
          <w:tcPr>
            <w:tcW w:w="4677" w:type="dxa"/>
          </w:tcPr>
          <w:p w14:paraId="72CAF83B" w14:textId="473EA895" w:rsidR="004112F7" w:rsidRDefault="004112F7" w:rsidP="004112F7">
            <w:pPr>
              <w:spacing w:after="0" w:line="240" w:lineRule="auto"/>
              <w:contextualSpacing/>
              <w:rPr>
                <w:lang w:val="en-CA"/>
              </w:rPr>
            </w:pPr>
            <w:r>
              <w:t>As of 2016, 47% of community members reported participating in harvesting activities 6-20 species-days/year or more (Metlakatla Stewardship Society</w:t>
            </w:r>
            <w:r>
              <w:t xml:space="preserve"> </w:t>
            </w:r>
            <w:r>
              <w:t>2019).</w:t>
            </w:r>
          </w:p>
        </w:tc>
      </w:tr>
      <w:tr w:rsidR="004112F7" w14:paraId="5FF238E6" w14:textId="77777777" w:rsidTr="004112F7">
        <w:tc>
          <w:tcPr>
            <w:tcW w:w="1980" w:type="dxa"/>
            <w:vMerge/>
          </w:tcPr>
          <w:p w14:paraId="300BEDA3" w14:textId="77777777" w:rsidR="004112F7" w:rsidRDefault="004112F7" w:rsidP="004112F7">
            <w:pPr>
              <w:spacing w:after="0" w:line="240" w:lineRule="auto"/>
              <w:contextualSpacing/>
              <w:rPr>
                <w:lang w:val="en-CA"/>
              </w:rPr>
            </w:pPr>
          </w:p>
        </w:tc>
        <w:tc>
          <w:tcPr>
            <w:tcW w:w="2693" w:type="dxa"/>
          </w:tcPr>
          <w:p w14:paraId="54A86632" w14:textId="1B0CB72C" w:rsidR="004112F7" w:rsidRDefault="004112F7" w:rsidP="004112F7">
            <w:pPr>
              <w:spacing w:after="0" w:line="240" w:lineRule="auto"/>
              <w:contextualSpacing/>
              <w:rPr>
                <w:lang w:val="en-CA"/>
              </w:rPr>
            </w:pPr>
            <w:r>
              <w:rPr>
                <w:lang w:val="en-CA"/>
              </w:rPr>
              <w:t>Level of Effort</w:t>
            </w:r>
          </w:p>
        </w:tc>
        <w:tc>
          <w:tcPr>
            <w:tcW w:w="4677" w:type="dxa"/>
          </w:tcPr>
          <w:p w14:paraId="5B658027" w14:textId="7947364B" w:rsidR="004112F7" w:rsidRDefault="004112F7" w:rsidP="004112F7">
            <w:pPr>
              <w:spacing w:after="0" w:line="240" w:lineRule="auto"/>
              <w:contextualSpacing/>
              <w:rPr>
                <w:lang w:val="en-CA"/>
              </w:rPr>
            </w:pPr>
            <w:r>
              <w:t>As of 2016, 51% of youth respondents reported participating in any FSC activities in the past year (Metlakatla Stewardship Society 2019).</w:t>
            </w:r>
          </w:p>
        </w:tc>
      </w:tr>
      <w:tr w:rsidR="004112F7" w14:paraId="3A3B5647" w14:textId="77777777" w:rsidTr="004112F7">
        <w:tc>
          <w:tcPr>
            <w:tcW w:w="1980" w:type="dxa"/>
            <w:vMerge w:val="restart"/>
          </w:tcPr>
          <w:p w14:paraId="6A7DBC80" w14:textId="4F638E61" w:rsidR="004112F7" w:rsidRPr="004112F7" w:rsidRDefault="004112F7" w:rsidP="004112F7">
            <w:pPr>
              <w:spacing w:after="0" w:line="240" w:lineRule="auto"/>
              <w:contextualSpacing/>
              <w:rPr>
                <w:b/>
                <w:bCs/>
                <w:lang w:val="en-CA"/>
              </w:rPr>
            </w:pPr>
            <w:r>
              <w:rPr>
                <w:b/>
                <w:bCs/>
                <w:lang w:val="en-CA"/>
              </w:rPr>
              <w:t>Future Trend of Pilot Value</w:t>
            </w:r>
          </w:p>
        </w:tc>
        <w:tc>
          <w:tcPr>
            <w:tcW w:w="2693" w:type="dxa"/>
          </w:tcPr>
          <w:p w14:paraId="74B55862" w14:textId="6127E3AE" w:rsidR="004112F7" w:rsidRDefault="004112F7" w:rsidP="004112F7">
            <w:pPr>
              <w:spacing w:after="0" w:line="240" w:lineRule="auto"/>
              <w:contextualSpacing/>
              <w:rPr>
                <w:lang w:val="en-CA"/>
              </w:rPr>
            </w:pPr>
            <w:r>
              <w:t>Forecasts for Participation Rates</w:t>
            </w:r>
          </w:p>
        </w:tc>
        <w:tc>
          <w:tcPr>
            <w:tcW w:w="4677" w:type="dxa"/>
          </w:tcPr>
          <w:p w14:paraId="6C0C984B" w14:textId="179739C9" w:rsidR="004112F7" w:rsidRDefault="004112F7" w:rsidP="004112F7">
            <w:pPr>
              <w:spacing w:after="0" w:line="240" w:lineRule="auto"/>
              <w:contextualSpacing/>
              <w:rPr>
                <w:lang w:val="en-CA"/>
              </w:rPr>
            </w:pPr>
            <w:r>
              <w:t xml:space="preserve">Currently, no forecasts are available for participation rates in FSC activities in Metlakatla Territory. Based on 2016 </w:t>
            </w:r>
            <w:r>
              <w:t>Metlakatla Membership Census</w:t>
            </w:r>
            <w:r>
              <w:t xml:space="preserve"> data, Metlakatla participation rates are likely to decline in the next 25 years if current youth participation rates continue.</w:t>
            </w:r>
          </w:p>
        </w:tc>
      </w:tr>
      <w:tr w:rsidR="004112F7" w14:paraId="23CF1FD6" w14:textId="77777777" w:rsidTr="004112F7">
        <w:tc>
          <w:tcPr>
            <w:tcW w:w="1980" w:type="dxa"/>
            <w:vMerge/>
          </w:tcPr>
          <w:p w14:paraId="5DF41F12" w14:textId="77777777" w:rsidR="004112F7" w:rsidRDefault="004112F7" w:rsidP="004112F7">
            <w:pPr>
              <w:spacing w:after="0" w:line="240" w:lineRule="auto"/>
              <w:contextualSpacing/>
              <w:rPr>
                <w:b/>
                <w:bCs/>
                <w:lang w:val="en-CA"/>
              </w:rPr>
            </w:pPr>
          </w:p>
        </w:tc>
        <w:tc>
          <w:tcPr>
            <w:tcW w:w="2693" w:type="dxa"/>
          </w:tcPr>
          <w:p w14:paraId="7958F118" w14:textId="362DA505" w:rsidR="004112F7" w:rsidRDefault="004112F7" w:rsidP="004112F7">
            <w:pPr>
              <w:spacing w:after="0" w:line="240" w:lineRule="auto"/>
              <w:contextualSpacing/>
              <w:rPr>
                <w:lang w:val="en-CA"/>
              </w:rPr>
            </w:pPr>
            <w:r>
              <w:t>Other Supporting Information</w:t>
            </w:r>
          </w:p>
        </w:tc>
        <w:tc>
          <w:tcPr>
            <w:tcW w:w="4677" w:type="dxa"/>
          </w:tcPr>
          <w:p w14:paraId="642613B6" w14:textId="6664051E" w:rsidR="004112F7" w:rsidRDefault="004112F7" w:rsidP="004112F7">
            <w:pPr>
              <w:spacing w:after="0" w:line="240" w:lineRule="auto"/>
              <w:contextualSpacing/>
              <w:rPr>
                <w:lang w:val="en-CA"/>
              </w:rPr>
            </w:pPr>
            <w:r>
              <w:t>Future impacts from climate change on fishing are expected in BC’s north coast region, including increased competition from southern BC fishers, declines in species abundance, limited availability of certain shellfish species due to ocean acidification, and reduced access to harvest sites due to sea level rise and storm surges (</w:t>
            </w:r>
            <w:proofErr w:type="spellStart"/>
            <w:r>
              <w:t>Lemmen</w:t>
            </w:r>
            <w:proofErr w:type="spellEnd"/>
            <w:r>
              <w:t xml:space="preserve"> et al. 2016; </w:t>
            </w:r>
            <w:proofErr w:type="spellStart"/>
            <w:r>
              <w:t>Weatherdon</w:t>
            </w:r>
            <w:proofErr w:type="spellEnd"/>
            <w:r>
              <w:t xml:space="preserve"> et al. 2016).</w:t>
            </w:r>
          </w:p>
        </w:tc>
      </w:tr>
      <w:tr w:rsidR="004112F7" w14:paraId="3CE59CF9" w14:textId="77777777" w:rsidTr="004112F7">
        <w:tc>
          <w:tcPr>
            <w:tcW w:w="1980" w:type="dxa"/>
            <w:vMerge/>
          </w:tcPr>
          <w:p w14:paraId="11DCDE3A" w14:textId="77777777" w:rsidR="004112F7" w:rsidRDefault="004112F7" w:rsidP="004112F7">
            <w:pPr>
              <w:spacing w:after="0" w:line="240" w:lineRule="auto"/>
              <w:contextualSpacing/>
              <w:rPr>
                <w:b/>
                <w:bCs/>
                <w:lang w:val="en-CA"/>
              </w:rPr>
            </w:pPr>
          </w:p>
        </w:tc>
        <w:tc>
          <w:tcPr>
            <w:tcW w:w="2693" w:type="dxa"/>
          </w:tcPr>
          <w:p w14:paraId="614616C2" w14:textId="5D17E2C7" w:rsidR="004112F7" w:rsidRDefault="004112F7" w:rsidP="004112F7">
            <w:pPr>
              <w:spacing w:after="0" w:line="240" w:lineRule="auto"/>
              <w:contextualSpacing/>
              <w:rPr>
                <w:lang w:val="en-CA"/>
              </w:rPr>
            </w:pPr>
            <w:r>
              <w:t xml:space="preserve">Potential Future Impacts from </w:t>
            </w:r>
            <w:r>
              <w:t xml:space="preserve">Development </w:t>
            </w:r>
            <w:r>
              <w:t>Scenarios</w:t>
            </w:r>
          </w:p>
        </w:tc>
        <w:tc>
          <w:tcPr>
            <w:tcW w:w="4677" w:type="dxa"/>
          </w:tcPr>
          <w:p w14:paraId="58E3F973" w14:textId="51977727" w:rsidR="004112F7" w:rsidRDefault="004112F7" w:rsidP="004112F7">
            <w:pPr>
              <w:spacing w:after="0" w:line="240" w:lineRule="auto"/>
              <w:contextualSpacing/>
              <w:rPr>
                <w:lang w:val="en-CA"/>
              </w:rPr>
            </w:pPr>
            <w:r>
              <w:t>The projected increase in Prince Rupert population will result in more competition for harvest from sports fishers. The expected increase in vessel traffic and major project construction will also impact important traditional resources through pollution, habitat disturbance, invasive species, reduced access to harvest sites and poor harvesting experience.</w:t>
            </w:r>
          </w:p>
        </w:tc>
      </w:tr>
      <w:tr w:rsidR="004112F7" w14:paraId="218EAC7A" w14:textId="77777777" w:rsidTr="004112F7">
        <w:tc>
          <w:tcPr>
            <w:tcW w:w="1980" w:type="dxa"/>
            <w:vMerge w:val="restart"/>
          </w:tcPr>
          <w:p w14:paraId="7D2E2917" w14:textId="580F7DA2" w:rsidR="004112F7" w:rsidRDefault="004112F7" w:rsidP="004112F7">
            <w:pPr>
              <w:spacing w:after="0" w:line="240" w:lineRule="auto"/>
              <w:contextualSpacing/>
              <w:rPr>
                <w:b/>
                <w:bCs/>
                <w:lang w:val="en-CA"/>
              </w:rPr>
            </w:pPr>
            <w:r>
              <w:rPr>
                <w:b/>
                <w:bCs/>
                <w:lang w:val="en-CA"/>
              </w:rPr>
              <w:t>Source of Uncertainty (see Martin et al. 2009)</w:t>
            </w:r>
          </w:p>
        </w:tc>
        <w:tc>
          <w:tcPr>
            <w:tcW w:w="2693" w:type="dxa"/>
          </w:tcPr>
          <w:p w14:paraId="6EEB595B" w14:textId="384AF92D" w:rsidR="004112F7" w:rsidRDefault="004112F7" w:rsidP="004112F7">
            <w:pPr>
              <w:spacing w:after="0" w:line="240" w:lineRule="auto"/>
              <w:contextualSpacing/>
              <w:rPr>
                <w:lang w:val="en-CA"/>
              </w:rPr>
            </w:pPr>
            <w:r>
              <w:t>Environmental Variability (natural variation in environment)</w:t>
            </w:r>
          </w:p>
        </w:tc>
        <w:tc>
          <w:tcPr>
            <w:tcW w:w="4677" w:type="dxa"/>
          </w:tcPr>
          <w:p w14:paraId="55CFD797" w14:textId="60666EE0" w:rsidR="004112F7" w:rsidRDefault="004112F7" w:rsidP="004112F7">
            <w:pPr>
              <w:spacing w:after="0" w:line="240" w:lineRule="auto"/>
              <w:contextualSpacing/>
              <w:rPr>
                <w:lang w:val="en-CA"/>
              </w:rPr>
            </w:pPr>
            <w:r>
              <w:t>FSC activity is affected by broader environmental conditions (e.g., weather) and by species abundance and quality.</w:t>
            </w:r>
          </w:p>
        </w:tc>
      </w:tr>
      <w:tr w:rsidR="004112F7" w14:paraId="1F12A9EE" w14:textId="77777777" w:rsidTr="004112F7">
        <w:tc>
          <w:tcPr>
            <w:tcW w:w="1980" w:type="dxa"/>
            <w:vMerge/>
          </w:tcPr>
          <w:p w14:paraId="0239C311" w14:textId="77777777" w:rsidR="004112F7" w:rsidRDefault="004112F7" w:rsidP="004112F7">
            <w:pPr>
              <w:spacing w:after="0" w:line="240" w:lineRule="auto"/>
              <w:contextualSpacing/>
              <w:rPr>
                <w:b/>
                <w:bCs/>
                <w:lang w:val="en-CA"/>
              </w:rPr>
            </w:pPr>
          </w:p>
        </w:tc>
        <w:tc>
          <w:tcPr>
            <w:tcW w:w="2693" w:type="dxa"/>
          </w:tcPr>
          <w:p w14:paraId="7CFD203D" w14:textId="585F559A" w:rsidR="004112F7" w:rsidRDefault="004112F7" w:rsidP="004112F7">
            <w:pPr>
              <w:spacing w:after="0" w:line="240" w:lineRule="auto"/>
              <w:contextualSpacing/>
              <w:rPr>
                <w:lang w:val="en-CA"/>
              </w:rPr>
            </w:pPr>
            <w:r>
              <w:t>Partial Observability (measurement error)</w:t>
            </w:r>
          </w:p>
        </w:tc>
        <w:tc>
          <w:tcPr>
            <w:tcW w:w="4677" w:type="dxa"/>
          </w:tcPr>
          <w:p w14:paraId="15CAC5CB" w14:textId="6382F3E5" w:rsidR="004112F7" w:rsidRDefault="004112F7" w:rsidP="004112F7">
            <w:pPr>
              <w:spacing w:after="0" w:line="240" w:lineRule="auto"/>
              <w:contextualSpacing/>
              <w:rPr>
                <w:lang w:val="en-CA"/>
              </w:rPr>
            </w:pPr>
            <w:r>
              <w:t>Indicators are difficult to measure because they rely on self-reported data, which could include incorrect or incomplete information.</w:t>
            </w:r>
          </w:p>
        </w:tc>
      </w:tr>
      <w:tr w:rsidR="004112F7" w14:paraId="52E6E4FC" w14:textId="77777777" w:rsidTr="004112F7">
        <w:tc>
          <w:tcPr>
            <w:tcW w:w="1980" w:type="dxa"/>
            <w:vMerge/>
          </w:tcPr>
          <w:p w14:paraId="69BCC1E4" w14:textId="77777777" w:rsidR="004112F7" w:rsidRDefault="004112F7" w:rsidP="004112F7">
            <w:pPr>
              <w:spacing w:after="0" w:line="240" w:lineRule="auto"/>
              <w:contextualSpacing/>
              <w:rPr>
                <w:b/>
                <w:bCs/>
                <w:lang w:val="en-CA"/>
              </w:rPr>
            </w:pPr>
          </w:p>
        </w:tc>
        <w:tc>
          <w:tcPr>
            <w:tcW w:w="2693" w:type="dxa"/>
          </w:tcPr>
          <w:p w14:paraId="09672E1C" w14:textId="7965CEC9" w:rsidR="004112F7" w:rsidRDefault="004112F7" w:rsidP="004112F7">
            <w:pPr>
              <w:spacing w:after="0" w:line="240" w:lineRule="auto"/>
              <w:contextualSpacing/>
            </w:pPr>
            <w:r>
              <w:t>Partial Controllability (inability to predict effectiveness of actions)</w:t>
            </w:r>
          </w:p>
        </w:tc>
        <w:tc>
          <w:tcPr>
            <w:tcW w:w="4677" w:type="dxa"/>
          </w:tcPr>
          <w:p w14:paraId="56609953" w14:textId="5531E0BE" w:rsidR="004112F7" w:rsidRDefault="004112F7" w:rsidP="004112F7">
            <w:pPr>
              <w:spacing w:after="0" w:line="240" w:lineRule="auto"/>
              <w:contextualSpacing/>
              <w:rPr>
                <w:lang w:val="en-CA"/>
              </w:rPr>
            </w:pPr>
            <w:r>
              <w:t>Difficult to predict how community members will respond to management actions and whether actions will be effective in motivating more participation.</w:t>
            </w:r>
          </w:p>
        </w:tc>
      </w:tr>
      <w:tr w:rsidR="004112F7" w14:paraId="0E3A9B55" w14:textId="77777777" w:rsidTr="004112F7">
        <w:tc>
          <w:tcPr>
            <w:tcW w:w="1980" w:type="dxa"/>
            <w:vMerge/>
          </w:tcPr>
          <w:p w14:paraId="738EBB74" w14:textId="77777777" w:rsidR="004112F7" w:rsidRDefault="004112F7" w:rsidP="004112F7">
            <w:pPr>
              <w:spacing w:after="0" w:line="240" w:lineRule="auto"/>
              <w:contextualSpacing/>
              <w:rPr>
                <w:b/>
                <w:bCs/>
                <w:lang w:val="en-CA"/>
              </w:rPr>
            </w:pPr>
          </w:p>
        </w:tc>
        <w:tc>
          <w:tcPr>
            <w:tcW w:w="2693" w:type="dxa"/>
          </w:tcPr>
          <w:p w14:paraId="45BA408F" w14:textId="3972560B" w:rsidR="004112F7" w:rsidRDefault="004112F7" w:rsidP="004112F7">
            <w:pPr>
              <w:spacing w:after="0" w:line="240" w:lineRule="auto"/>
              <w:contextualSpacing/>
            </w:pPr>
            <w:r>
              <w:t>Structural Uncertainty (incomplete understanding of system)</w:t>
            </w:r>
          </w:p>
        </w:tc>
        <w:tc>
          <w:tcPr>
            <w:tcW w:w="4677" w:type="dxa"/>
          </w:tcPr>
          <w:p w14:paraId="154B8BB0" w14:textId="491060C1" w:rsidR="004112F7" w:rsidRDefault="004112F7" w:rsidP="004112F7">
            <w:pPr>
              <w:spacing w:after="0" w:line="240" w:lineRule="auto"/>
              <w:contextualSpacing/>
              <w:rPr>
                <w:lang w:val="en-CA"/>
              </w:rPr>
            </w:pPr>
            <w:r>
              <w:t>Lack of regional historic data on FSC participation specific to Metlakatla limits our understanding of how participation has changed over time. It is also difficult to know the entire scope and scale of FSC because it occurs in all seasons, in many locations, and for different species and resources.</w:t>
            </w:r>
          </w:p>
        </w:tc>
      </w:tr>
    </w:tbl>
    <w:p w14:paraId="5266349A" w14:textId="77777777" w:rsidR="004112F7" w:rsidRDefault="004112F7" w:rsidP="004112F7">
      <w:pPr>
        <w:rPr>
          <w:lang w:val="en-CA"/>
        </w:rPr>
      </w:pPr>
    </w:p>
    <w:p w14:paraId="6F5D55CF" w14:textId="68B31B79" w:rsidR="004112F7" w:rsidRDefault="004112F7" w:rsidP="004112F7">
      <w:pPr>
        <w:pStyle w:val="Heading2"/>
        <w:rPr>
          <w:lang w:val="en-CA"/>
        </w:rPr>
      </w:pPr>
      <w:r>
        <w:rPr>
          <w:lang w:val="en-CA"/>
        </w:rPr>
        <w:lastRenderedPageBreak/>
        <w:t>Future Development Scenarios for Metlakatla Territory</w:t>
      </w:r>
    </w:p>
    <w:tbl>
      <w:tblPr>
        <w:tblStyle w:val="TableGrid"/>
        <w:tblW w:w="0" w:type="auto"/>
        <w:tblLook w:val="04A0" w:firstRow="1" w:lastRow="0" w:firstColumn="1" w:lastColumn="0" w:noHBand="0" w:noVBand="1"/>
      </w:tblPr>
      <w:tblGrid>
        <w:gridCol w:w="1555"/>
        <w:gridCol w:w="2598"/>
        <w:gridCol w:w="2598"/>
        <w:gridCol w:w="2599"/>
      </w:tblGrid>
      <w:tr w:rsidR="004112F7" w14:paraId="3E2B3869" w14:textId="77777777" w:rsidTr="004112F7">
        <w:tc>
          <w:tcPr>
            <w:tcW w:w="1555" w:type="dxa"/>
          </w:tcPr>
          <w:p w14:paraId="685BECDF" w14:textId="77777777" w:rsidR="004112F7" w:rsidRDefault="004112F7" w:rsidP="004112F7">
            <w:pPr>
              <w:spacing w:after="0" w:line="240" w:lineRule="auto"/>
              <w:contextualSpacing/>
              <w:rPr>
                <w:lang w:val="en-CA"/>
              </w:rPr>
            </w:pPr>
          </w:p>
        </w:tc>
        <w:tc>
          <w:tcPr>
            <w:tcW w:w="2598" w:type="dxa"/>
          </w:tcPr>
          <w:p w14:paraId="299B0FD7" w14:textId="2F3E5DEA" w:rsidR="004112F7" w:rsidRPr="004112F7" w:rsidRDefault="004112F7" w:rsidP="004112F7">
            <w:pPr>
              <w:spacing w:after="0" w:line="240" w:lineRule="auto"/>
              <w:contextualSpacing/>
              <w:rPr>
                <w:b/>
                <w:bCs/>
                <w:lang w:val="en-CA"/>
              </w:rPr>
            </w:pPr>
            <w:r>
              <w:rPr>
                <w:b/>
                <w:bCs/>
                <w:lang w:val="en-CA"/>
              </w:rPr>
              <w:t>Scenario #1: Business as Usual</w:t>
            </w:r>
          </w:p>
        </w:tc>
        <w:tc>
          <w:tcPr>
            <w:tcW w:w="2598" w:type="dxa"/>
          </w:tcPr>
          <w:p w14:paraId="3CBB6301" w14:textId="5B6DE376" w:rsidR="004112F7" w:rsidRPr="004112F7" w:rsidRDefault="004112F7" w:rsidP="004112F7">
            <w:pPr>
              <w:spacing w:after="0" w:line="240" w:lineRule="auto"/>
              <w:contextualSpacing/>
              <w:rPr>
                <w:b/>
                <w:bCs/>
                <w:lang w:val="en-CA"/>
              </w:rPr>
            </w:pPr>
            <w:r>
              <w:rPr>
                <w:b/>
                <w:bCs/>
                <w:lang w:val="en-CA"/>
              </w:rPr>
              <w:t>Scenario #2: Port Expansion &amp; Shipping</w:t>
            </w:r>
          </w:p>
        </w:tc>
        <w:tc>
          <w:tcPr>
            <w:tcW w:w="2599" w:type="dxa"/>
          </w:tcPr>
          <w:p w14:paraId="7BD1E42B" w14:textId="00AECBA0" w:rsidR="004112F7" w:rsidRPr="004112F7" w:rsidRDefault="004112F7" w:rsidP="004112F7">
            <w:pPr>
              <w:spacing w:after="0" w:line="240" w:lineRule="auto"/>
              <w:contextualSpacing/>
              <w:rPr>
                <w:b/>
                <w:bCs/>
                <w:lang w:val="en-CA"/>
              </w:rPr>
            </w:pPr>
            <w:r>
              <w:rPr>
                <w:b/>
                <w:bCs/>
                <w:lang w:val="en-CA"/>
              </w:rPr>
              <w:t>Scenario #3: Liquefied Natural Gas (LNG)-Focused Development</w:t>
            </w:r>
          </w:p>
        </w:tc>
      </w:tr>
      <w:tr w:rsidR="004112F7" w14:paraId="1B9BC518" w14:textId="77777777" w:rsidTr="004112F7">
        <w:tc>
          <w:tcPr>
            <w:tcW w:w="1555" w:type="dxa"/>
          </w:tcPr>
          <w:p w14:paraId="1B1FF87A" w14:textId="130C4B95" w:rsidR="004112F7" w:rsidRPr="004112F7" w:rsidRDefault="004112F7" w:rsidP="004112F7">
            <w:pPr>
              <w:spacing w:after="0" w:line="240" w:lineRule="auto"/>
              <w:contextualSpacing/>
              <w:rPr>
                <w:b/>
                <w:bCs/>
                <w:lang w:val="en-CA"/>
              </w:rPr>
            </w:pPr>
            <w:r>
              <w:rPr>
                <w:b/>
                <w:bCs/>
                <w:lang w:val="en-CA"/>
              </w:rPr>
              <w:t>Major Project Development</w:t>
            </w:r>
          </w:p>
        </w:tc>
        <w:tc>
          <w:tcPr>
            <w:tcW w:w="2598" w:type="dxa"/>
          </w:tcPr>
          <w:p w14:paraId="56E34715" w14:textId="77777777" w:rsidR="004112F7" w:rsidRPr="004112F7" w:rsidRDefault="004112F7" w:rsidP="004112F7">
            <w:pPr>
              <w:pStyle w:val="3TableData"/>
              <w:numPr>
                <w:ilvl w:val="0"/>
                <w:numId w:val="2"/>
              </w:numPr>
              <w:ind w:left="268" w:hanging="268"/>
              <w:rPr>
                <w:rFonts w:ascii="Times New Roman" w:hAnsi="Times New Roman" w:cs="Times New Roman"/>
              </w:rPr>
            </w:pPr>
            <w:r w:rsidRPr="004112F7">
              <w:rPr>
                <w:rFonts w:ascii="Times New Roman" w:hAnsi="Times New Roman" w:cs="Times New Roman"/>
              </w:rPr>
              <w:t>Current level of development and activities will continue</w:t>
            </w:r>
          </w:p>
          <w:p w14:paraId="348C1C1D" w14:textId="319FB4AE" w:rsidR="004112F7" w:rsidRPr="004112F7" w:rsidRDefault="004112F7" w:rsidP="004112F7">
            <w:pPr>
              <w:pStyle w:val="3TableData"/>
              <w:numPr>
                <w:ilvl w:val="0"/>
                <w:numId w:val="2"/>
              </w:numPr>
              <w:ind w:left="268" w:hanging="268"/>
            </w:pPr>
            <w:r w:rsidRPr="004112F7">
              <w:rPr>
                <w:rFonts w:ascii="Times New Roman" w:hAnsi="Times New Roman" w:cs="Times New Roman"/>
                <w:i/>
                <w:iCs/>
              </w:rPr>
              <w:t>No new major development</w:t>
            </w:r>
            <w:r w:rsidRPr="004112F7">
              <w:rPr>
                <w:rFonts w:ascii="Times New Roman" w:hAnsi="Times New Roman" w:cs="Times New Roman"/>
                <w:b/>
                <w:bCs/>
              </w:rPr>
              <w:t xml:space="preserve"> </w:t>
            </w:r>
            <w:r w:rsidRPr="004112F7">
              <w:rPr>
                <w:rFonts w:ascii="Times New Roman" w:hAnsi="Times New Roman" w:cs="Times New Roman"/>
              </w:rPr>
              <w:t>will occur except for projects that are already being constructed</w:t>
            </w:r>
          </w:p>
        </w:tc>
        <w:tc>
          <w:tcPr>
            <w:tcW w:w="2598" w:type="dxa"/>
          </w:tcPr>
          <w:p w14:paraId="155F7D5D" w14:textId="77777777" w:rsidR="004112F7" w:rsidRDefault="004112F7" w:rsidP="004112F7">
            <w:pPr>
              <w:pStyle w:val="ListParagraph"/>
              <w:numPr>
                <w:ilvl w:val="0"/>
                <w:numId w:val="2"/>
              </w:numPr>
              <w:tabs>
                <w:tab w:val="left" w:pos="423"/>
              </w:tabs>
              <w:spacing w:after="0" w:line="240" w:lineRule="auto"/>
              <w:rPr>
                <w:lang w:val="en-CA"/>
              </w:rPr>
            </w:pPr>
            <w:r w:rsidRPr="004112F7">
              <w:rPr>
                <w:lang w:val="en-CA"/>
              </w:rPr>
              <w:t>Current development</w:t>
            </w:r>
          </w:p>
          <w:p w14:paraId="7E1F5C6C" w14:textId="4BB5B7F8" w:rsidR="004112F7" w:rsidRPr="004112F7" w:rsidRDefault="004112F7" w:rsidP="004112F7">
            <w:pPr>
              <w:pStyle w:val="ListParagraph"/>
              <w:numPr>
                <w:ilvl w:val="0"/>
                <w:numId w:val="2"/>
              </w:numPr>
              <w:tabs>
                <w:tab w:val="left" w:pos="423"/>
              </w:tabs>
              <w:spacing w:after="0" w:line="240" w:lineRule="auto"/>
              <w:rPr>
                <w:lang w:val="en-CA"/>
              </w:rPr>
            </w:pPr>
            <w:r w:rsidRPr="004112F7">
              <w:rPr>
                <w:i/>
                <w:iCs/>
                <w:lang w:val="en-CA"/>
              </w:rPr>
              <w:t>Port expansion and associated shipping activities</w:t>
            </w:r>
            <w:r w:rsidRPr="004112F7">
              <w:rPr>
                <w:lang w:val="en-CA"/>
              </w:rPr>
              <w:t xml:space="preserve"> will be the major stressors in the region</w:t>
            </w:r>
          </w:p>
        </w:tc>
        <w:tc>
          <w:tcPr>
            <w:tcW w:w="2599" w:type="dxa"/>
          </w:tcPr>
          <w:p w14:paraId="49FB10CA" w14:textId="77777777" w:rsidR="004112F7" w:rsidRDefault="004112F7" w:rsidP="004112F7">
            <w:pPr>
              <w:pStyle w:val="ListParagraph"/>
              <w:numPr>
                <w:ilvl w:val="0"/>
                <w:numId w:val="2"/>
              </w:numPr>
              <w:spacing w:after="0" w:line="240" w:lineRule="auto"/>
              <w:rPr>
                <w:lang w:val="en-CA"/>
              </w:rPr>
            </w:pPr>
            <w:r w:rsidRPr="004112F7">
              <w:rPr>
                <w:lang w:val="en-CA"/>
              </w:rPr>
              <w:t>Current development</w:t>
            </w:r>
          </w:p>
          <w:p w14:paraId="14299DEA" w14:textId="4CD95E14" w:rsidR="004112F7" w:rsidRPr="004112F7" w:rsidRDefault="004112F7" w:rsidP="004112F7">
            <w:pPr>
              <w:pStyle w:val="ListParagraph"/>
              <w:numPr>
                <w:ilvl w:val="0"/>
                <w:numId w:val="2"/>
              </w:numPr>
              <w:spacing w:after="0" w:line="240" w:lineRule="auto"/>
              <w:rPr>
                <w:lang w:val="en-CA"/>
              </w:rPr>
            </w:pPr>
            <w:r w:rsidRPr="004112F7">
              <w:rPr>
                <w:i/>
                <w:iCs/>
                <w:lang w:val="en-CA"/>
              </w:rPr>
              <w:t>2 LNG projects and their pipelines will be built</w:t>
            </w:r>
            <w:r w:rsidRPr="004112F7">
              <w:rPr>
                <w:lang w:val="en-CA"/>
              </w:rPr>
              <w:t xml:space="preserve"> in the Prince Rupert area</w:t>
            </w:r>
          </w:p>
        </w:tc>
      </w:tr>
      <w:tr w:rsidR="004112F7" w14:paraId="510AFB48" w14:textId="77777777" w:rsidTr="004112F7">
        <w:tc>
          <w:tcPr>
            <w:tcW w:w="1555" w:type="dxa"/>
          </w:tcPr>
          <w:p w14:paraId="41E4EE34" w14:textId="7CB06AF2" w:rsidR="004112F7" w:rsidRPr="004112F7" w:rsidRDefault="004112F7" w:rsidP="004112F7">
            <w:pPr>
              <w:spacing w:after="0" w:line="240" w:lineRule="auto"/>
              <w:contextualSpacing/>
              <w:rPr>
                <w:b/>
                <w:bCs/>
                <w:lang w:val="en-CA"/>
              </w:rPr>
            </w:pPr>
            <w:r>
              <w:rPr>
                <w:b/>
                <w:bCs/>
                <w:lang w:val="en-CA"/>
              </w:rPr>
              <w:t>Large Vessel Traffic</w:t>
            </w:r>
          </w:p>
        </w:tc>
        <w:tc>
          <w:tcPr>
            <w:tcW w:w="2598" w:type="dxa"/>
          </w:tcPr>
          <w:p w14:paraId="2C164A3F" w14:textId="77777777" w:rsidR="004112F7" w:rsidRDefault="004112F7" w:rsidP="004112F7">
            <w:pPr>
              <w:pStyle w:val="ListParagraph"/>
              <w:numPr>
                <w:ilvl w:val="0"/>
                <w:numId w:val="3"/>
              </w:numPr>
              <w:spacing w:after="0" w:line="240" w:lineRule="auto"/>
              <w:rPr>
                <w:lang w:val="en-CA"/>
              </w:rPr>
            </w:pPr>
            <w:r w:rsidRPr="004112F7">
              <w:rPr>
                <w:lang w:val="en-CA"/>
              </w:rPr>
              <w:t xml:space="preserve">Port of Prince Rupert: expected increase of ~950 vessels/year by 2020, for a </w:t>
            </w:r>
            <w:r w:rsidRPr="004112F7">
              <w:rPr>
                <w:i/>
                <w:iCs/>
                <w:lang w:val="en-CA"/>
              </w:rPr>
              <w:t>total of 4,550 vessels/year</w:t>
            </w:r>
          </w:p>
          <w:p w14:paraId="06931B7C" w14:textId="340B2EFC" w:rsidR="004112F7" w:rsidRPr="004112F7" w:rsidRDefault="004112F7" w:rsidP="004112F7">
            <w:pPr>
              <w:pStyle w:val="ListParagraph"/>
              <w:numPr>
                <w:ilvl w:val="0"/>
                <w:numId w:val="3"/>
              </w:numPr>
              <w:spacing w:after="0" w:line="240" w:lineRule="auto"/>
              <w:rPr>
                <w:lang w:val="en-CA"/>
              </w:rPr>
            </w:pPr>
            <w:r w:rsidRPr="004112F7">
              <w:rPr>
                <w:lang w:val="en-CA"/>
              </w:rPr>
              <w:t>Large vessel traffic is expected to cumulatively increase by about 40% by 2020</w:t>
            </w:r>
          </w:p>
        </w:tc>
        <w:tc>
          <w:tcPr>
            <w:tcW w:w="2598" w:type="dxa"/>
          </w:tcPr>
          <w:p w14:paraId="54920850" w14:textId="31DD9739" w:rsidR="004112F7" w:rsidRPr="004112F7" w:rsidRDefault="004112F7" w:rsidP="004112F7">
            <w:pPr>
              <w:pStyle w:val="ListParagraph"/>
              <w:numPr>
                <w:ilvl w:val="0"/>
                <w:numId w:val="3"/>
              </w:numPr>
              <w:spacing w:after="0" w:line="240" w:lineRule="auto"/>
              <w:rPr>
                <w:lang w:val="en-CA"/>
              </w:rPr>
            </w:pPr>
            <w:r w:rsidRPr="004112F7">
              <w:rPr>
                <w:lang w:val="en-CA"/>
              </w:rPr>
              <w:t xml:space="preserve">Port of Prince Rupert: expected increase of ~1,300 vessels/year by 2020, for a </w:t>
            </w:r>
            <w:r w:rsidRPr="004112F7">
              <w:rPr>
                <w:i/>
                <w:iCs/>
                <w:lang w:val="en-CA"/>
              </w:rPr>
              <w:t>total of 4,900 vessels/year</w:t>
            </w:r>
          </w:p>
        </w:tc>
        <w:tc>
          <w:tcPr>
            <w:tcW w:w="2599" w:type="dxa"/>
          </w:tcPr>
          <w:p w14:paraId="55C26F81" w14:textId="41919528" w:rsidR="004112F7" w:rsidRPr="004112F7" w:rsidRDefault="004112F7" w:rsidP="004112F7">
            <w:pPr>
              <w:pStyle w:val="ListParagraph"/>
              <w:numPr>
                <w:ilvl w:val="0"/>
                <w:numId w:val="3"/>
              </w:numPr>
              <w:spacing w:after="0" w:line="240" w:lineRule="auto"/>
              <w:rPr>
                <w:lang w:val="en-CA"/>
              </w:rPr>
            </w:pPr>
            <w:r w:rsidRPr="004112F7">
              <w:rPr>
                <w:lang w:val="en-CA"/>
              </w:rPr>
              <w:t xml:space="preserve">Port of Prince Rupert: expected increase of ~1,470 vessels/year by 2020, for a </w:t>
            </w:r>
            <w:r w:rsidRPr="004112F7">
              <w:rPr>
                <w:i/>
                <w:iCs/>
                <w:lang w:val="en-CA"/>
              </w:rPr>
              <w:t>total of 5,000 vessels/year</w:t>
            </w:r>
          </w:p>
          <w:p w14:paraId="0155BB9C" w14:textId="4F497B9D" w:rsidR="004112F7" w:rsidRPr="004112F7" w:rsidRDefault="004112F7" w:rsidP="004112F7">
            <w:pPr>
              <w:pStyle w:val="ListParagraph"/>
              <w:numPr>
                <w:ilvl w:val="0"/>
                <w:numId w:val="3"/>
              </w:numPr>
              <w:spacing w:after="0" w:line="240" w:lineRule="auto"/>
              <w:rPr>
                <w:lang w:val="en-CA"/>
              </w:rPr>
            </w:pPr>
            <w:r w:rsidRPr="004112F7">
              <w:rPr>
                <w:lang w:val="en-CA"/>
              </w:rPr>
              <w:t>~520 large LNG vessels each year</w:t>
            </w:r>
          </w:p>
        </w:tc>
      </w:tr>
      <w:tr w:rsidR="004112F7" w14:paraId="0B5C4509" w14:textId="77777777" w:rsidTr="004112F7">
        <w:tc>
          <w:tcPr>
            <w:tcW w:w="1555" w:type="dxa"/>
          </w:tcPr>
          <w:p w14:paraId="2D56C80F" w14:textId="33EBB7E0" w:rsidR="004112F7" w:rsidRPr="004112F7" w:rsidRDefault="004112F7" w:rsidP="004112F7">
            <w:pPr>
              <w:spacing w:after="0" w:line="240" w:lineRule="auto"/>
              <w:contextualSpacing/>
              <w:rPr>
                <w:b/>
                <w:bCs/>
                <w:lang w:val="en-CA"/>
              </w:rPr>
            </w:pPr>
            <w:r>
              <w:rPr>
                <w:b/>
                <w:bCs/>
                <w:lang w:val="en-CA"/>
              </w:rPr>
              <w:t>Prince Rupert Population Change</w:t>
            </w:r>
          </w:p>
        </w:tc>
        <w:tc>
          <w:tcPr>
            <w:tcW w:w="2598" w:type="dxa"/>
          </w:tcPr>
          <w:p w14:paraId="7A8E9B23" w14:textId="77777777" w:rsidR="004112F7" w:rsidRDefault="004112F7" w:rsidP="004112F7">
            <w:pPr>
              <w:pStyle w:val="ListParagraph"/>
              <w:numPr>
                <w:ilvl w:val="0"/>
                <w:numId w:val="4"/>
              </w:numPr>
              <w:tabs>
                <w:tab w:val="left" w:pos="437"/>
              </w:tabs>
              <w:spacing w:after="0" w:line="240" w:lineRule="auto"/>
              <w:rPr>
                <w:lang w:val="en-CA"/>
              </w:rPr>
            </w:pPr>
            <w:r w:rsidRPr="004112F7">
              <w:rPr>
                <w:lang w:val="en-CA"/>
              </w:rPr>
              <w:t xml:space="preserve">Prince Rupert population to increase by about 700 new permanent residents, to a </w:t>
            </w:r>
            <w:r w:rsidRPr="004112F7">
              <w:rPr>
                <w:i/>
                <w:iCs/>
                <w:lang w:val="en-CA"/>
              </w:rPr>
              <w:t>total population size of 14,500</w:t>
            </w:r>
            <w:r w:rsidRPr="004112F7">
              <w:rPr>
                <w:lang w:val="en-CA"/>
              </w:rPr>
              <w:t xml:space="preserve"> by 2025</w:t>
            </w:r>
          </w:p>
          <w:p w14:paraId="7545B0A7" w14:textId="5BF90055" w:rsidR="004112F7" w:rsidRPr="004112F7" w:rsidRDefault="004112F7" w:rsidP="004112F7">
            <w:pPr>
              <w:pStyle w:val="ListParagraph"/>
              <w:numPr>
                <w:ilvl w:val="0"/>
                <w:numId w:val="4"/>
              </w:numPr>
              <w:tabs>
                <w:tab w:val="left" w:pos="437"/>
              </w:tabs>
              <w:spacing w:after="0" w:line="240" w:lineRule="auto"/>
              <w:rPr>
                <w:lang w:val="en-CA"/>
              </w:rPr>
            </w:pPr>
            <w:r w:rsidRPr="004112F7">
              <w:rPr>
                <w:lang w:val="en-CA"/>
              </w:rPr>
              <w:t>No significant increase in temporary workforce population</w:t>
            </w:r>
          </w:p>
        </w:tc>
        <w:tc>
          <w:tcPr>
            <w:tcW w:w="2598" w:type="dxa"/>
          </w:tcPr>
          <w:p w14:paraId="2AE85C43" w14:textId="77777777" w:rsidR="004112F7" w:rsidRDefault="004112F7" w:rsidP="004112F7">
            <w:pPr>
              <w:pStyle w:val="ListParagraph"/>
              <w:numPr>
                <w:ilvl w:val="0"/>
                <w:numId w:val="4"/>
              </w:numPr>
              <w:spacing w:after="0" w:line="240" w:lineRule="auto"/>
              <w:rPr>
                <w:lang w:val="en-CA"/>
              </w:rPr>
            </w:pPr>
            <w:r w:rsidRPr="004112F7">
              <w:rPr>
                <w:lang w:val="en-CA"/>
              </w:rPr>
              <w:t xml:space="preserve">Prince Rupert population to increase by about 900 new permanent residents, to a </w:t>
            </w:r>
            <w:r w:rsidRPr="004112F7">
              <w:rPr>
                <w:i/>
                <w:iCs/>
                <w:lang w:val="en-CA"/>
              </w:rPr>
              <w:t>total population size of 14,700</w:t>
            </w:r>
            <w:r w:rsidRPr="004112F7">
              <w:rPr>
                <w:lang w:val="en-CA"/>
              </w:rPr>
              <w:t xml:space="preserve"> by 2025</w:t>
            </w:r>
          </w:p>
          <w:p w14:paraId="22682FDA" w14:textId="77777777" w:rsidR="004112F7" w:rsidRDefault="004112F7" w:rsidP="004112F7">
            <w:pPr>
              <w:pStyle w:val="ListParagraph"/>
              <w:numPr>
                <w:ilvl w:val="0"/>
                <w:numId w:val="4"/>
              </w:numPr>
              <w:spacing w:after="0" w:line="240" w:lineRule="auto"/>
              <w:rPr>
                <w:lang w:val="en-CA"/>
              </w:rPr>
            </w:pPr>
            <w:r w:rsidRPr="004112F7">
              <w:rPr>
                <w:lang w:val="en-CA"/>
              </w:rPr>
              <w:t xml:space="preserve">Estimated </w:t>
            </w:r>
            <w:r w:rsidRPr="004112F7">
              <w:rPr>
                <w:i/>
                <w:iCs/>
                <w:lang w:val="en-CA"/>
              </w:rPr>
              <w:t>1,500-2,000-person direct workforce</w:t>
            </w:r>
            <w:r w:rsidRPr="004112F7">
              <w:rPr>
                <w:lang w:val="en-CA"/>
              </w:rPr>
              <w:t xml:space="preserve"> at peak to construct major port projects</w:t>
            </w:r>
          </w:p>
          <w:p w14:paraId="0D96E245" w14:textId="537DF68C" w:rsidR="004112F7" w:rsidRPr="004112F7" w:rsidRDefault="004112F7" w:rsidP="004112F7">
            <w:pPr>
              <w:pStyle w:val="ListParagraph"/>
              <w:numPr>
                <w:ilvl w:val="0"/>
                <w:numId w:val="4"/>
              </w:numPr>
              <w:spacing w:after="0" w:line="240" w:lineRule="auto"/>
              <w:rPr>
                <w:lang w:val="en-CA"/>
              </w:rPr>
            </w:pPr>
            <w:r w:rsidRPr="004112F7">
              <w:rPr>
                <w:lang w:val="en-CA"/>
              </w:rPr>
              <w:t xml:space="preserve">Estimated </w:t>
            </w:r>
            <w:r w:rsidRPr="004112F7">
              <w:rPr>
                <w:i/>
                <w:iCs/>
                <w:lang w:val="en-CA"/>
              </w:rPr>
              <w:t xml:space="preserve">500-person soft shadow population </w:t>
            </w:r>
            <w:r w:rsidRPr="004112F7">
              <w:rPr>
                <w:lang w:val="en-CA"/>
              </w:rPr>
              <w:t>(i.e., indirect and induced workforce and families)</w:t>
            </w:r>
          </w:p>
        </w:tc>
        <w:tc>
          <w:tcPr>
            <w:tcW w:w="2599" w:type="dxa"/>
          </w:tcPr>
          <w:p w14:paraId="668A6A46" w14:textId="77777777" w:rsidR="004112F7" w:rsidRPr="004112F7" w:rsidRDefault="004112F7" w:rsidP="004112F7">
            <w:pPr>
              <w:pStyle w:val="3TableData"/>
              <w:numPr>
                <w:ilvl w:val="0"/>
                <w:numId w:val="4"/>
              </w:numPr>
              <w:rPr>
                <w:rFonts w:ascii="Times New Roman" w:hAnsi="Times New Roman" w:cs="Times New Roman"/>
              </w:rPr>
            </w:pPr>
            <w:r w:rsidRPr="004112F7">
              <w:rPr>
                <w:rFonts w:ascii="Times New Roman" w:hAnsi="Times New Roman" w:cs="Times New Roman"/>
              </w:rPr>
              <w:t xml:space="preserve">Prince Rupert population to increase by about 1,100 new permanent residents, to a </w:t>
            </w:r>
            <w:r w:rsidRPr="004112F7">
              <w:rPr>
                <w:rFonts w:ascii="Times New Roman" w:hAnsi="Times New Roman" w:cs="Times New Roman"/>
                <w:i/>
                <w:iCs/>
              </w:rPr>
              <w:t>total population size of 14,900</w:t>
            </w:r>
            <w:r w:rsidRPr="004112F7">
              <w:rPr>
                <w:rFonts w:ascii="Times New Roman" w:hAnsi="Times New Roman" w:cs="Times New Roman"/>
              </w:rPr>
              <w:t xml:space="preserve"> by 2025</w:t>
            </w:r>
          </w:p>
          <w:p w14:paraId="1E63F0FB" w14:textId="77777777" w:rsidR="004112F7" w:rsidRDefault="004112F7" w:rsidP="004112F7">
            <w:pPr>
              <w:pStyle w:val="3TableData"/>
              <w:numPr>
                <w:ilvl w:val="0"/>
                <w:numId w:val="4"/>
              </w:numPr>
              <w:rPr>
                <w:rFonts w:ascii="Times New Roman" w:hAnsi="Times New Roman" w:cs="Times New Roman"/>
              </w:rPr>
            </w:pPr>
            <w:r w:rsidRPr="004112F7">
              <w:rPr>
                <w:rFonts w:ascii="Times New Roman" w:hAnsi="Times New Roman" w:cs="Times New Roman"/>
              </w:rPr>
              <w:t>Estimated</w:t>
            </w:r>
            <w:r w:rsidRPr="004112F7">
              <w:rPr>
                <w:rFonts w:ascii="Times New Roman" w:hAnsi="Times New Roman" w:cs="Times New Roman"/>
                <w:i/>
                <w:iCs/>
              </w:rPr>
              <w:t xml:space="preserve"> 8,000-person direct workforce </w:t>
            </w:r>
            <w:r w:rsidRPr="004112F7">
              <w:rPr>
                <w:rFonts w:ascii="Times New Roman" w:hAnsi="Times New Roman" w:cs="Times New Roman"/>
              </w:rPr>
              <w:t>at peak to construct LNG projects</w:t>
            </w:r>
          </w:p>
          <w:p w14:paraId="70731E3F" w14:textId="4D750C41" w:rsidR="004112F7" w:rsidRPr="004112F7" w:rsidRDefault="004112F7" w:rsidP="004112F7">
            <w:pPr>
              <w:pStyle w:val="3TableData"/>
              <w:numPr>
                <w:ilvl w:val="0"/>
                <w:numId w:val="4"/>
              </w:numPr>
              <w:rPr>
                <w:rFonts w:ascii="Times New Roman" w:hAnsi="Times New Roman" w:cs="Times New Roman"/>
              </w:rPr>
            </w:pPr>
            <w:r w:rsidRPr="004112F7">
              <w:rPr>
                <w:rFonts w:ascii="Times New Roman" w:hAnsi="Times New Roman" w:cs="Times New Roman"/>
              </w:rPr>
              <w:t xml:space="preserve">Estimated </w:t>
            </w:r>
            <w:r w:rsidRPr="004112F7">
              <w:rPr>
                <w:rFonts w:ascii="Times New Roman" w:hAnsi="Times New Roman" w:cs="Times New Roman"/>
                <w:i/>
                <w:iCs/>
              </w:rPr>
              <w:t>2,000-person soft shadow population</w:t>
            </w:r>
          </w:p>
        </w:tc>
      </w:tr>
      <w:tr w:rsidR="004112F7" w14:paraId="122A7CD9" w14:textId="77777777" w:rsidTr="004112F7">
        <w:tc>
          <w:tcPr>
            <w:tcW w:w="1555" w:type="dxa"/>
          </w:tcPr>
          <w:p w14:paraId="6DD11E31" w14:textId="38841464" w:rsidR="004112F7" w:rsidRPr="004112F7" w:rsidRDefault="004112F7" w:rsidP="004112F7">
            <w:pPr>
              <w:spacing w:after="0" w:line="240" w:lineRule="auto"/>
              <w:contextualSpacing/>
              <w:rPr>
                <w:b/>
                <w:bCs/>
                <w:lang w:val="en-CA"/>
              </w:rPr>
            </w:pPr>
            <w:r>
              <w:rPr>
                <w:b/>
                <w:bCs/>
                <w:lang w:val="en-CA"/>
              </w:rPr>
              <w:t>Fishing, Forestry, and Ecotourism</w:t>
            </w:r>
          </w:p>
        </w:tc>
        <w:tc>
          <w:tcPr>
            <w:tcW w:w="2598" w:type="dxa"/>
          </w:tcPr>
          <w:p w14:paraId="08AA3348" w14:textId="77777777" w:rsidR="004112F7" w:rsidRDefault="004112F7" w:rsidP="004112F7">
            <w:pPr>
              <w:pStyle w:val="ListParagraph"/>
              <w:numPr>
                <w:ilvl w:val="0"/>
                <w:numId w:val="5"/>
              </w:numPr>
              <w:spacing w:after="0" w:line="240" w:lineRule="auto"/>
              <w:rPr>
                <w:lang w:val="en-CA"/>
              </w:rPr>
            </w:pPr>
            <w:r w:rsidRPr="004112F7">
              <w:rPr>
                <w:lang w:val="en-CA"/>
              </w:rPr>
              <w:t>Commercial fishing and forestry will remain subdued</w:t>
            </w:r>
          </w:p>
          <w:p w14:paraId="0A803949" w14:textId="37EC8B56" w:rsidR="004112F7" w:rsidRPr="004112F7" w:rsidRDefault="004112F7" w:rsidP="004112F7">
            <w:pPr>
              <w:pStyle w:val="ListParagraph"/>
              <w:numPr>
                <w:ilvl w:val="0"/>
                <w:numId w:val="5"/>
              </w:numPr>
              <w:spacing w:after="0" w:line="240" w:lineRule="auto"/>
              <w:rPr>
                <w:lang w:val="en-CA"/>
              </w:rPr>
            </w:pPr>
            <w:r w:rsidRPr="004112F7">
              <w:rPr>
                <w:lang w:val="en-CA"/>
              </w:rPr>
              <w:t>Sport fishing and ecotourism will continue to be key stressors in marine environment</w:t>
            </w:r>
          </w:p>
        </w:tc>
        <w:tc>
          <w:tcPr>
            <w:tcW w:w="2598" w:type="dxa"/>
          </w:tcPr>
          <w:p w14:paraId="7809AE7D" w14:textId="77777777" w:rsidR="004112F7" w:rsidRDefault="004112F7" w:rsidP="004112F7">
            <w:pPr>
              <w:pStyle w:val="ListParagraph"/>
              <w:numPr>
                <w:ilvl w:val="0"/>
                <w:numId w:val="5"/>
              </w:numPr>
              <w:spacing w:after="0" w:line="240" w:lineRule="auto"/>
              <w:rPr>
                <w:lang w:val="en-CA"/>
              </w:rPr>
            </w:pPr>
            <w:r w:rsidRPr="004112F7">
              <w:rPr>
                <w:lang w:val="en-CA"/>
              </w:rPr>
              <w:t>Commercial fishing and forestry will remain subdued</w:t>
            </w:r>
          </w:p>
          <w:p w14:paraId="66C99967" w14:textId="715AA60B" w:rsidR="004112F7" w:rsidRDefault="004112F7" w:rsidP="004112F7">
            <w:pPr>
              <w:pStyle w:val="ListParagraph"/>
              <w:numPr>
                <w:ilvl w:val="0"/>
                <w:numId w:val="5"/>
              </w:numPr>
              <w:spacing w:after="0" w:line="240" w:lineRule="auto"/>
              <w:rPr>
                <w:lang w:val="en-CA"/>
              </w:rPr>
            </w:pPr>
            <w:r w:rsidRPr="004112F7">
              <w:rPr>
                <w:lang w:val="en-CA"/>
              </w:rPr>
              <w:t>Sport fishing and ecotourism continue to be key stressors</w:t>
            </w:r>
          </w:p>
          <w:p w14:paraId="7422662E" w14:textId="5F0F036B" w:rsidR="004112F7" w:rsidRPr="004112F7" w:rsidRDefault="004112F7" w:rsidP="004112F7">
            <w:pPr>
              <w:pStyle w:val="ListParagraph"/>
              <w:numPr>
                <w:ilvl w:val="0"/>
                <w:numId w:val="5"/>
              </w:numPr>
              <w:spacing w:after="0" w:line="240" w:lineRule="auto"/>
              <w:rPr>
                <w:lang w:val="en-CA"/>
              </w:rPr>
            </w:pPr>
            <w:r w:rsidRPr="004112F7">
              <w:t xml:space="preserve">If 10% of workers take up sport fishing, then </w:t>
            </w:r>
            <w:r w:rsidRPr="004112F7">
              <w:rPr>
                <w:i/>
                <w:iCs/>
              </w:rPr>
              <w:t>250 more fishers</w:t>
            </w:r>
            <w:r w:rsidRPr="004112F7">
              <w:t xml:space="preserve"> will be in the area</w:t>
            </w:r>
          </w:p>
        </w:tc>
        <w:tc>
          <w:tcPr>
            <w:tcW w:w="2599" w:type="dxa"/>
          </w:tcPr>
          <w:p w14:paraId="2821474E" w14:textId="77777777" w:rsidR="004112F7" w:rsidRPr="004112F7" w:rsidRDefault="004112F7" w:rsidP="004112F7">
            <w:pPr>
              <w:pStyle w:val="3TableData"/>
              <w:numPr>
                <w:ilvl w:val="0"/>
                <w:numId w:val="5"/>
              </w:numPr>
              <w:rPr>
                <w:rFonts w:ascii="Times New Roman" w:hAnsi="Times New Roman" w:cs="Times New Roman"/>
              </w:rPr>
            </w:pPr>
            <w:r w:rsidRPr="004112F7">
              <w:rPr>
                <w:rFonts w:ascii="Times New Roman" w:hAnsi="Times New Roman" w:cs="Times New Roman"/>
              </w:rPr>
              <w:t>Commercial fishing and forestry will remain subdued</w:t>
            </w:r>
          </w:p>
          <w:p w14:paraId="3D0804BD" w14:textId="457CC259" w:rsidR="004112F7" w:rsidRDefault="004112F7" w:rsidP="004112F7">
            <w:pPr>
              <w:pStyle w:val="3TableData"/>
              <w:numPr>
                <w:ilvl w:val="0"/>
                <w:numId w:val="5"/>
              </w:numPr>
              <w:rPr>
                <w:rFonts w:ascii="Times New Roman" w:hAnsi="Times New Roman" w:cs="Times New Roman"/>
              </w:rPr>
            </w:pPr>
            <w:r w:rsidRPr="004112F7">
              <w:rPr>
                <w:rFonts w:ascii="Times New Roman" w:hAnsi="Times New Roman" w:cs="Times New Roman"/>
              </w:rPr>
              <w:t>Sport fishing and ecotourism continue to be key stressors</w:t>
            </w:r>
          </w:p>
          <w:p w14:paraId="66B6E98C" w14:textId="251736B0" w:rsidR="004112F7" w:rsidRPr="004112F7" w:rsidRDefault="004112F7" w:rsidP="004112F7">
            <w:pPr>
              <w:pStyle w:val="3TableData"/>
              <w:numPr>
                <w:ilvl w:val="0"/>
                <w:numId w:val="5"/>
              </w:numPr>
              <w:rPr>
                <w:rFonts w:ascii="Times New Roman" w:hAnsi="Times New Roman" w:cs="Times New Roman"/>
              </w:rPr>
            </w:pPr>
            <w:r w:rsidRPr="004112F7">
              <w:rPr>
                <w:rFonts w:ascii="Times New Roman" w:hAnsi="Times New Roman" w:cs="Times New Roman"/>
              </w:rPr>
              <w:t xml:space="preserve">If 10% of workers take up sport fishing, then </w:t>
            </w:r>
            <w:r w:rsidRPr="004112F7">
              <w:rPr>
                <w:rFonts w:ascii="Times New Roman" w:hAnsi="Times New Roman" w:cs="Times New Roman"/>
                <w:i/>
                <w:iCs/>
              </w:rPr>
              <w:t>1,000 more fishers</w:t>
            </w:r>
            <w:r w:rsidRPr="004112F7">
              <w:rPr>
                <w:rFonts w:ascii="Times New Roman" w:hAnsi="Times New Roman" w:cs="Times New Roman"/>
              </w:rPr>
              <w:t xml:space="preserve"> will be in </w:t>
            </w:r>
            <w:r w:rsidR="00CD496F">
              <w:rPr>
                <w:rFonts w:ascii="Times New Roman" w:hAnsi="Times New Roman" w:cs="Times New Roman"/>
              </w:rPr>
              <w:t xml:space="preserve">the </w:t>
            </w:r>
            <w:r w:rsidRPr="004112F7">
              <w:rPr>
                <w:rFonts w:ascii="Times New Roman" w:hAnsi="Times New Roman" w:cs="Times New Roman"/>
              </w:rPr>
              <w:t>area</w:t>
            </w:r>
          </w:p>
        </w:tc>
      </w:tr>
    </w:tbl>
    <w:p w14:paraId="24E452C6" w14:textId="56CBE3F5" w:rsidR="004112F7" w:rsidRPr="00CD496F" w:rsidRDefault="00CD496F" w:rsidP="00CD496F">
      <w:pPr>
        <w:pStyle w:val="3TableNote"/>
        <w:rPr>
          <w:rFonts w:ascii="Times New Roman" w:hAnsi="Times New Roman" w:cs="Times New Roman"/>
        </w:rPr>
      </w:pPr>
      <w:r w:rsidRPr="00CD496F">
        <w:rPr>
          <w:rFonts w:ascii="Times New Roman" w:hAnsi="Times New Roman" w:cs="Times New Roman"/>
        </w:rPr>
        <w:t xml:space="preserve">NOTE: Timeframe is 10 to 25 Years into the Future (from 2017). </w:t>
      </w:r>
    </w:p>
    <w:sectPr w:rsidR="004112F7" w:rsidRPr="00CD496F" w:rsidSect="005579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809D7"/>
    <w:multiLevelType w:val="hybridMultilevel"/>
    <w:tmpl w:val="14902B70"/>
    <w:lvl w:ilvl="0" w:tplc="EEDC0A70">
      <w:start w:val="1"/>
      <w:numFmt w:val="bullet"/>
      <w:lvlText w:val="•"/>
      <w:lvlJc w:val="left"/>
      <w:pPr>
        <w:ind w:left="360" w:hanging="360"/>
      </w:pPr>
      <w:rPr>
        <w:rFonts w:ascii="Arial" w:hAnsi="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A5119CF"/>
    <w:multiLevelType w:val="hybridMultilevel"/>
    <w:tmpl w:val="CC1493B6"/>
    <w:lvl w:ilvl="0" w:tplc="EEDC0A70">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686295"/>
    <w:multiLevelType w:val="hybridMultilevel"/>
    <w:tmpl w:val="ADB46C2A"/>
    <w:lvl w:ilvl="0" w:tplc="EEDC0A70">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D7249A"/>
    <w:multiLevelType w:val="multilevel"/>
    <w:tmpl w:val="3A7E84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9252635"/>
    <w:multiLevelType w:val="hybridMultilevel"/>
    <w:tmpl w:val="8EC0FEB0"/>
    <w:lvl w:ilvl="0" w:tplc="EEDC0A70">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228168">
    <w:abstractNumId w:val="3"/>
  </w:num>
  <w:num w:numId="2" w16cid:durableId="1731031346">
    <w:abstractNumId w:val="0"/>
  </w:num>
  <w:num w:numId="3" w16cid:durableId="1931158315">
    <w:abstractNumId w:val="4"/>
  </w:num>
  <w:num w:numId="4" w16cid:durableId="1057171249">
    <w:abstractNumId w:val="2"/>
  </w:num>
  <w:num w:numId="5" w16cid:durableId="8346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9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F7"/>
    <w:rsid w:val="0001547F"/>
    <w:rsid w:val="00043C10"/>
    <w:rsid w:val="000E1AF5"/>
    <w:rsid w:val="00157468"/>
    <w:rsid w:val="00157AE4"/>
    <w:rsid w:val="00162B20"/>
    <w:rsid w:val="0016771C"/>
    <w:rsid w:val="001B7681"/>
    <w:rsid w:val="002C15B1"/>
    <w:rsid w:val="002E2D56"/>
    <w:rsid w:val="003404E8"/>
    <w:rsid w:val="00342765"/>
    <w:rsid w:val="00353842"/>
    <w:rsid w:val="003E71CA"/>
    <w:rsid w:val="004112F7"/>
    <w:rsid w:val="00430F34"/>
    <w:rsid w:val="0043474F"/>
    <w:rsid w:val="0044077C"/>
    <w:rsid w:val="00452BE8"/>
    <w:rsid w:val="004724CF"/>
    <w:rsid w:val="004821A5"/>
    <w:rsid w:val="0055797C"/>
    <w:rsid w:val="00572F47"/>
    <w:rsid w:val="005A083E"/>
    <w:rsid w:val="005C1739"/>
    <w:rsid w:val="005D2742"/>
    <w:rsid w:val="00620BFC"/>
    <w:rsid w:val="006477DF"/>
    <w:rsid w:val="00696701"/>
    <w:rsid w:val="006A7B33"/>
    <w:rsid w:val="006C4E1A"/>
    <w:rsid w:val="007972BA"/>
    <w:rsid w:val="007B01F7"/>
    <w:rsid w:val="007F5EC7"/>
    <w:rsid w:val="0080480C"/>
    <w:rsid w:val="00834B42"/>
    <w:rsid w:val="00857FF6"/>
    <w:rsid w:val="008A6701"/>
    <w:rsid w:val="00930CCC"/>
    <w:rsid w:val="00940593"/>
    <w:rsid w:val="00947EEC"/>
    <w:rsid w:val="009560F2"/>
    <w:rsid w:val="00960001"/>
    <w:rsid w:val="00975852"/>
    <w:rsid w:val="0098678E"/>
    <w:rsid w:val="00991818"/>
    <w:rsid w:val="009A3FFA"/>
    <w:rsid w:val="009B0878"/>
    <w:rsid w:val="009C6CC4"/>
    <w:rsid w:val="009E2651"/>
    <w:rsid w:val="00A20FE3"/>
    <w:rsid w:val="00A26B90"/>
    <w:rsid w:val="00A873BA"/>
    <w:rsid w:val="00AC5084"/>
    <w:rsid w:val="00BE53BB"/>
    <w:rsid w:val="00C47ADD"/>
    <w:rsid w:val="00C64A50"/>
    <w:rsid w:val="00CD11FF"/>
    <w:rsid w:val="00CD496F"/>
    <w:rsid w:val="00CE55D5"/>
    <w:rsid w:val="00D3098A"/>
    <w:rsid w:val="00D42E89"/>
    <w:rsid w:val="00D46C5B"/>
    <w:rsid w:val="00D7015C"/>
    <w:rsid w:val="00DF5924"/>
    <w:rsid w:val="00EF2989"/>
    <w:rsid w:val="00F015A1"/>
    <w:rsid w:val="00F374EA"/>
    <w:rsid w:val="00F450A6"/>
    <w:rsid w:val="00F731C7"/>
    <w:rsid w:val="00F840B4"/>
    <w:rsid w:val="00F858E3"/>
    <w:rsid w:val="00FD7D30"/>
    <w:rsid w:val="00FF2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C0F7EA"/>
  <w14:defaultImageDpi w14:val="32767"/>
  <w15:chartTrackingRefBased/>
  <w15:docId w15:val="{2C0E9C6C-6E82-754F-A525-79CA0825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112F7"/>
    <w:pPr>
      <w:spacing w:after="120" w:line="360" w:lineRule="auto"/>
    </w:pPr>
    <w:rPr>
      <w:rFonts w:ascii="Times New Roman" w:hAnsi="Times New Roman"/>
      <w:sz w:val="22"/>
    </w:rPr>
  </w:style>
  <w:style w:type="paragraph" w:styleId="Heading1">
    <w:name w:val="heading 1"/>
    <w:basedOn w:val="Normal"/>
    <w:next w:val="Normal"/>
    <w:link w:val="Heading1Char"/>
    <w:uiPriority w:val="9"/>
    <w:qFormat/>
    <w:rsid w:val="004112F7"/>
    <w:pPr>
      <w:keepNext/>
      <w:keepLines/>
      <w:numPr>
        <w:numId w:val="1"/>
      </w:numPr>
      <w:ind w:left="431" w:hanging="431"/>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4112F7"/>
    <w:pPr>
      <w:keepNext/>
      <w:keepLines/>
      <w:numPr>
        <w:ilvl w:val="1"/>
        <w:numId w:val="1"/>
      </w:numPr>
      <w:spacing w:before="120"/>
      <w:ind w:left="578" w:hanging="578"/>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4112F7"/>
    <w:pPr>
      <w:keepNext/>
      <w:keepLines/>
      <w:numPr>
        <w:ilvl w:val="2"/>
        <w:numId w:val="1"/>
      </w:numPr>
      <w:spacing w:before="12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4112F7"/>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12F7"/>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2F7"/>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2F7"/>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2F7"/>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2F7"/>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2F7"/>
    <w:rPr>
      <w:rFonts w:ascii="Times New Roman" w:eastAsiaTheme="majorEastAsia" w:hAnsi="Times New Roman" w:cstheme="majorBidi"/>
      <w:b/>
      <w:sz w:val="22"/>
      <w:szCs w:val="40"/>
    </w:rPr>
  </w:style>
  <w:style w:type="character" w:customStyle="1" w:styleId="Heading2Char">
    <w:name w:val="Heading 2 Char"/>
    <w:basedOn w:val="DefaultParagraphFont"/>
    <w:link w:val="Heading2"/>
    <w:uiPriority w:val="9"/>
    <w:rsid w:val="004112F7"/>
    <w:rPr>
      <w:rFonts w:ascii="Times New Roman" w:eastAsiaTheme="majorEastAsia" w:hAnsi="Times New Roman" w:cstheme="majorBidi"/>
      <w:b/>
      <w:sz w:val="22"/>
      <w:szCs w:val="32"/>
    </w:rPr>
  </w:style>
  <w:style w:type="character" w:customStyle="1" w:styleId="Heading3Char">
    <w:name w:val="Heading 3 Char"/>
    <w:basedOn w:val="DefaultParagraphFont"/>
    <w:link w:val="Heading3"/>
    <w:uiPriority w:val="9"/>
    <w:rsid w:val="004112F7"/>
    <w:rPr>
      <w:rFonts w:ascii="Times New Roman" w:eastAsiaTheme="majorEastAsia" w:hAnsi="Times New Roman" w:cstheme="majorBidi"/>
      <w:b/>
      <w:sz w:val="22"/>
      <w:szCs w:val="28"/>
    </w:rPr>
  </w:style>
  <w:style w:type="character" w:customStyle="1" w:styleId="Heading4Char">
    <w:name w:val="Heading 4 Char"/>
    <w:basedOn w:val="DefaultParagraphFont"/>
    <w:link w:val="Heading4"/>
    <w:uiPriority w:val="9"/>
    <w:semiHidden/>
    <w:rsid w:val="004112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2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2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2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2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2F7"/>
    <w:rPr>
      <w:rFonts w:eastAsiaTheme="majorEastAsia" w:cstheme="majorBidi"/>
      <w:color w:val="272727" w:themeColor="text1" w:themeTint="D8"/>
    </w:rPr>
  </w:style>
  <w:style w:type="paragraph" w:styleId="Title">
    <w:name w:val="Title"/>
    <w:basedOn w:val="Normal"/>
    <w:next w:val="Normal"/>
    <w:link w:val="TitleChar"/>
    <w:uiPriority w:val="10"/>
    <w:qFormat/>
    <w:rsid w:val="004112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2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2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2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2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12F7"/>
    <w:rPr>
      <w:i/>
      <w:iCs/>
      <w:color w:val="404040" w:themeColor="text1" w:themeTint="BF"/>
    </w:rPr>
  </w:style>
  <w:style w:type="paragraph" w:styleId="ListParagraph">
    <w:name w:val="List Paragraph"/>
    <w:basedOn w:val="Normal"/>
    <w:uiPriority w:val="34"/>
    <w:qFormat/>
    <w:rsid w:val="004112F7"/>
    <w:pPr>
      <w:ind w:left="720"/>
      <w:contextualSpacing/>
    </w:pPr>
  </w:style>
  <w:style w:type="character" w:styleId="IntenseEmphasis">
    <w:name w:val="Intense Emphasis"/>
    <w:basedOn w:val="DefaultParagraphFont"/>
    <w:uiPriority w:val="21"/>
    <w:qFormat/>
    <w:rsid w:val="004112F7"/>
    <w:rPr>
      <w:i/>
      <w:iCs/>
      <w:color w:val="0F4761" w:themeColor="accent1" w:themeShade="BF"/>
    </w:rPr>
  </w:style>
  <w:style w:type="paragraph" w:styleId="IntenseQuote">
    <w:name w:val="Intense Quote"/>
    <w:basedOn w:val="Normal"/>
    <w:next w:val="Normal"/>
    <w:link w:val="IntenseQuoteChar"/>
    <w:uiPriority w:val="30"/>
    <w:qFormat/>
    <w:rsid w:val="00411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2F7"/>
    <w:rPr>
      <w:i/>
      <w:iCs/>
      <w:color w:val="0F4761" w:themeColor="accent1" w:themeShade="BF"/>
    </w:rPr>
  </w:style>
  <w:style w:type="character" w:styleId="IntenseReference">
    <w:name w:val="Intense Reference"/>
    <w:basedOn w:val="DefaultParagraphFont"/>
    <w:uiPriority w:val="32"/>
    <w:qFormat/>
    <w:rsid w:val="004112F7"/>
    <w:rPr>
      <w:b/>
      <w:bCs/>
      <w:smallCaps/>
      <w:color w:val="0F4761" w:themeColor="accent1" w:themeShade="BF"/>
      <w:spacing w:val="5"/>
    </w:rPr>
  </w:style>
  <w:style w:type="paragraph" w:customStyle="1" w:styleId="1Para">
    <w:name w:val="1_Para"/>
    <w:basedOn w:val="Normal"/>
    <w:qFormat/>
    <w:rsid w:val="004112F7"/>
    <w:pPr>
      <w:spacing w:before="120" w:after="240"/>
      <w:ind w:firstLine="720"/>
    </w:pPr>
    <w:rPr>
      <w:rFonts w:ascii="Arial" w:hAnsi="Arial"/>
      <w:kern w:val="0"/>
      <w:szCs w:val="22"/>
      <w:lang w:val="en-CA"/>
      <w14:ligatures w14:val="none"/>
    </w:rPr>
  </w:style>
  <w:style w:type="table" w:styleId="TableGrid">
    <w:name w:val="Table Grid"/>
    <w:basedOn w:val="TableNormal"/>
    <w:uiPriority w:val="39"/>
    <w:rsid w:val="00411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TableData">
    <w:name w:val="3_TableData"/>
    <w:basedOn w:val="Normal"/>
    <w:qFormat/>
    <w:rsid w:val="004112F7"/>
    <w:pPr>
      <w:keepLines/>
      <w:spacing w:after="0" w:line="240" w:lineRule="auto"/>
    </w:pPr>
    <w:rPr>
      <w:rFonts w:ascii="Arial Narrow" w:hAnsi="Arial Narrow"/>
      <w:kern w:val="0"/>
      <w:szCs w:val="22"/>
      <w14:ligatures w14:val="none"/>
    </w:rPr>
  </w:style>
  <w:style w:type="paragraph" w:customStyle="1" w:styleId="3TableNote">
    <w:name w:val="3_TableNote"/>
    <w:basedOn w:val="Normal"/>
    <w:qFormat/>
    <w:rsid w:val="00CD496F"/>
    <w:pPr>
      <w:spacing w:after="360" w:line="240" w:lineRule="auto"/>
    </w:pPr>
    <w:rPr>
      <w:rFonts w:ascii="Arial Narrow" w:hAnsi="Arial Narrow"/>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1611</Words>
  <Characters>9184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Kwon</dc:creator>
  <cp:keywords/>
  <dc:description/>
  <cp:lastModifiedBy>Katerina Kwon</cp:lastModifiedBy>
  <cp:revision>1</cp:revision>
  <dcterms:created xsi:type="dcterms:W3CDTF">2024-08-31T20:56:00Z</dcterms:created>
  <dcterms:modified xsi:type="dcterms:W3CDTF">2024-08-31T21:20:00Z</dcterms:modified>
</cp:coreProperties>
</file>