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C8F3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ure</w:t>
      </w:r>
      <w:r>
        <w:rPr>
          <w:rFonts w:ascii="Times New Roman" w:hAnsi="Times New Roman" w:cs="Times New Roman"/>
          <w:b/>
          <w:bCs/>
          <w:sz w:val="24"/>
        </w:rPr>
        <w:t xml:space="preserve"> 1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Quantile-quantile (Q-Q) plot of vitligo GWAS</w:t>
      </w:r>
    </w:p>
    <w:p w14:paraId="4B1001C8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Figure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2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Forest map show</w:t>
      </w:r>
      <w:r>
        <w:rPr>
          <w:rFonts w:hint="eastAsia" w:ascii="Times New Roman" w:hAnsi="Times New Roman" w:cs="Times New Roman"/>
          <w:b/>
          <w:bCs/>
          <w:sz w:val="24"/>
        </w:rPr>
        <w:t>ed</w:t>
      </w:r>
      <w:r>
        <w:rPr>
          <w:rFonts w:ascii="Times New Roman" w:hAnsi="Times New Roman" w:cs="Times New Roman"/>
          <w:b/>
          <w:bCs/>
          <w:sz w:val="24"/>
        </w:rPr>
        <w:t xml:space="preserve"> genetic associations between vitiligo and seven vitiligo risk factor</w:t>
      </w:r>
    </w:p>
    <w:p w14:paraId="402141B4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Figure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3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 xml:space="preserve">ignificant causal relationships between proteins tested by MR </w:t>
      </w:r>
      <w:r>
        <w:rPr>
          <w:rFonts w:hint="eastAsia"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b/>
          <w:bCs/>
          <w:sz w:val="24"/>
        </w:rPr>
        <w:t>nd SMR and vitiligo</w:t>
      </w:r>
    </w:p>
    <w:p w14:paraId="56E26D62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(A to </w:t>
      </w:r>
      <w:r>
        <w:rPr>
          <w:rFonts w:hint="eastAsia" w:ascii="Times New Roman" w:hAnsi="Times New Roman" w:cs="Times New Roman"/>
          <w:sz w:val="24"/>
        </w:rPr>
        <w:t>F</w:t>
      </w:r>
      <w:r>
        <w:rPr>
          <w:rFonts w:ascii="Times New Roman" w:hAnsi="Times New Roman" w:cs="Times New Roman"/>
          <w:sz w:val="24"/>
        </w:rPr>
        <w:t>) Significant causal relationships between CD160 (A), CFHR5 (</w:t>
      </w:r>
      <w:r>
        <w:rPr>
          <w:rFonts w:hint="eastAsia" w:ascii="Times New Roman" w:hAnsi="Times New Roman" w:cs="Times New Roman"/>
          <w:sz w:val="24"/>
        </w:rPr>
        <w:t>B</w:t>
      </w:r>
      <w:r>
        <w:rPr>
          <w:rFonts w:ascii="Times New Roman" w:hAnsi="Times New Roman" w:cs="Times New Roman"/>
          <w:sz w:val="24"/>
        </w:rPr>
        <w:t>), CRP (</w:t>
      </w:r>
      <w:r>
        <w:rPr>
          <w:rFonts w:hint="eastAsia" w:ascii="Times New Roman" w:hAnsi="Times New Roman" w:cs="Times New Roman"/>
          <w:sz w:val="24"/>
        </w:rPr>
        <w:t>C</w:t>
      </w:r>
      <w:r>
        <w:rPr>
          <w:rFonts w:ascii="Times New Roman" w:hAnsi="Times New Roman" w:cs="Times New Roman"/>
          <w:sz w:val="24"/>
        </w:rPr>
        <w:t>), IL9 (</w:t>
      </w:r>
      <w:r>
        <w:rPr>
          <w:rFonts w:hint="eastAsia" w:ascii="Times New Roman" w:hAnsi="Times New Roman" w:cs="Times New Roman"/>
          <w:sz w:val="24"/>
        </w:rPr>
        <w:t>D</w:t>
      </w:r>
      <w:r>
        <w:rPr>
          <w:rFonts w:ascii="Times New Roman" w:hAnsi="Times New Roman" w:cs="Times New Roman"/>
          <w:sz w:val="24"/>
        </w:rPr>
        <w:t>), LEAP2 (</w:t>
      </w:r>
      <w:r>
        <w:rPr>
          <w:rFonts w:hint="eastAsia"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</w:rPr>
        <w:t>), TYRO3 (</w:t>
      </w:r>
      <w:r>
        <w:rPr>
          <w:rFonts w:hint="eastAsia" w:ascii="Times New Roman" w:hAnsi="Times New Roman" w:cs="Times New Roman"/>
          <w:sz w:val="24"/>
        </w:rPr>
        <w:t>F</w:t>
      </w:r>
      <w:r>
        <w:rPr>
          <w:rFonts w:ascii="Times New Roman" w:hAnsi="Times New Roman" w:cs="Times New Roman"/>
          <w:sz w:val="24"/>
        </w:rPr>
        <w:t>) and vitiligo at the protein abundance level.</w:t>
      </w:r>
    </w:p>
    <w:p w14:paraId="478B1E0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Figure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4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Locus zoom plots show</w:t>
      </w:r>
      <w:r>
        <w:rPr>
          <w:rFonts w:hint="eastAsia" w:ascii="Times New Roman" w:hAnsi="Times New Roman" w:cs="Times New Roman"/>
          <w:b/>
          <w:bCs/>
          <w:sz w:val="24"/>
        </w:rPr>
        <w:t>ed</w:t>
      </w:r>
      <w:r>
        <w:rPr>
          <w:rFonts w:ascii="Times New Roman" w:hAnsi="Times New Roman" w:cs="Times New Roman"/>
          <w:b/>
          <w:bCs/>
          <w:sz w:val="24"/>
        </w:rPr>
        <w:t xml:space="preserve"> the consistent genetic effects from vitligo GWAS and cis-pQTL nearby protein-coding genes</w:t>
      </w:r>
    </w:p>
    <w:p w14:paraId="3F0B825A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(A to G) The consistent genetic effects from vitligo GWAS and cis-pQTL nearby CD160 (A), CDH17 (B), CRP (</w:t>
      </w:r>
      <w:r>
        <w:rPr>
          <w:rFonts w:hint="eastAsia" w:ascii="Times New Roman" w:hAnsi="Times New Roman" w:cs="Times New Roman"/>
          <w:sz w:val="24"/>
          <w:lang w:val="en-US" w:eastAsia="zh-CN"/>
        </w:rPr>
        <w:t>C</w:t>
      </w:r>
      <w:r>
        <w:rPr>
          <w:rFonts w:ascii="Times New Roman" w:hAnsi="Times New Roman" w:cs="Times New Roman"/>
          <w:sz w:val="24"/>
        </w:rPr>
        <w:t>), CXCL6 (</w:t>
      </w:r>
      <w:r>
        <w:rPr>
          <w:rFonts w:hint="eastAsia" w:ascii="Times New Roman" w:hAnsi="Times New Roman" w:cs="Times New Roman"/>
          <w:sz w:val="24"/>
          <w:lang w:val="en-US" w:eastAsia="zh-CN"/>
        </w:rPr>
        <w:t>D</w:t>
      </w:r>
      <w:r>
        <w:rPr>
          <w:rFonts w:ascii="Times New Roman" w:hAnsi="Times New Roman" w:cs="Times New Roman"/>
          <w:sz w:val="24"/>
        </w:rPr>
        <w:t>), IL9 (E), LEAP2 (F) and TYRO3 (G).</w:t>
      </w:r>
    </w:p>
    <w:p w14:paraId="37949D0C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Figure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5 </w:t>
      </w:r>
      <w:r>
        <w:rPr>
          <w:rFonts w:ascii="Times New Roman" w:hAnsi="Times New Roman" w:cs="Times New Roman"/>
          <w:b/>
          <w:bCs/>
          <w:sz w:val="24"/>
        </w:rPr>
        <w:t xml:space="preserve"> Supplementation of expression of protein-coding genes identified by GWAS meta-analysis and MR </w:t>
      </w:r>
      <w:r>
        <w:rPr>
          <w:rFonts w:hint="eastAsia" w:ascii="Times New Roman" w:hAnsi="Times New Roman" w:cs="Times New Roman"/>
          <w:b/>
          <w:bCs/>
          <w:sz w:val="24"/>
        </w:rPr>
        <w:t>i</w:t>
      </w:r>
      <w:r>
        <w:rPr>
          <w:rFonts w:ascii="Times New Roman" w:hAnsi="Times New Roman" w:cs="Times New Roman"/>
          <w:b/>
          <w:bCs/>
          <w:sz w:val="24"/>
        </w:rPr>
        <w:t>n single-cell data</w:t>
      </w:r>
    </w:p>
    <w:p w14:paraId="7F18360E">
      <w:pPr>
        <w:spacing w:line="480" w:lineRule="auto"/>
        <w:jc w:val="both"/>
      </w:pPr>
      <w:r>
        <w:rPr>
          <w:rFonts w:ascii="Times New Roman" w:hAnsi="Times New Roman" w:cs="Times New Roman"/>
          <w:sz w:val="24"/>
        </w:rPr>
        <w:t>(A) Heat maps show</w:t>
      </w:r>
      <w:r>
        <w:rPr>
          <w:rFonts w:hint="eastAsia" w:ascii="Times New Roman" w:hAnsi="Times New Roman" w:cs="Times New Roman"/>
          <w:sz w:val="24"/>
        </w:rPr>
        <w:t>ed</w:t>
      </w:r>
      <w:r>
        <w:rPr>
          <w:rFonts w:ascii="Times New Roman" w:hAnsi="Times New Roman" w:cs="Times New Roman"/>
          <w:sz w:val="24"/>
        </w:rPr>
        <w:t xml:space="preserve"> the enrichment of candidate genes in different cell types in healthy skin tissue. (B) Dot plot show</w:t>
      </w:r>
      <w:r>
        <w:rPr>
          <w:rFonts w:hint="eastAsia" w:ascii="Times New Roman" w:hAnsi="Times New Roman" w:cs="Times New Roman"/>
          <w:sz w:val="24"/>
        </w:rPr>
        <w:t>ed</w:t>
      </w:r>
      <w:r>
        <w:rPr>
          <w:rFonts w:ascii="Times New Roman" w:hAnsi="Times New Roman" w:cs="Times New Roman"/>
          <w:sz w:val="24"/>
        </w:rPr>
        <w:t xml:space="preserve"> marker gene expression for T cell subtype identification. </w:t>
      </w:r>
      <w:r>
        <w:rPr>
          <w:rFonts w:hint="eastAsia" w:ascii="Times New Roman" w:hAnsi="Times New Roman" w:cs="Times New Roman"/>
          <w:sz w:val="24"/>
        </w:rPr>
        <w:t>(C)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Barplot demonstrated the functional enrichment in different biological processes of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each </w:t>
      </w:r>
      <w:r>
        <w:rPr>
          <w:rFonts w:ascii="Times New Roman" w:hAnsi="Times New Roman" w:cs="Times New Roman"/>
          <w:sz w:val="24"/>
        </w:rPr>
        <w:t>T cell subgroup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. </w:t>
      </w:r>
      <w:r>
        <w:rPr>
          <w:rFonts w:ascii="Times New Roman" w:hAnsi="Times New Roman" w:cs="Times New Roman"/>
          <w:sz w:val="24"/>
        </w:rPr>
        <w:t>(D) Dot plot showed the expression of BACH2 and CDH17 of CD8+ Tex in different disease states. (E) Box plot showed the expression of CD160 in NK cells in different disease states. (F) Trajectory inferential analysis of T &amp; NK cell subclusters, colored by cell clusters and quasi-time series, respectively. (</w:t>
      </w:r>
      <w:r>
        <w:rPr>
          <w:rFonts w:hint="eastAsia" w:ascii="Times New Roman" w:hAnsi="Times New Roman" w:cs="Times New Roman"/>
          <w:sz w:val="24"/>
        </w:rPr>
        <w:t>G</w:t>
      </w:r>
      <w:r>
        <w:rPr>
          <w:rFonts w:ascii="Times New Roman" w:hAnsi="Times New Roman" w:cs="Times New Roman"/>
          <w:sz w:val="24"/>
        </w:rPr>
        <w:t>) Dot plot show</w:t>
      </w:r>
      <w:r>
        <w:rPr>
          <w:rFonts w:hint="eastAsia" w:ascii="Times New Roman" w:hAnsi="Times New Roman" w:cs="Times New Roman"/>
          <w:sz w:val="24"/>
        </w:rPr>
        <w:t>ed</w:t>
      </w:r>
      <w:r>
        <w:rPr>
          <w:rFonts w:ascii="Times New Roman" w:hAnsi="Times New Roman" w:cs="Times New Roman"/>
          <w:sz w:val="24"/>
        </w:rPr>
        <w:t xml:space="preserve"> marker gene expression for </w:t>
      </w:r>
      <w:r>
        <w:rPr>
          <w:rFonts w:hint="eastAsia" w:ascii="Times New Roman" w:hAnsi="Times New Roman" w:cs="Times New Roman"/>
          <w:sz w:val="24"/>
        </w:rPr>
        <w:t>m</w:t>
      </w:r>
      <w:r>
        <w:rPr>
          <w:rFonts w:ascii="Times New Roman" w:hAnsi="Times New Roman" w:cs="Times New Roman"/>
          <w:sz w:val="24"/>
        </w:rPr>
        <w:t>yeloid cell subtype identification. (</w:t>
      </w:r>
      <w:r>
        <w:rPr>
          <w:rFonts w:hint="eastAsia" w:ascii="Times New Roman" w:hAnsi="Times New Roman" w:cs="Times New Roman"/>
          <w:sz w:val="24"/>
        </w:rPr>
        <w:t>H</w:t>
      </w:r>
      <w:r>
        <w:rPr>
          <w:rFonts w:ascii="Times New Roman" w:hAnsi="Times New Roman" w:cs="Times New Roman"/>
          <w:sz w:val="24"/>
        </w:rPr>
        <w:t>) GO term analysis of myeloid cell subtype identification.</w:t>
      </w:r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lnNumType w:countBy="1"/>
      <w:pgNumType w:fmt="decimal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337C98"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7466128"/>
                          </w:sdtPr>
                          <w:sdtContent>
                            <w:p w14:paraId="77D21273">
                              <w:pPr>
                                <w:pStyle w:val="2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3DFB384D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66128"/>
                    </w:sdtPr>
                    <w:sdtContent>
                      <w:p w14:paraId="77D21273">
                        <w:pPr>
                          <w:pStyle w:val="2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3DFB384D"/>
                </w:txbxContent>
              </v:textbox>
            </v:shape>
          </w:pict>
        </mc:Fallback>
      </mc:AlternateContent>
    </w:r>
  </w:p>
  <w:p w14:paraId="23ABE259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lZTcxYzViZjU1ZjJmYjdlNGUxNmE0MjVhOWVjYzkifQ=="/>
  </w:docVars>
  <w:rsids>
    <w:rsidRoot w:val="00000000"/>
    <w:rsid w:val="3D520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2024-08-31T10:03:53Z</dcterms:created>
  <dc:creator>Meng</dc:creator>
  <cp:lastModifiedBy>__时丿如细水</cp:lastModifiedBy>
  <dcterms:modified xsi:type="dcterms:W3CDTF">2024-08-31T10:03:59Z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4216A50D9FB74A5690C6095F381A5FAB_12</vt:lpwstr>
  </property>
</Properties>
</file>