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CB7EFB" w14:textId="58312A3F" w:rsidR="00EA462B" w:rsidRPr="00956622" w:rsidRDefault="00EA462B" w:rsidP="00EA462B">
      <w:pPr>
        <w:pStyle w:val="Kop1"/>
        <w:spacing w:line="480" w:lineRule="auto"/>
        <w:rPr>
          <w:rStyle w:val="Hyperlink"/>
          <w:rFonts w:ascii="Aptos" w:hAnsi="Aptos"/>
          <w:b/>
          <w:bCs/>
          <w:color w:val="auto"/>
          <w:sz w:val="24"/>
          <w:szCs w:val="24"/>
          <w:u w:val="none"/>
          <w:lang w:val="en-GB"/>
        </w:rPr>
      </w:pPr>
      <w:r w:rsidRPr="00956622">
        <w:rPr>
          <w:rStyle w:val="Hyperlink"/>
          <w:rFonts w:ascii="Aptos" w:hAnsi="Aptos"/>
          <w:b/>
          <w:bCs/>
          <w:color w:val="auto"/>
          <w:sz w:val="24"/>
          <w:szCs w:val="24"/>
          <w:u w:val="none"/>
          <w:lang w:val="en-GB"/>
        </w:rPr>
        <w:t xml:space="preserve">Supplemental </w:t>
      </w:r>
      <w:r w:rsidR="00956622" w:rsidRPr="00956622">
        <w:rPr>
          <w:rStyle w:val="Hyperlink"/>
          <w:rFonts w:ascii="Aptos" w:hAnsi="Aptos"/>
          <w:b/>
          <w:bCs/>
          <w:color w:val="auto"/>
          <w:sz w:val="24"/>
          <w:szCs w:val="24"/>
          <w:u w:val="none"/>
          <w:lang w:val="en-GB"/>
        </w:rPr>
        <w:t>material</w:t>
      </w:r>
    </w:p>
    <w:p w14:paraId="3C4F3601" w14:textId="6B218162" w:rsidR="00EA462B" w:rsidRPr="00956622" w:rsidRDefault="005A2F65" w:rsidP="00EA462B">
      <w:pPr>
        <w:rPr>
          <w:rFonts w:ascii="Aptos" w:hAnsi="Aptos"/>
          <w:b/>
          <w:bCs/>
          <w:sz w:val="20"/>
          <w:szCs w:val="20"/>
          <w:lang w:val="en-GB"/>
        </w:rPr>
      </w:pPr>
      <w:r w:rsidRPr="00956622">
        <w:rPr>
          <w:rFonts w:ascii="Aptos" w:hAnsi="Aptos"/>
          <w:b/>
          <w:bCs/>
          <w:sz w:val="20"/>
          <w:szCs w:val="20"/>
          <w:lang w:val="en-GB"/>
        </w:rPr>
        <w:t>T</w:t>
      </w:r>
      <w:r w:rsidR="00EA462B" w:rsidRPr="00956622">
        <w:rPr>
          <w:rFonts w:ascii="Aptos" w:hAnsi="Aptos"/>
          <w:b/>
          <w:bCs/>
          <w:sz w:val="20"/>
          <w:szCs w:val="20"/>
          <w:lang w:val="en-GB"/>
        </w:rPr>
        <w:t xml:space="preserve">able </w:t>
      </w:r>
      <w:r w:rsidR="00956622" w:rsidRPr="00956622">
        <w:rPr>
          <w:rFonts w:ascii="Aptos" w:hAnsi="Aptos"/>
          <w:b/>
          <w:bCs/>
          <w:sz w:val="20"/>
          <w:szCs w:val="20"/>
          <w:lang w:val="en-GB"/>
        </w:rPr>
        <w:t>S</w:t>
      </w:r>
      <w:r w:rsidR="00EA462B" w:rsidRPr="00956622">
        <w:rPr>
          <w:rFonts w:ascii="Aptos" w:hAnsi="Aptos"/>
          <w:b/>
          <w:bCs/>
          <w:sz w:val="20"/>
          <w:szCs w:val="20"/>
          <w:lang w:val="en-GB"/>
        </w:rPr>
        <w:t xml:space="preserve">1. </w:t>
      </w:r>
      <w:r w:rsidR="00EA462B" w:rsidRPr="00956622">
        <w:rPr>
          <w:rFonts w:ascii="Aptos" w:hAnsi="Aptos"/>
          <w:sz w:val="20"/>
          <w:szCs w:val="20"/>
          <w:lang w:val="en-GB"/>
        </w:rPr>
        <w:t>Registered complication details</w:t>
      </w:r>
      <w:r w:rsidR="00EA462B" w:rsidRPr="00956622">
        <w:rPr>
          <w:rFonts w:ascii="Aptos" w:hAnsi="Aptos"/>
          <w:b/>
          <w:bCs/>
          <w:sz w:val="20"/>
          <w:szCs w:val="20"/>
          <w:lang w:val="en-GB"/>
        </w:rPr>
        <w:t xml:space="preserve">  </w:t>
      </w:r>
    </w:p>
    <w:p w14:paraId="56DE918B" w14:textId="77777777" w:rsidR="00EA462B" w:rsidRPr="00956622" w:rsidRDefault="00EA462B" w:rsidP="00EA462B">
      <w:pPr>
        <w:rPr>
          <w:rFonts w:ascii="Aptos" w:hAnsi="Aptos"/>
          <w:b/>
          <w:bCs/>
          <w:sz w:val="20"/>
          <w:szCs w:val="20"/>
          <w:lang w:val="en-GB"/>
        </w:rPr>
      </w:pPr>
    </w:p>
    <w:tbl>
      <w:tblPr>
        <w:tblW w:w="9834" w:type="dxa"/>
        <w:tblInd w:w="-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4"/>
        <w:gridCol w:w="2157"/>
        <w:gridCol w:w="2409"/>
        <w:gridCol w:w="3544"/>
      </w:tblGrid>
      <w:tr w:rsidR="00EA462B" w:rsidRPr="00956622" w14:paraId="5FEA5D68" w14:textId="77777777" w:rsidTr="00525F0A">
        <w:trPr>
          <w:trHeight w:val="217"/>
        </w:trPr>
        <w:tc>
          <w:tcPr>
            <w:tcW w:w="172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F3E20E" w14:textId="77777777" w:rsidR="00EA462B" w:rsidRPr="00956622" w:rsidRDefault="00EA462B" w:rsidP="00525F0A">
            <w:pPr>
              <w:spacing w:line="480" w:lineRule="auto"/>
              <w:jc w:val="center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Peroperative</w:t>
            </w:r>
          </w:p>
        </w:tc>
        <w:tc>
          <w:tcPr>
            <w:tcW w:w="2157" w:type="dxa"/>
            <w:shd w:val="clear" w:color="auto" w:fill="auto"/>
          </w:tcPr>
          <w:p w14:paraId="6B33F2D9" w14:textId="77777777" w:rsidR="00EA462B" w:rsidRPr="00956622" w:rsidRDefault="00EA462B" w:rsidP="00525F0A">
            <w:pPr>
              <w:spacing w:line="480" w:lineRule="auto"/>
              <w:jc w:val="center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Short term (&lt;30 days) – Surgical</w:t>
            </w:r>
          </w:p>
        </w:tc>
        <w:tc>
          <w:tcPr>
            <w:tcW w:w="2409" w:type="dxa"/>
            <w:shd w:val="clear" w:color="auto" w:fill="auto"/>
          </w:tcPr>
          <w:p w14:paraId="42F85EC6" w14:textId="77777777" w:rsidR="00EA462B" w:rsidRPr="00956622" w:rsidRDefault="00EA462B" w:rsidP="00525F0A">
            <w:pPr>
              <w:spacing w:line="480" w:lineRule="auto"/>
              <w:jc w:val="center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Short term (&lt;30 days) – General</w:t>
            </w:r>
          </w:p>
        </w:tc>
        <w:tc>
          <w:tcPr>
            <w:tcW w:w="3544" w:type="dxa"/>
            <w:shd w:val="clear" w:color="auto" w:fill="auto"/>
          </w:tcPr>
          <w:p w14:paraId="4D58BA28" w14:textId="719CB39A" w:rsidR="00EA462B" w:rsidRPr="00956622" w:rsidRDefault="00EA462B" w:rsidP="00525F0A">
            <w:pPr>
              <w:spacing w:line="480" w:lineRule="auto"/>
              <w:jc w:val="center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</w:rPr>
              <w:t>Long</w:t>
            </w:r>
            <w:r w:rsidR="00956622">
              <w:rPr>
                <w:rFonts w:ascii="Aptos" w:hAnsi="Aptos" w:cstheme="minorHAnsi"/>
                <w:sz w:val="20"/>
                <w:szCs w:val="20"/>
              </w:rPr>
              <w:t xml:space="preserve">-term (&gt;30 days) </w:t>
            </w:r>
          </w:p>
        </w:tc>
      </w:tr>
      <w:tr w:rsidR="00EA462B" w:rsidRPr="00956622" w14:paraId="322222B6" w14:textId="77777777" w:rsidTr="00525F0A">
        <w:trPr>
          <w:trHeight w:val="4675"/>
        </w:trPr>
        <w:tc>
          <w:tcPr>
            <w:tcW w:w="172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0E468F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Perforation</w:t>
            </w:r>
          </w:p>
          <w:p w14:paraId="67B5A560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Bleeding</w:t>
            </w:r>
          </w:p>
          <w:p w14:paraId="3E965461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Spleen damage</w:t>
            </w:r>
          </w:p>
          <w:p w14:paraId="282FD46C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Liver damage</w:t>
            </w:r>
          </w:p>
          <w:p w14:paraId="4DF4FC24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Damage large vessel</w:t>
            </w:r>
          </w:p>
          <w:p w14:paraId="4A79C0CD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</w:p>
          <w:p w14:paraId="3BE65C81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</w:p>
          <w:p w14:paraId="0F778726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</w:p>
          <w:p w14:paraId="77887ED0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</w:p>
          <w:p w14:paraId="4A75F2BD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</w:p>
          <w:p w14:paraId="29EE1C32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</w:p>
        </w:tc>
        <w:tc>
          <w:tcPr>
            <w:tcW w:w="2157" w:type="dxa"/>
            <w:shd w:val="clear" w:color="auto" w:fill="auto"/>
          </w:tcPr>
          <w:p w14:paraId="2EBC7458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 xml:space="preserve">Bleeding </w:t>
            </w:r>
          </w:p>
          <w:p w14:paraId="0EC82711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 xml:space="preserve">Anastomotic leakage </w:t>
            </w:r>
          </w:p>
          <w:p w14:paraId="2F8F7B83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Intra-abdominal abscess</w:t>
            </w:r>
          </w:p>
          <w:p w14:paraId="2E821D3E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Infection wound</w:t>
            </w:r>
          </w:p>
          <w:p w14:paraId="50A8A665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Wound dehiscence</w:t>
            </w:r>
          </w:p>
          <w:p w14:paraId="7104467B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Intestinal obstruction</w:t>
            </w:r>
          </w:p>
          <w:p w14:paraId="4C10DC10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Anatomical stricture</w:t>
            </w:r>
          </w:p>
          <w:p w14:paraId="3DD7238F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Gastric ulcer /ulcer stoma</w:t>
            </w:r>
          </w:p>
          <w:p w14:paraId="017C0550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Liver failure</w:t>
            </w:r>
          </w:p>
          <w:p w14:paraId="0DE471CF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Vomiting</w:t>
            </w:r>
          </w:p>
          <w:p w14:paraId="0FEEB7F8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Infection port d’entrée</w:t>
            </w:r>
          </w:p>
          <w:p w14:paraId="541452B0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 xml:space="preserve">Sepsis </w:t>
            </w:r>
          </w:p>
          <w:p w14:paraId="2AB504DD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 xml:space="preserve">Bile leakage </w:t>
            </w:r>
          </w:p>
          <w:p w14:paraId="7D88690C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 xml:space="preserve">Injury intestines </w:t>
            </w:r>
          </w:p>
          <w:p w14:paraId="7532FE99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 w:eastAsia="nl-NL"/>
              </w:rPr>
              <w:t>Other</w:t>
            </w:r>
          </w:p>
        </w:tc>
        <w:tc>
          <w:tcPr>
            <w:tcW w:w="2409" w:type="dxa"/>
          </w:tcPr>
          <w:p w14:paraId="405E1C8F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  <w:t>Cardial</w:t>
            </w:r>
          </w:p>
          <w:p w14:paraId="757A5FDB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Myocardial infarction, arrhythmia</w:t>
            </w:r>
          </w:p>
          <w:p w14:paraId="72BC4074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</w:p>
          <w:p w14:paraId="3B01918F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  <w:t>Pulmonal</w:t>
            </w:r>
          </w:p>
          <w:p w14:paraId="4639F8AF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Pulmonary infection, pleural effusion, administration of extra oxygen or need of other pulmonal support</w:t>
            </w:r>
          </w:p>
          <w:p w14:paraId="39063455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</w:p>
          <w:p w14:paraId="3E1263CA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  <w:t>Thrombotic</w:t>
            </w:r>
          </w:p>
          <w:p w14:paraId="628B1E16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Deep venous thrombosis, pulmonary embolism</w:t>
            </w:r>
          </w:p>
          <w:p w14:paraId="0E0E2CCE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</w:p>
          <w:p w14:paraId="50D98326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 w:eastAsia="nl-NL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  <w:t>Other</w:t>
            </w:r>
          </w:p>
        </w:tc>
        <w:tc>
          <w:tcPr>
            <w:tcW w:w="3544" w:type="dxa"/>
          </w:tcPr>
          <w:p w14:paraId="43891801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  <w:t>Oesophagus</w:t>
            </w:r>
          </w:p>
          <w:p w14:paraId="7D6AB7F9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Oesophageal dilatation, GERD-esophagitis, Oesophageal dysmotility</w:t>
            </w:r>
          </w:p>
          <w:p w14:paraId="0220D4F4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</w:p>
          <w:p w14:paraId="4096541B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  <w:t>Stomach</w:t>
            </w:r>
          </w:p>
          <w:p w14:paraId="622563E1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Gastric ulcer, marginal ulcer, stricture, delayed gastric emptying, motility disorders</w:t>
            </w:r>
          </w:p>
          <w:p w14:paraId="4F7597F0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</w:p>
          <w:p w14:paraId="6D52ACEC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  <w:t>Metabolic</w:t>
            </w:r>
          </w:p>
          <w:p w14:paraId="17C0D8AA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Dumping (early and late), deficiencies: hyper parathyroiditis, peripheral neuropathy, electrolyte disorders</w:t>
            </w:r>
          </w:p>
          <w:p w14:paraId="5C44C035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</w:p>
          <w:p w14:paraId="548E91E9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  <w:t>Hepatogenic</w:t>
            </w:r>
          </w:p>
          <w:p w14:paraId="7C807D9E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Liver failure, gallstones</w:t>
            </w:r>
          </w:p>
          <w:p w14:paraId="68601EC4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</w:p>
          <w:p w14:paraId="4A893585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u w:val="single"/>
                <w:lang w:val="en-GB"/>
              </w:rPr>
              <w:t>Other</w:t>
            </w:r>
          </w:p>
          <w:p w14:paraId="0CD713E0" w14:textId="77777777" w:rsidR="00EA462B" w:rsidRPr="00956622" w:rsidRDefault="00EA462B" w:rsidP="00525F0A">
            <w:pPr>
              <w:pStyle w:val="Geenafstand"/>
              <w:spacing w:line="480" w:lineRule="auto"/>
              <w:rPr>
                <w:rFonts w:ascii="Aptos" w:hAnsi="Aptos" w:cstheme="minorHAnsi"/>
                <w:sz w:val="20"/>
                <w:szCs w:val="20"/>
                <w:lang w:val="en-GB"/>
              </w:rPr>
            </w:pPr>
            <w:r w:rsidRPr="00956622">
              <w:rPr>
                <w:rFonts w:ascii="Aptos" w:hAnsi="Aptos" w:cstheme="minorHAnsi"/>
                <w:sz w:val="20"/>
                <w:szCs w:val="20"/>
                <w:lang w:val="en-GB"/>
              </w:rPr>
              <w:t>Internal hernia, cicatricial herniation, intestinal obstruction, metabolic-bariatric procedure intolerance.</w:t>
            </w:r>
          </w:p>
        </w:tc>
      </w:tr>
    </w:tbl>
    <w:p w14:paraId="129512A9" w14:textId="7FD3142F" w:rsidR="004B050E" w:rsidRPr="00956622" w:rsidRDefault="004B050E" w:rsidP="00EA462B">
      <w:pPr>
        <w:rPr>
          <w:rFonts w:ascii="Aptos" w:hAnsi="Aptos"/>
          <w:sz w:val="20"/>
          <w:szCs w:val="20"/>
          <w:lang w:val="en-GB"/>
        </w:rPr>
      </w:pPr>
    </w:p>
    <w:sectPr w:rsidR="004B050E" w:rsidRPr="009566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0851C7" w14:textId="77777777" w:rsidR="00EA462B" w:rsidRDefault="00EA462B" w:rsidP="00EA462B">
      <w:pPr>
        <w:spacing w:after="0" w:line="240" w:lineRule="auto"/>
      </w:pPr>
      <w:r>
        <w:separator/>
      </w:r>
    </w:p>
  </w:endnote>
  <w:endnote w:type="continuationSeparator" w:id="0">
    <w:p w14:paraId="7CE6A66A" w14:textId="77777777" w:rsidR="00EA462B" w:rsidRDefault="00EA462B" w:rsidP="00EA4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FC3491" w14:textId="77777777" w:rsidR="00EA462B" w:rsidRDefault="00EA462B" w:rsidP="00EA462B">
      <w:pPr>
        <w:spacing w:after="0" w:line="240" w:lineRule="auto"/>
      </w:pPr>
      <w:r>
        <w:separator/>
      </w:r>
    </w:p>
  </w:footnote>
  <w:footnote w:type="continuationSeparator" w:id="0">
    <w:p w14:paraId="2D6A19D9" w14:textId="77777777" w:rsidR="00EA462B" w:rsidRDefault="00EA462B" w:rsidP="00EA46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62B"/>
    <w:rsid w:val="004B050E"/>
    <w:rsid w:val="005A2F65"/>
    <w:rsid w:val="00956622"/>
    <w:rsid w:val="00EA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895FF"/>
  <w15:chartTrackingRefBased/>
  <w15:docId w15:val="{DD2B8FF8-B82E-4F3F-B05C-5F795A597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A46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A462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styleId="Hyperlink">
    <w:name w:val="Hyperlink"/>
    <w:basedOn w:val="Standaardalinea-lettertype"/>
    <w:uiPriority w:val="99"/>
    <w:unhideWhenUsed/>
    <w:rsid w:val="00EA462B"/>
    <w:rPr>
      <w:color w:val="0000FF"/>
      <w:u w:val="single"/>
    </w:rPr>
  </w:style>
  <w:style w:type="paragraph" w:styleId="Geenafstand">
    <w:name w:val="No Spacing"/>
    <w:uiPriority w:val="1"/>
    <w:qFormat/>
    <w:rsid w:val="00EA462B"/>
    <w:pPr>
      <w:spacing w:after="0" w:line="240" w:lineRule="auto"/>
    </w:pPr>
    <w:rPr>
      <w:kern w:val="0"/>
      <w14:ligatures w14:val="none"/>
    </w:rPr>
  </w:style>
  <w:style w:type="paragraph" w:styleId="Koptekst">
    <w:name w:val="header"/>
    <w:basedOn w:val="Standaard"/>
    <w:link w:val="KoptekstChar"/>
    <w:uiPriority w:val="99"/>
    <w:unhideWhenUsed/>
    <w:rsid w:val="00EA46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A462B"/>
  </w:style>
  <w:style w:type="paragraph" w:styleId="Voettekst">
    <w:name w:val="footer"/>
    <w:basedOn w:val="Standaard"/>
    <w:link w:val="VoettekstChar"/>
    <w:uiPriority w:val="99"/>
    <w:unhideWhenUsed/>
    <w:rsid w:val="00EA46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A46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van Ede</dc:creator>
  <cp:keywords/>
  <dc:description/>
  <cp:lastModifiedBy>Lisa van Ede</cp:lastModifiedBy>
  <cp:revision>4</cp:revision>
  <dcterms:created xsi:type="dcterms:W3CDTF">2024-03-15T11:43:00Z</dcterms:created>
  <dcterms:modified xsi:type="dcterms:W3CDTF">2024-07-08T08:24:00Z</dcterms:modified>
</cp:coreProperties>
</file>