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9DCD4" w14:textId="77777777" w:rsidR="003D6C79" w:rsidRPr="00B8034F" w:rsidRDefault="003D6C79" w:rsidP="003D6C79">
      <w:pPr>
        <w:widowControl/>
        <w:spacing w:line="240" w:lineRule="auto"/>
        <w:ind w:firstLine="0"/>
        <w:jc w:val="left"/>
        <w:rPr>
          <w:rFonts w:ascii="Times" w:eastAsia="Times New Roman" w:hAnsi="Times" w:cs="Times New Roman"/>
          <w:b/>
          <w:bCs/>
          <w:i/>
          <w:iCs/>
          <w:szCs w:val="24"/>
          <w:lang w:val="en-PH"/>
        </w:rPr>
      </w:pPr>
      <w:r w:rsidRPr="00B8034F">
        <w:rPr>
          <w:rFonts w:ascii="Times" w:eastAsia="Times New Roman" w:hAnsi="Times" w:cs="Arial"/>
          <w:b/>
          <w:bCs/>
          <w:i/>
          <w:iCs/>
          <w:color w:val="000000"/>
          <w:szCs w:val="24"/>
          <w:shd w:val="clear" w:color="auto" w:fill="FFFFFF"/>
          <w:lang w:val="en-PH"/>
        </w:rPr>
        <w:t>International Journal of Clinical Pharmacy</w:t>
      </w:r>
    </w:p>
    <w:p w14:paraId="620E9DE9" w14:textId="1E1C6A1B" w:rsidR="003D6C79" w:rsidRPr="003D6C79" w:rsidRDefault="003D6C79" w:rsidP="003D6C79">
      <w:pPr>
        <w:ind w:firstLine="0"/>
        <w:jc w:val="left"/>
        <w:rPr>
          <w:rFonts w:ascii="Times" w:eastAsia="Times New Roman" w:hAnsi="Times" w:cs="Times New Roman"/>
          <w:b/>
          <w:szCs w:val="24"/>
        </w:rPr>
      </w:pPr>
      <w:r w:rsidRPr="003D6C79">
        <w:rPr>
          <w:rFonts w:ascii="Times" w:eastAsia="Times New Roman" w:hAnsi="Times" w:cs="Times New Roman"/>
          <w:b/>
          <w:szCs w:val="24"/>
        </w:rPr>
        <w:t>Risk of major bleeding and thromboembolism in Asian atrial fibrillation patients using non-vitamin K oral anticoagulants versus warfarin</w:t>
      </w:r>
    </w:p>
    <w:p w14:paraId="65CCE130" w14:textId="77777777" w:rsidR="003D6C79" w:rsidRPr="003D6C79" w:rsidRDefault="003D6C79" w:rsidP="003D6C79">
      <w:pPr>
        <w:ind w:firstLine="0"/>
        <w:jc w:val="left"/>
        <w:rPr>
          <w:rFonts w:ascii="Times" w:eastAsia="Times New Roman" w:hAnsi="Times" w:cs="Times New Roman"/>
          <w:szCs w:val="24"/>
        </w:rPr>
      </w:pPr>
      <w:r w:rsidRPr="003D6C79">
        <w:rPr>
          <w:rFonts w:ascii="Times" w:eastAsia="Times New Roman" w:hAnsi="Times" w:cs="Times New Roman"/>
          <w:b/>
          <w:szCs w:val="24"/>
        </w:rPr>
        <w:t>Authors:</w:t>
      </w:r>
    </w:p>
    <w:p w14:paraId="7FE7DDB4" w14:textId="77777777" w:rsidR="003D6C79" w:rsidRPr="003D6C79" w:rsidRDefault="003D6C79" w:rsidP="003D6C79">
      <w:pPr>
        <w:tabs>
          <w:tab w:val="left" w:pos="3686"/>
          <w:tab w:val="left" w:pos="4536"/>
        </w:tabs>
        <w:ind w:firstLine="0"/>
        <w:jc w:val="left"/>
        <w:rPr>
          <w:rFonts w:ascii="Times" w:eastAsia="Times New Roman" w:hAnsi="Times" w:cs="Times New Roman"/>
          <w:szCs w:val="24"/>
        </w:rPr>
      </w:pPr>
      <w:proofErr w:type="spellStart"/>
      <w:r w:rsidRPr="003D6C79">
        <w:rPr>
          <w:rFonts w:ascii="Times" w:eastAsia="Times New Roman" w:hAnsi="Times" w:cs="Times New Roman"/>
          <w:szCs w:val="24"/>
        </w:rPr>
        <w:t>Ya</w:t>
      </w:r>
      <w:proofErr w:type="spellEnd"/>
      <w:r w:rsidRPr="003D6C79">
        <w:rPr>
          <w:rFonts w:ascii="Times" w:eastAsia="Times New Roman" w:hAnsi="Times" w:cs="Times New Roman"/>
          <w:szCs w:val="24"/>
        </w:rPr>
        <w:t>-Ling Huang</w:t>
      </w:r>
      <w:r w:rsidRPr="003D6C79">
        <w:rPr>
          <w:rFonts w:ascii="Times" w:eastAsia="Times New Roman" w:hAnsi="Times" w:cs="Times New Roman"/>
          <w:szCs w:val="24"/>
          <w:vertAlign w:val="superscript"/>
        </w:rPr>
        <w:t>1</w:t>
      </w:r>
      <w:r w:rsidRPr="003D6C79">
        <w:rPr>
          <w:rFonts w:ascii="Times" w:eastAsia="Times New Roman" w:hAnsi="Times" w:cs="Times New Roman"/>
          <w:szCs w:val="24"/>
        </w:rPr>
        <w:tab/>
        <w:t>https://orcid.org/0000-0002-8700-6653</w:t>
      </w:r>
    </w:p>
    <w:p w14:paraId="7D313879" w14:textId="77777777" w:rsidR="003D6C79" w:rsidRPr="003D6C79" w:rsidRDefault="003D6C79" w:rsidP="003D6C79">
      <w:pPr>
        <w:tabs>
          <w:tab w:val="left" w:pos="3686"/>
          <w:tab w:val="left" w:pos="4536"/>
        </w:tabs>
        <w:ind w:firstLine="0"/>
        <w:jc w:val="left"/>
        <w:rPr>
          <w:rFonts w:ascii="Times" w:eastAsia="Times New Roman" w:hAnsi="Times" w:cs="Times New Roman"/>
          <w:szCs w:val="24"/>
        </w:rPr>
      </w:pPr>
      <w:r w:rsidRPr="003D6C79">
        <w:rPr>
          <w:rFonts w:ascii="Times" w:eastAsia="Times New Roman" w:hAnsi="Times" w:cs="Times New Roman"/>
          <w:szCs w:val="24"/>
        </w:rPr>
        <w:t>Ching-Yao Chen</w:t>
      </w:r>
      <w:r w:rsidRPr="003D6C79">
        <w:rPr>
          <w:rFonts w:ascii="Times" w:eastAsia="Times New Roman" w:hAnsi="Times" w:cs="Times New Roman"/>
          <w:szCs w:val="24"/>
          <w:vertAlign w:val="superscript"/>
        </w:rPr>
        <w:t>1</w:t>
      </w:r>
      <w:r w:rsidRPr="003D6C79">
        <w:rPr>
          <w:rFonts w:ascii="Times" w:eastAsia="Times New Roman" w:hAnsi="Times" w:cs="Times New Roman"/>
          <w:szCs w:val="24"/>
        </w:rPr>
        <w:t xml:space="preserve"> </w:t>
      </w:r>
      <w:r w:rsidRPr="003D6C79">
        <w:rPr>
          <w:rFonts w:ascii="Times" w:eastAsia="Times New Roman" w:hAnsi="Times" w:cs="Times New Roman"/>
          <w:szCs w:val="24"/>
        </w:rPr>
        <w:tab/>
        <w:t>https://orcid.org/0000-0002-8478-4118</w:t>
      </w:r>
    </w:p>
    <w:p w14:paraId="7FF2370D" w14:textId="00288BEB" w:rsidR="003D6C79" w:rsidRPr="003D6C79" w:rsidRDefault="003D6C79" w:rsidP="00B8034F">
      <w:pPr>
        <w:tabs>
          <w:tab w:val="left" w:pos="3686"/>
          <w:tab w:val="left" w:pos="4536"/>
        </w:tabs>
        <w:ind w:firstLine="0"/>
        <w:jc w:val="left"/>
        <w:rPr>
          <w:rFonts w:ascii="Times" w:eastAsia="Times New Roman" w:hAnsi="Times" w:cs="Times New Roman"/>
          <w:szCs w:val="24"/>
        </w:rPr>
      </w:pPr>
      <w:r w:rsidRPr="003D6C79">
        <w:rPr>
          <w:rFonts w:ascii="Times" w:eastAsia="Times New Roman" w:hAnsi="Times" w:cs="Times New Roman"/>
          <w:szCs w:val="24"/>
        </w:rPr>
        <w:t>Ching-Chi Chu</w:t>
      </w:r>
      <w:r w:rsidRPr="003D6C79">
        <w:rPr>
          <w:rFonts w:ascii="Times" w:eastAsia="Times New Roman" w:hAnsi="Times" w:cs="Times New Roman"/>
          <w:szCs w:val="24"/>
          <w:vertAlign w:val="superscript"/>
        </w:rPr>
        <w:t>1</w:t>
      </w:r>
      <w:r w:rsidRPr="003D6C79">
        <w:rPr>
          <w:rFonts w:ascii="Times" w:eastAsia="Times New Roman" w:hAnsi="Times" w:cs="Times New Roman"/>
          <w:szCs w:val="24"/>
        </w:rPr>
        <w:tab/>
        <w:t>https://orcid.org/0000-0002-2849-1396</w:t>
      </w:r>
    </w:p>
    <w:p w14:paraId="0A36DD12" w14:textId="77777777" w:rsidR="003D6C79" w:rsidRPr="003D6C79" w:rsidRDefault="003D6C79" w:rsidP="003D6C79">
      <w:pPr>
        <w:ind w:firstLine="0"/>
        <w:jc w:val="left"/>
        <w:rPr>
          <w:rFonts w:ascii="Times" w:eastAsia="Times New Roman" w:hAnsi="Times" w:cs="Times New Roman"/>
          <w:szCs w:val="24"/>
        </w:rPr>
      </w:pPr>
      <w:r w:rsidRPr="003D6C79">
        <w:rPr>
          <w:rFonts w:ascii="Times" w:eastAsia="Times New Roman" w:hAnsi="Times" w:cs="Times New Roman"/>
          <w:b/>
          <w:szCs w:val="24"/>
        </w:rPr>
        <w:t>Affiliation</w:t>
      </w:r>
      <w:r w:rsidRPr="003D6C79">
        <w:rPr>
          <w:rFonts w:ascii="Times" w:eastAsia="Times New Roman" w:hAnsi="Times" w:cs="Times New Roman"/>
          <w:szCs w:val="24"/>
        </w:rPr>
        <w:t>s</w:t>
      </w:r>
      <w:r w:rsidRPr="003D6C79">
        <w:rPr>
          <w:rFonts w:ascii="Times" w:eastAsia="Times New Roman" w:hAnsi="Times" w:cs="Times New Roman"/>
          <w:b/>
          <w:szCs w:val="24"/>
        </w:rPr>
        <w:t>:</w:t>
      </w:r>
    </w:p>
    <w:p w14:paraId="2193034D" w14:textId="2E8C6401" w:rsidR="003D6C79" w:rsidRPr="003D6C79" w:rsidRDefault="003D6C79" w:rsidP="003D6C79">
      <w:pPr>
        <w:ind w:left="120" w:hanging="120"/>
        <w:jc w:val="left"/>
        <w:rPr>
          <w:rFonts w:ascii="Times" w:eastAsia="Times New Roman" w:hAnsi="Times" w:cs="Times New Roman"/>
          <w:szCs w:val="24"/>
        </w:rPr>
      </w:pPr>
      <w:r w:rsidRPr="003D6C79">
        <w:rPr>
          <w:rFonts w:ascii="Times" w:eastAsia="Times New Roman" w:hAnsi="Times" w:cs="Times New Roman"/>
          <w:szCs w:val="24"/>
          <w:vertAlign w:val="superscript"/>
        </w:rPr>
        <w:t>1</w:t>
      </w:r>
      <w:r w:rsidRPr="003D6C79">
        <w:rPr>
          <w:rFonts w:ascii="Times" w:eastAsia="Times New Roman" w:hAnsi="Times" w:cs="Times New Roman"/>
          <w:szCs w:val="24"/>
        </w:rPr>
        <w:t xml:space="preserve">Department of Pharmacy, </w:t>
      </w:r>
      <w:proofErr w:type="spellStart"/>
      <w:r w:rsidRPr="003D6C79">
        <w:rPr>
          <w:rFonts w:ascii="Times" w:eastAsia="Times New Roman" w:hAnsi="Times" w:cs="Times New Roman"/>
          <w:szCs w:val="24"/>
        </w:rPr>
        <w:t>En</w:t>
      </w:r>
      <w:proofErr w:type="spellEnd"/>
      <w:r w:rsidRPr="003D6C79">
        <w:rPr>
          <w:rFonts w:ascii="Times" w:eastAsia="Times New Roman" w:hAnsi="Times" w:cs="Times New Roman"/>
          <w:szCs w:val="24"/>
        </w:rPr>
        <w:t xml:space="preserve"> Chu Kong Hospital, New Taipei City, Taiwan, Republic of China</w:t>
      </w:r>
    </w:p>
    <w:p w14:paraId="1FF25F8A" w14:textId="77777777" w:rsidR="003D6C79" w:rsidRPr="003D6C79" w:rsidRDefault="003D6C79" w:rsidP="003D6C79">
      <w:pPr>
        <w:ind w:left="120" w:hanging="120"/>
        <w:jc w:val="left"/>
        <w:rPr>
          <w:rFonts w:ascii="Times" w:eastAsia="Times New Roman" w:hAnsi="Times" w:cs="Times New Roman"/>
          <w:szCs w:val="24"/>
        </w:rPr>
      </w:pPr>
    </w:p>
    <w:p w14:paraId="3047FE4F" w14:textId="77777777" w:rsidR="003D6C79" w:rsidRPr="003D6C79" w:rsidRDefault="003D6C79" w:rsidP="003D6C79">
      <w:pPr>
        <w:ind w:firstLine="0"/>
        <w:jc w:val="left"/>
        <w:rPr>
          <w:rFonts w:ascii="Times" w:eastAsia="Times New Roman" w:hAnsi="Times" w:cs="Times New Roman"/>
          <w:szCs w:val="24"/>
        </w:rPr>
      </w:pPr>
      <w:r w:rsidRPr="003D6C79">
        <w:rPr>
          <w:rFonts w:ascii="Times" w:eastAsia="Times New Roman" w:hAnsi="Times" w:cs="Times New Roman"/>
          <w:b/>
          <w:szCs w:val="24"/>
        </w:rPr>
        <w:t>*Corresponding authors</w:t>
      </w:r>
    </w:p>
    <w:p w14:paraId="1A020833" w14:textId="12DD41A6" w:rsidR="003D6C79" w:rsidRPr="003D6C79" w:rsidRDefault="003D6C79" w:rsidP="00B8034F">
      <w:pPr>
        <w:ind w:firstLine="0"/>
        <w:jc w:val="left"/>
        <w:rPr>
          <w:rFonts w:ascii="Times" w:eastAsia="Times New Roman" w:hAnsi="Times" w:cs="Times New Roman"/>
          <w:szCs w:val="24"/>
        </w:rPr>
      </w:pPr>
      <w:r w:rsidRPr="003D6C79">
        <w:rPr>
          <w:rFonts w:ascii="Times" w:eastAsia="Times New Roman" w:hAnsi="Times" w:cs="Times New Roman"/>
          <w:szCs w:val="24"/>
        </w:rPr>
        <w:t xml:space="preserve">Ching-Yao Chen, RPh, MS </w:t>
      </w:r>
      <w:r w:rsidR="00B8034F">
        <w:rPr>
          <w:rFonts w:ascii="Times" w:eastAsia="Times New Roman" w:hAnsi="Times" w:cs="Times New Roman"/>
          <w:szCs w:val="24"/>
        </w:rPr>
        <w:t>(</w:t>
      </w:r>
      <w:r w:rsidRPr="003D6C79">
        <w:rPr>
          <w:rFonts w:ascii="Times" w:eastAsia="Times New Roman" w:hAnsi="Times" w:cs="Times New Roman"/>
          <w:szCs w:val="24"/>
        </w:rPr>
        <w:t xml:space="preserve">E-mail: </w:t>
      </w:r>
      <w:hyperlink r:id="rId4" w:history="1">
        <w:r w:rsidRPr="003D6C79">
          <w:rPr>
            <w:rStyle w:val="Hyperlink"/>
            <w:rFonts w:ascii="Times" w:eastAsia="Times New Roman" w:hAnsi="Times" w:cs="Times New Roman"/>
            <w:szCs w:val="24"/>
          </w:rPr>
          <w:t>10042@km.eck.org.tw</w:t>
        </w:r>
      </w:hyperlink>
      <w:r w:rsidR="00B8034F">
        <w:rPr>
          <w:rStyle w:val="Hyperlink"/>
          <w:rFonts w:ascii="Times" w:eastAsia="Times New Roman" w:hAnsi="Times" w:cs="Times New Roman"/>
          <w:szCs w:val="24"/>
        </w:rPr>
        <w:t>)</w:t>
      </w:r>
    </w:p>
    <w:p w14:paraId="5AD8CE56" w14:textId="662BDA49" w:rsidR="003D6C79" w:rsidRPr="003D6C79" w:rsidRDefault="003D6C79" w:rsidP="003D6C79">
      <w:pPr>
        <w:ind w:firstLine="0"/>
        <w:jc w:val="left"/>
        <w:rPr>
          <w:rFonts w:ascii="Times" w:eastAsia="Times New Roman" w:hAnsi="Times" w:cs="Times New Roman"/>
          <w:color w:val="0000FF"/>
          <w:szCs w:val="24"/>
          <w:u w:val="single"/>
        </w:rPr>
      </w:pPr>
      <w:r w:rsidRPr="003D6C79">
        <w:rPr>
          <w:rFonts w:ascii="Times" w:eastAsia="Times New Roman" w:hAnsi="Times" w:cs="Times New Roman"/>
          <w:szCs w:val="24"/>
        </w:rPr>
        <w:t xml:space="preserve">Ching-Chi Chu, MD </w:t>
      </w:r>
      <w:r w:rsidR="00B8034F">
        <w:rPr>
          <w:rFonts w:ascii="Times" w:eastAsia="Times New Roman" w:hAnsi="Times" w:cs="Times New Roman"/>
          <w:szCs w:val="24"/>
        </w:rPr>
        <w:t>(</w:t>
      </w:r>
      <w:r w:rsidRPr="003D6C79">
        <w:rPr>
          <w:rFonts w:ascii="Times" w:eastAsia="Times New Roman" w:hAnsi="Times" w:cs="Times New Roman"/>
          <w:szCs w:val="24"/>
        </w:rPr>
        <w:t xml:space="preserve">E-mail: </w:t>
      </w:r>
      <w:hyperlink r:id="rId5" w:history="1">
        <w:r w:rsidRPr="003D6C79">
          <w:rPr>
            <w:rStyle w:val="Hyperlink"/>
            <w:rFonts w:ascii="Times" w:eastAsia="Times New Roman" w:hAnsi="Times" w:cs="Times New Roman"/>
            <w:szCs w:val="24"/>
          </w:rPr>
          <w:t>00014@km.eck.org.tw</w:t>
        </w:r>
      </w:hyperlink>
      <w:r w:rsidR="00B8034F">
        <w:rPr>
          <w:rStyle w:val="Hyperlink"/>
          <w:rFonts w:ascii="Times" w:eastAsia="Times New Roman" w:hAnsi="Times" w:cs="Times New Roman"/>
          <w:szCs w:val="24"/>
        </w:rPr>
        <w:t>)</w:t>
      </w:r>
    </w:p>
    <w:p w14:paraId="30340B8C" w14:textId="3B621B4E" w:rsidR="00B8034F" w:rsidRDefault="00B8034F">
      <w:pPr>
        <w:widowControl/>
        <w:spacing w:line="240" w:lineRule="auto"/>
        <w:ind w:firstLine="0"/>
        <w:jc w:val="left"/>
        <w:rPr>
          <w:rFonts w:ascii="Times" w:eastAsia="Times New Roman" w:hAnsi="Times" w:cs="Times New Roman"/>
          <w:b/>
          <w:szCs w:val="24"/>
        </w:rPr>
      </w:pPr>
      <w:r>
        <w:rPr>
          <w:rFonts w:ascii="Times" w:eastAsia="Times New Roman" w:hAnsi="Times" w:cs="Times New Roman"/>
          <w:b/>
          <w:szCs w:val="24"/>
        </w:rPr>
        <w:br w:type="page"/>
      </w:r>
    </w:p>
    <w:p w14:paraId="5B2EF20C" w14:textId="28352818" w:rsidR="003D6C79" w:rsidRPr="003D6C79" w:rsidRDefault="00350B40" w:rsidP="003D6C79">
      <w:pPr>
        <w:ind w:left="1134" w:hanging="1134"/>
        <w:rPr>
          <w:rFonts w:ascii="Times" w:eastAsia="Times New Roman" w:hAnsi="Times" w:cs="Times New Roman"/>
          <w:b/>
          <w:szCs w:val="24"/>
        </w:rPr>
      </w:pPr>
      <w:r>
        <w:rPr>
          <w:rFonts w:ascii="Times" w:eastAsia="Times New Roman" w:hAnsi="Times" w:cs="Times New Roman"/>
          <w:b/>
          <w:szCs w:val="24"/>
        </w:rPr>
        <w:lastRenderedPageBreak/>
        <w:t>Online Resource 1</w:t>
      </w:r>
      <w:r w:rsidR="003D6C79" w:rsidRPr="003D6C79">
        <w:rPr>
          <w:rFonts w:ascii="Times" w:eastAsia="Times New Roman" w:hAnsi="Times" w:cs="Times New Roman"/>
          <w:b/>
          <w:szCs w:val="24"/>
        </w:rPr>
        <w:t xml:space="preserve">. Operational definitions of the study outcomes 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897"/>
        <w:gridCol w:w="6123"/>
      </w:tblGrid>
      <w:tr w:rsidR="003D6C79" w:rsidRPr="003D6C79" w14:paraId="5A1C6CFA" w14:textId="77777777" w:rsidTr="004D4B5B">
        <w:trPr>
          <w:jc w:val="center"/>
        </w:trPr>
        <w:tc>
          <w:tcPr>
            <w:tcW w:w="29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308AEFF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b/>
                <w:szCs w:val="24"/>
              </w:rPr>
            </w:pPr>
            <w:r w:rsidRPr="003D6C79">
              <w:rPr>
                <w:rFonts w:ascii="Times" w:eastAsia="Times New Roman" w:hAnsi="Times" w:cs="Times New Roman"/>
                <w:b/>
                <w:szCs w:val="24"/>
              </w:rPr>
              <w:t>Items</w:t>
            </w:r>
          </w:p>
        </w:tc>
        <w:tc>
          <w:tcPr>
            <w:tcW w:w="74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F2E310B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b/>
                <w:szCs w:val="24"/>
              </w:rPr>
            </w:pPr>
            <w:r w:rsidRPr="003D6C79">
              <w:rPr>
                <w:rFonts w:ascii="Times" w:eastAsia="Times New Roman" w:hAnsi="Times" w:cs="Times New Roman"/>
                <w:b/>
                <w:szCs w:val="24"/>
              </w:rPr>
              <w:t>Operational definition</w:t>
            </w:r>
          </w:p>
        </w:tc>
      </w:tr>
      <w:tr w:rsidR="003D6C79" w:rsidRPr="003D6C79" w14:paraId="487051FE" w14:textId="77777777" w:rsidTr="004D4B5B">
        <w:trPr>
          <w:jc w:val="center"/>
        </w:trPr>
        <w:tc>
          <w:tcPr>
            <w:tcW w:w="10473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0F8DA7F0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Outcome definitions of any major bleeding event</w:t>
            </w:r>
          </w:p>
        </w:tc>
      </w:tr>
      <w:tr w:rsidR="003D6C79" w:rsidRPr="003D6C79" w14:paraId="2BF86B68" w14:textId="77777777" w:rsidTr="004D4B5B">
        <w:trPr>
          <w:jc w:val="center"/>
        </w:trPr>
        <w:tc>
          <w:tcPr>
            <w:tcW w:w="2981" w:type="dxa"/>
            <w:tcBorders>
              <w:top w:val="single" w:sz="6" w:space="0" w:color="auto"/>
            </w:tcBorders>
            <w:shd w:val="clear" w:color="auto" w:fill="auto"/>
          </w:tcPr>
          <w:p w14:paraId="180652C5" w14:textId="77777777" w:rsidR="003D6C79" w:rsidRPr="003D6C79" w:rsidRDefault="003D6C79" w:rsidP="004D4B5B">
            <w:pPr>
              <w:ind w:left="871" w:hanging="648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Intracranial</w:t>
            </w:r>
          </w:p>
        </w:tc>
        <w:tc>
          <w:tcPr>
            <w:tcW w:w="749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45A20CB5" w14:textId="77777777" w:rsidR="003D6C79" w:rsidRPr="003D6C79" w:rsidRDefault="003D6C79" w:rsidP="004D4B5B">
            <w:pPr>
              <w:ind w:firstLine="0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ICD-9-CM codes: 430, 431, 432.0, 432.1, 432.9, 800.2, 800.7, 801.2, 801.7, 803.2, 803.7, 804.2, 804.7, 852.0, 852.1, 907.0</w:t>
            </w:r>
          </w:p>
          <w:p w14:paraId="74CE5DFB" w14:textId="77777777" w:rsidR="003D6C79" w:rsidRPr="003D6C79" w:rsidRDefault="003D6C79" w:rsidP="004D4B5B">
            <w:pPr>
              <w:ind w:firstLine="0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ICD-10-CM codes: I60-I62, S064–066</w:t>
            </w:r>
          </w:p>
        </w:tc>
      </w:tr>
      <w:tr w:rsidR="003D6C79" w:rsidRPr="003D6C79" w14:paraId="7FE87877" w14:textId="77777777" w:rsidTr="004D4B5B">
        <w:trPr>
          <w:jc w:val="center"/>
        </w:trPr>
        <w:tc>
          <w:tcPr>
            <w:tcW w:w="2981" w:type="dxa"/>
            <w:shd w:val="clear" w:color="auto" w:fill="auto"/>
          </w:tcPr>
          <w:p w14:paraId="743D4D1E" w14:textId="77777777" w:rsidR="003D6C79" w:rsidRPr="003D6C79" w:rsidRDefault="003D6C79" w:rsidP="004D4B5B">
            <w:pPr>
              <w:ind w:left="871" w:hanging="648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Gastrointestinal</w:t>
            </w:r>
          </w:p>
        </w:tc>
        <w:tc>
          <w:tcPr>
            <w:tcW w:w="7492" w:type="dxa"/>
            <w:shd w:val="clear" w:color="auto" w:fill="auto"/>
            <w:vAlign w:val="center"/>
          </w:tcPr>
          <w:p w14:paraId="6EC47E04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ICD-9-CM codes: 456.0, 456.1, 531.0, 531.2, 531.4, 531.6, 532.0, 532.2, 532.4, 532.6, 533.0, 533.2, 533.4, 533.6, 534.0, 534.2, 534.4, 534.6, 569.3, 578.0, 578.2, 578.9</w:t>
            </w:r>
          </w:p>
          <w:p w14:paraId="0323650E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ICD-10-CM codes: I850, I983, K250, K252, K254, K256, K260, K262, K264, K266, K270, K272, K274, K276, K280, K282, K284, K286, K625, K920–922</w:t>
            </w:r>
          </w:p>
        </w:tc>
      </w:tr>
      <w:tr w:rsidR="003D6C79" w:rsidRPr="003D6C79" w14:paraId="7BA5F27D" w14:textId="77777777" w:rsidTr="004D4B5B">
        <w:trPr>
          <w:jc w:val="center"/>
        </w:trPr>
        <w:tc>
          <w:tcPr>
            <w:tcW w:w="2981" w:type="dxa"/>
            <w:tcBorders>
              <w:bottom w:val="single" w:sz="6" w:space="0" w:color="auto"/>
            </w:tcBorders>
            <w:shd w:val="clear" w:color="auto" w:fill="auto"/>
          </w:tcPr>
          <w:p w14:paraId="146257C9" w14:textId="77777777" w:rsidR="003D6C79" w:rsidRPr="003D6C79" w:rsidRDefault="003D6C79" w:rsidP="004D4B5B">
            <w:pPr>
              <w:ind w:left="871" w:hanging="648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Other</w:t>
            </w:r>
          </w:p>
        </w:tc>
        <w:tc>
          <w:tcPr>
            <w:tcW w:w="7492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BCE6974" w14:textId="77777777" w:rsidR="003D6C79" w:rsidRPr="003D6C79" w:rsidRDefault="003D6C79" w:rsidP="004D4B5B">
            <w:pPr>
              <w:ind w:firstLine="0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ICD-9-CM codes: 280.0, 280.1, 280.8, 280.9, 388.69, 581.1, 581.2, 581.3, 581.9, 581.89, 626.8, 626.9, 599.7</w:t>
            </w:r>
          </w:p>
          <w:p w14:paraId="58B039CA" w14:textId="77777777" w:rsidR="003D6C79" w:rsidRPr="003D6C79" w:rsidRDefault="003D6C79" w:rsidP="004D4B5B">
            <w:pPr>
              <w:ind w:firstLine="0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ICD-10-CM codes: D500, D508-509, D629, H365, H922, N02, N938–939, R04, R310</w:t>
            </w:r>
          </w:p>
        </w:tc>
      </w:tr>
      <w:tr w:rsidR="003D6C79" w:rsidRPr="003D6C79" w14:paraId="535C5E9B" w14:textId="77777777" w:rsidTr="004D4B5B">
        <w:trPr>
          <w:jc w:val="center"/>
        </w:trPr>
        <w:tc>
          <w:tcPr>
            <w:tcW w:w="10473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14:paraId="2854AC22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Outcome definitions of major thromboembolism</w:t>
            </w:r>
          </w:p>
        </w:tc>
      </w:tr>
      <w:tr w:rsidR="003D6C79" w:rsidRPr="003D6C79" w14:paraId="7310FEF3" w14:textId="77777777" w:rsidTr="004D4B5B">
        <w:trPr>
          <w:jc w:val="center"/>
        </w:trPr>
        <w:tc>
          <w:tcPr>
            <w:tcW w:w="2981" w:type="dxa"/>
            <w:tcBorders>
              <w:top w:val="single" w:sz="6" w:space="0" w:color="auto"/>
            </w:tcBorders>
            <w:shd w:val="clear" w:color="auto" w:fill="auto"/>
          </w:tcPr>
          <w:p w14:paraId="19A63A60" w14:textId="1A4FE654" w:rsidR="003D6C79" w:rsidRPr="003D6C79" w:rsidRDefault="003D6C79" w:rsidP="004D4B5B">
            <w:pPr>
              <w:ind w:left="223"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Arterial (</w:t>
            </w:r>
            <w:r w:rsidR="00157BB6">
              <w:rPr>
                <w:rFonts w:ascii="Times" w:eastAsia="Times New Roman" w:hAnsi="Times" w:cs="Times New Roman"/>
                <w:szCs w:val="24"/>
              </w:rPr>
              <w:t>s</w:t>
            </w:r>
            <w:r w:rsidR="00157BB6" w:rsidRPr="003D6C79">
              <w:rPr>
                <w:rFonts w:ascii="Times" w:eastAsia="Times New Roman" w:hAnsi="Times" w:cs="Times New Roman"/>
                <w:szCs w:val="24"/>
              </w:rPr>
              <w:t>troke</w:t>
            </w:r>
            <w:r w:rsidRPr="003D6C79">
              <w:rPr>
                <w:rFonts w:ascii="Times" w:eastAsia="Times New Roman" w:hAnsi="Times" w:cs="Times New Roman"/>
                <w:szCs w:val="24"/>
              </w:rPr>
              <w:t>/TIA/peripheral embolism)</w:t>
            </w:r>
          </w:p>
        </w:tc>
        <w:tc>
          <w:tcPr>
            <w:tcW w:w="7492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91A3517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ICD-9-CM codes: 433, 434, 444.0, 444.1, 444.21, 444.22, 444.81, 444.89, 444.9, 435.0, 435.1, 435.3, 435.8, 435.9</w:t>
            </w:r>
          </w:p>
          <w:p w14:paraId="1D738062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ICD-10-CM codes: I63-64, I74, G45.0-453, G458, G459</w:t>
            </w:r>
          </w:p>
        </w:tc>
      </w:tr>
      <w:tr w:rsidR="003D6C79" w:rsidRPr="003D6C79" w14:paraId="274366F2" w14:textId="77777777" w:rsidTr="004D4B5B">
        <w:trPr>
          <w:jc w:val="center"/>
        </w:trPr>
        <w:tc>
          <w:tcPr>
            <w:tcW w:w="2981" w:type="dxa"/>
            <w:shd w:val="clear" w:color="auto" w:fill="auto"/>
          </w:tcPr>
          <w:p w14:paraId="6E1197D3" w14:textId="77777777" w:rsidR="003D6C79" w:rsidRPr="003D6C79" w:rsidRDefault="003D6C79" w:rsidP="004D4B5B">
            <w:pPr>
              <w:ind w:left="871" w:hanging="648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Myocardial infarction</w:t>
            </w:r>
          </w:p>
        </w:tc>
        <w:tc>
          <w:tcPr>
            <w:tcW w:w="7492" w:type="dxa"/>
            <w:shd w:val="clear" w:color="auto" w:fill="auto"/>
            <w:vAlign w:val="center"/>
          </w:tcPr>
          <w:p w14:paraId="33FA7B0E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ICD-9-CM codes: 410, 412</w:t>
            </w:r>
          </w:p>
          <w:p w14:paraId="2B4F963D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ICD-10-CM codes: I21–22, I252</w:t>
            </w:r>
          </w:p>
        </w:tc>
      </w:tr>
      <w:tr w:rsidR="003D6C79" w:rsidRPr="003D6C79" w14:paraId="0EC42417" w14:textId="77777777" w:rsidTr="004D4B5B">
        <w:trPr>
          <w:jc w:val="center"/>
        </w:trPr>
        <w:tc>
          <w:tcPr>
            <w:tcW w:w="2981" w:type="dxa"/>
            <w:tcBorders>
              <w:bottom w:val="single" w:sz="12" w:space="0" w:color="auto"/>
            </w:tcBorders>
            <w:shd w:val="clear" w:color="auto" w:fill="auto"/>
          </w:tcPr>
          <w:p w14:paraId="5FD12203" w14:textId="77777777" w:rsidR="003D6C79" w:rsidRPr="003D6C79" w:rsidRDefault="003D6C79" w:rsidP="004D4B5B">
            <w:pPr>
              <w:ind w:left="871" w:hanging="648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Venous</w:t>
            </w:r>
          </w:p>
        </w:tc>
        <w:tc>
          <w:tcPr>
            <w:tcW w:w="74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12AD98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 xml:space="preserve">ICD-9-CM codes: 415.0, 415.11, 415.19, 434.01, 437.6, 451.0, 451.11, 451.19, 451.2, 451.81, 451.9, 452, 453.8, </w:t>
            </w:r>
            <w:r w:rsidRPr="003D6C79">
              <w:rPr>
                <w:rFonts w:ascii="Times" w:eastAsia="Times New Roman" w:hAnsi="Times" w:cs="Times New Roman"/>
                <w:szCs w:val="24"/>
              </w:rPr>
              <w:lastRenderedPageBreak/>
              <w:t>453.9, 453.0, 453.1, 453.2</w:t>
            </w:r>
          </w:p>
          <w:p w14:paraId="689A9E9F" w14:textId="77777777" w:rsidR="003D6C79" w:rsidRPr="003D6C79" w:rsidRDefault="003D6C79" w:rsidP="004D4B5B">
            <w:pPr>
              <w:ind w:firstLine="0"/>
              <w:jc w:val="left"/>
              <w:rPr>
                <w:rFonts w:ascii="Times" w:eastAsia="Times New Roman" w:hAnsi="Times" w:cs="Times New Roman"/>
                <w:szCs w:val="24"/>
              </w:rPr>
            </w:pPr>
            <w:r w:rsidRPr="003D6C79">
              <w:rPr>
                <w:rFonts w:ascii="Times" w:eastAsia="Times New Roman" w:hAnsi="Times" w:cs="Times New Roman"/>
                <w:szCs w:val="24"/>
              </w:rPr>
              <w:t>ICD-10-CM codes: I26, I636, I676, I80–82</w:t>
            </w:r>
          </w:p>
        </w:tc>
      </w:tr>
    </w:tbl>
    <w:p w14:paraId="15A9302B" w14:textId="77777777" w:rsidR="003D6C79" w:rsidRPr="00D52E45" w:rsidRDefault="003D6C79" w:rsidP="003D6C79">
      <w:pPr>
        <w:widowControl/>
        <w:tabs>
          <w:tab w:val="left" w:pos="-87"/>
        </w:tabs>
        <w:adjustRightInd w:val="0"/>
        <w:ind w:firstLine="0"/>
        <w:rPr>
          <w:rFonts w:ascii="Times" w:eastAsia="Times New Roman" w:hAnsi="Times" w:cs="Times New Roman"/>
          <w:szCs w:val="24"/>
        </w:rPr>
      </w:pPr>
      <w:r w:rsidRPr="003D6C79">
        <w:rPr>
          <w:rFonts w:ascii="Times" w:eastAsia="Times New Roman" w:hAnsi="Times" w:cs="Times New Roman"/>
          <w:szCs w:val="24"/>
        </w:rPr>
        <w:lastRenderedPageBreak/>
        <w:t>Abbreviations:</w:t>
      </w:r>
      <w:r w:rsidRPr="003D6C79">
        <w:rPr>
          <w:rFonts w:ascii="Times" w:eastAsia="PMingLiU" w:hAnsi="Times" w:cs="Times New Roman"/>
          <w:szCs w:val="24"/>
          <w:lang w:eastAsia="zh-TW"/>
        </w:rPr>
        <w:t xml:space="preserve"> ICD-9-CM, International Classification of Diseases, Ninth Revision, Clinical Modification; ICD-10-CM, International Classification of Diseases, Tenth Revision, Clinical Modification; TIA, transient ischemic attack</w:t>
      </w:r>
    </w:p>
    <w:p w14:paraId="2A4E7A02" w14:textId="77777777" w:rsidR="00722707" w:rsidRDefault="00B8034F"/>
    <w:sectPr w:rsidR="00722707" w:rsidSect="00B8034F"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C79"/>
    <w:rsid w:val="000D4EFF"/>
    <w:rsid w:val="00157BB6"/>
    <w:rsid w:val="00350B40"/>
    <w:rsid w:val="003D6C79"/>
    <w:rsid w:val="009E5C04"/>
    <w:rsid w:val="009F07BD"/>
    <w:rsid w:val="00B8034F"/>
    <w:rsid w:val="00D07DF7"/>
    <w:rsid w:val="00E3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36079"/>
  <w15:chartTrackingRefBased/>
  <w15:docId w15:val="{B85034FD-8C72-0045-A9EE-A0BCCDC91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C79"/>
    <w:pPr>
      <w:widowControl w:val="0"/>
      <w:spacing w:line="480" w:lineRule="auto"/>
      <w:ind w:firstLine="425"/>
      <w:jc w:val="both"/>
    </w:pPr>
    <w:rPr>
      <w:rFonts w:ascii="Calibri" w:eastAsia="Calibri" w:hAnsi="Calibri" w:cs="Calibri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6C79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6C79"/>
    <w:rPr>
      <w:rFonts w:ascii="Times New Roman" w:eastAsia="Calibri" w:hAnsi="Times New Roman" w:cs="Times New Roman"/>
      <w:sz w:val="18"/>
      <w:szCs w:val="18"/>
      <w:lang w:val="en-US"/>
    </w:rPr>
  </w:style>
  <w:style w:type="character" w:styleId="CommentReference">
    <w:name w:val="annotation reference"/>
    <w:rsid w:val="003D6C79"/>
    <w:rPr>
      <w:sz w:val="18"/>
    </w:rPr>
  </w:style>
  <w:style w:type="character" w:styleId="Hyperlink">
    <w:name w:val="Hyperlink"/>
    <w:rsid w:val="003D6C79"/>
    <w:rPr>
      <w:color w:val="000080"/>
      <w:u w:val="single"/>
    </w:rPr>
  </w:style>
  <w:style w:type="paragraph" w:styleId="CommentText">
    <w:name w:val="annotation text"/>
    <w:basedOn w:val="Normal"/>
    <w:link w:val="CommentTextChar"/>
    <w:rsid w:val="003D6C79"/>
    <w:pPr>
      <w:ind w:firstLine="0"/>
      <w:jc w:val="left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3D6C79"/>
    <w:rPr>
      <w:rFonts w:ascii="Calibri" w:eastAsia="Calibri" w:hAnsi="Calibri" w:cs="Calibri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6C79"/>
    <w:pPr>
      <w:spacing w:line="240" w:lineRule="auto"/>
      <w:ind w:firstLine="425"/>
      <w:jc w:val="both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6C79"/>
    <w:rPr>
      <w:rFonts w:ascii="Calibri" w:eastAsia="Calibri" w:hAnsi="Calibri" w:cs="Calibri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79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6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0014@km.eck.org.tw" TargetMode="External"/><Relationship Id="rId4" Type="http://schemas.openxmlformats.org/officeDocument/2006/relationships/hyperlink" Target="mailto:10042@km.eck.org.t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5</cp:revision>
  <dcterms:created xsi:type="dcterms:W3CDTF">2021-04-26T05:53:00Z</dcterms:created>
  <dcterms:modified xsi:type="dcterms:W3CDTF">2021-04-28T09:08:00Z</dcterms:modified>
</cp:coreProperties>
</file>