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CF76C2"/>
    <w:p w14:paraId="18D131C4">
      <w:pPr>
        <w:jc w:val="center"/>
        <w:rPr>
          <w:rFonts w:hint="default" w:eastAsia="宋体"/>
          <w:lang w:val="en-US" w:eastAsia="zh-CN"/>
        </w:rPr>
      </w:pPr>
      <w:r>
        <w:rPr>
          <w:rFonts w:hint="default"/>
          <w:lang w:val="en-US" w:eastAsia="zh-CN"/>
        </w:rPr>
        <w:t>S</w:t>
      </w:r>
      <w:r>
        <w:rPr>
          <w:rFonts w:hint="eastAsia"/>
          <w:lang w:val="en-US" w:eastAsia="zh-CN"/>
        </w:rPr>
        <w:t>upplementary tables</w:t>
      </w:r>
    </w:p>
    <w:p w14:paraId="7DE86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color w:val="000000"/>
        </w:rPr>
      </w:pPr>
      <w:r>
        <w:rPr>
          <w:rFonts w:hint="default" w:ascii="Times New Roman" w:hAnsi="Times New Roman" w:eastAsia="宋体" w:cs="Times New Roman"/>
        </w:rPr>
        <w:t xml:space="preserve">Supplementary </w:t>
      </w: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eastAsia="宋体" w:cs="Times New Roman"/>
        </w:rPr>
        <w:t>able 1</w:t>
      </w:r>
      <w:r>
        <w:rPr>
          <w:rFonts w:hint="default" w:ascii="Times New Roman" w:hAnsi="Times New Roman" w:cs="Times New Roman"/>
          <w:lang w:val="en-US"/>
        </w:rPr>
        <w:t>.</w:t>
      </w:r>
      <w:r>
        <w:rPr>
          <w:rFonts w:hint="default" w:ascii="Times New Roman" w:hAnsi="Times New Roman" w:eastAsia="宋体" w:cs="Times New Roman"/>
        </w:rPr>
        <w:t xml:space="preserve"> Survival outcomes for different altitude groups</w:t>
      </w:r>
    </w:p>
    <w:tbl>
      <w:tblPr>
        <w:tblStyle w:val="2"/>
        <w:tblW w:w="9084" w:type="dxa"/>
        <w:tblInd w:w="-1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821"/>
        <w:gridCol w:w="850"/>
        <w:gridCol w:w="754"/>
        <w:gridCol w:w="1608"/>
        <w:gridCol w:w="866"/>
        <w:gridCol w:w="856"/>
        <w:gridCol w:w="844"/>
        <w:gridCol w:w="1584"/>
      </w:tblGrid>
      <w:tr w14:paraId="39DBF364">
        <w:trPr>
          <w:trHeight w:val="737" w:hRule="atLeast"/>
        </w:trPr>
        <w:tc>
          <w:tcPr>
            <w:tcW w:w="9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04FEA2E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G</w:t>
            </w:r>
            <w:r>
              <w:rPr>
                <w:rFonts w:hint="default" w:ascii="Times New Roman" w:hAnsi="Times New Roman" w:eastAsia="宋体" w:cs="Times New Roman"/>
              </w:rPr>
              <w:t>roups</w:t>
            </w:r>
          </w:p>
        </w:tc>
        <w:tc>
          <w:tcPr>
            <w:tcW w:w="8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E8DEAA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 Year OS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6350BA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 Years OS</w:t>
            </w:r>
          </w:p>
        </w:tc>
        <w:tc>
          <w:tcPr>
            <w:tcW w:w="7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51BB758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 Years OS</w:t>
            </w: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AAE42D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Median OS (95%CI)</w:t>
            </w:r>
          </w:p>
        </w:tc>
        <w:tc>
          <w:tcPr>
            <w:tcW w:w="8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94052CE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 Year PFS</w:t>
            </w:r>
          </w:p>
        </w:tc>
        <w:tc>
          <w:tcPr>
            <w:tcW w:w="85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B1188C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 Years PFS</w:t>
            </w:r>
          </w:p>
        </w:tc>
        <w:tc>
          <w:tcPr>
            <w:tcW w:w="8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D1E5090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 Years PFS</w:t>
            </w:r>
          </w:p>
        </w:tc>
        <w:tc>
          <w:tcPr>
            <w:tcW w:w="15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4B55D5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Median PFS (95%CI)</w:t>
            </w:r>
          </w:p>
        </w:tc>
      </w:tr>
      <w:tr w14:paraId="63483F83">
        <w:trPr>
          <w:trHeight w:val="737" w:hRule="atLeast"/>
        </w:trPr>
        <w:tc>
          <w:tcPr>
            <w:tcW w:w="901" w:type="dxa"/>
            <w:tcBorders>
              <w:top w:val="single" w:color="auto" w:sz="4" w:space="0"/>
            </w:tcBorders>
            <w:noWrap w:val="0"/>
            <w:vAlign w:val="center"/>
          </w:tcPr>
          <w:p w14:paraId="73D15DC1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High altitude </w:t>
            </w:r>
          </w:p>
        </w:tc>
        <w:tc>
          <w:tcPr>
            <w:tcW w:w="821" w:type="dxa"/>
            <w:tcBorders>
              <w:top w:val="single" w:color="auto" w:sz="4" w:space="0"/>
            </w:tcBorders>
            <w:noWrap w:val="0"/>
            <w:vAlign w:val="center"/>
          </w:tcPr>
          <w:p w14:paraId="4C720130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57.1%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 w:val="0"/>
            <w:vAlign w:val="center"/>
          </w:tcPr>
          <w:p w14:paraId="10205720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32.6%</w:t>
            </w:r>
          </w:p>
        </w:tc>
        <w:tc>
          <w:tcPr>
            <w:tcW w:w="754" w:type="dxa"/>
            <w:tcBorders>
              <w:top w:val="single" w:color="auto" w:sz="4" w:space="0"/>
            </w:tcBorders>
            <w:noWrap w:val="0"/>
            <w:vAlign w:val="center"/>
          </w:tcPr>
          <w:p w14:paraId="395BE6F1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25%</w:t>
            </w:r>
          </w:p>
        </w:tc>
        <w:tc>
          <w:tcPr>
            <w:tcW w:w="1608" w:type="dxa"/>
            <w:tcBorders>
              <w:top w:val="single" w:color="auto" w:sz="4" w:space="0"/>
            </w:tcBorders>
            <w:noWrap w:val="0"/>
            <w:vAlign w:val="center"/>
          </w:tcPr>
          <w:p w14:paraId="6BE40E18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16.0 month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hint="default" w:ascii="Times New Roman" w:hAnsi="Times New Roman" w:eastAsia="宋体" w:cs="Times New Roman"/>
              </w:rPr>
              <w:t xml:space="preserve"> (11.8-20.2)</w:t>
            </w:r>
          </w:p>
        </w:tc>
        <w:tc>
          <w:tcPr>
            <w:tcW w:w="866" w:type="dxa"/>
            <w:tcBorders>
              <w:top w:val="single" w:color="auto" w:sz="4" w:space="0"/>
            </w:tcBorders>
            <w:noWrap w:val="0"/>
            <w:vAlign w:val="center"/>
          </w:tcPr>
          <w:p w14:paraId="7C7090FB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46.2%</w:t>
            </w:r>
          </w:p>
        </w:tc>
        <w:tc>
          <w:tcPr>
            <w:tcW w:w="856" w:type="dxa"/>
            <w:tcBorders>
              <w:top w:val="single" w:color="auto" w:sz="4" w:space="0"/>
            </w:tcBorders>
            <w:noWrap w:val="0"/>
            <w:vAlign w:val="center"/>
          </w:tcPr>
          <w:p w14:paraId="1109D8AA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18.9%</w:t>
            </w:r>
          </w:p>
        </w:tc>
        <w:tc>
          <w:tcPr>
            <w:tcW w:w="844" w:type="dxa"/>
            <w:tcBorders>
              <w:top w:val="single" w:color="auto" w:sz="4" w:space="0"/>
            </w:tcBorders>
            <w:noWrap w:val="0"/>
            <w:vAlign w:val="center"/>
          </w:tcPr>
          <w:p w14:paraId="6952D661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14%</w:t>
            </w:r>
          </w:p>
        </w:tc>
        <w:tc>
          <w:tcPr>
            <w:tcW w:w="1584" w:type="dxa"/>
            <w:tcBorders>
              <w:top w:val="single" w:color="auto" w:sz="4" w:space="0"/>
            </w:tcBorders>
            <w:noWrap w:val="0"/>
            <w:vAlign w:val="center"/>
          </w:tcPr>
          <w:p w14:paraId="618E7921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11.0 month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hint="default" w:ascii="Times New Roman" w:hAnsi="Times New Roman" w:eastAsia="宋体" w:cs="Times New Roman"/>
              </w:rPr>
              <w:t xml:space="preserve"> (8.4-13.6)</w:t>
            </w:r>
          </w:p>
        </w:tc>
      </w:tr>
      <w:tr w14:paraId="5E0AB991">
        <w:trPr>
          <w:trHeight w:val="737" w:hRule="atLeast"/>
        </w:trPr>
        <w:tc>
          <w:tcPr>
            <w:tcW w:w="901" w:type="dxa"/>
            <w:noWrap w:val="0"/>
            <w:vAlign w:val="center"/>
          </w:tcPr>
          <w:p w14:paraId="011F18AD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Low altitude </w:t>
            </w:r>
          </w:p>
        </w:tc>
        <w:tc>
          <w:tcPr>
            <w:tcW w:w="821" w:type="dxa"/>
            <w:noWrap w:val="0"/>
            <w:vAlign w:val="center"/>
          </w:tcPr>
          <w:p w14:paraId="1446EAC5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57%</w:t>
            </w:r>
          </w:p>
        </w:tc>
        <w:tc>
          <w:tcPr>
            <w:tcW w:w="850" w:type="dxa"/>
            <w:noWrap w:val="0"/>
            <w:vAlign w:val="center"/>
          </w:tcPr>
          <w:p w14:paraId="3A7DEED9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39.1%</w:t>
            </w:r>
          </w:p>
        </w:tc>
        <w:tc>
          <w:tcPr>
            <w:tcW w:w="754" w:type="dxa"/>
            <w:noWrap w:val="0"/>
            <w:vAlign w:val="center"/>
          </w:tcPr>
          <w:p w14:paraId="6742FC32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32.7%</w:t>
            </w:r>
          </w:p>
        </w:tc>
        <w:tc>
          <w:tcPr>
            <w:tcW w:w="1608" w:type="dxa"/>
            <w:noWrap w:val="0"/>
            <w:vAlign w:val="center"/>
          </w:tcPr>
          <w:p w14:paraId="1D6A0378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14.0 month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hint="default" w:ascii="Times New Roman" w:hAnsi="Times New Roman" w:eastAsia="宋体" w:cs="Times New Roman"/>
              </w:rPr>
              <w:t xml:space="preserve"> (10.6-17.4)</w:t>
            </w:r>
          </w:p>
        </w:tc>
        <w:tc>
          <w:tcPr>
            <w:tcW w:w="866" w:type="dxa"/>
            <w:noWrap w:val="0"/>
            <w:vAlign w:val="center"/>
          </w:tcPr>
          <w:p w14:paraId="2777C665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46.1%</w:t>
            </w:r>
          </w:p>
        </w:tc>
        <w:tc>
          <w:tcPr>
            <w:tcW w:w="856" w:type="dxa"/>
            <w:noWrap w:val="0"/>
            <w:vAlign w:val="center"/>
          </w:tcPr>
          <w:p w14:paraId="3DFEEF5D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19.8%</w:t>
            </w:r>
          </w:p>
        </w:tc>
        <w:tc>
          <w:tcPr>
            <w:tcW w:w="844" w:type="dxa"/>
            <w:noWrap w:val="0"/>
            <w:vAlign w:val="center"/>
          </w:tcPr>
          <w:p w14:paraId="4184934E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9.9%</w:t>
            </w:r>
          </w:p>
        </w:tc>
        <w:tc>
          <w:tcPr>
            <w:tcW w:w="1584" w:type="dxa"/>
            <w:noWrap w:val="0"/>
            <w:vAlign w:val="center"/>
          </w:tcPr>
          <w:p w14:paraId="605258F1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10. </w:t>
            </w:r>
            <w:r>
              <w:rPr>
                <w:rFonts w:hint="default" w:ascii="Times New Roman" w:hAnsi="Times New Roman" w:cs="Times New Roman"/>
                <w:lang w:val="en-US"/>
              </w:rPr>
              <w:t>8 months</w:t>
            </w:r>
            <w:r>
              <w:rPr>
                <w:rFonts w:hint="default" w:ascii="Times New Roman" w:hAnsi="Times New Roman" w:eastAsia="宋体" w:cs="Times New Roman"/>
              </w:rPr>
              <w:t>(8.8-12.8)</w:t>
            </w:r>
          </w:p>
        </w:tc>
      </w:tr>
      <w:tr w14:paraId="18881C40">
        <w:trPr>
          <w:trHeight w:val="437" w:hRule="atLeast"/>
        </w:trPr>
        <w:tc>
          <w:tcPr>
            <w:tcW w:w="901" w:type="dxa"/>
            <w:tcBorders>
              <w:bottom w:val="single" w:color="auto" w:sz="4" w:space="0"/>
            </w:tcBorders>
            <w:noWrap w:val="0"/>
            <w:vAlign w:val="center"/>
          </w:tcPr>
          <w:p w14:paraId="092EB3B4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P</w:t>
            </w:r>
          </w:p>
        </w:tc>
        <w:tc>
          <w:tcPr>
            <w:tcW w:w="821" w:type="dxa"/>
            <w:tcBorders>
              <w:bottom w:val="single" w:color="auto" w:sz="4" w:space="0"/>
            </w:tcBorders>
            <w:noWrap w:val="0"/>
            <w:vAlign w:val="center"/>
          </w:tcPr>
          <w:p w14:paraId="2B92F058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850" w:type="dxa"/>
            <w:tcBorders>
              <w:bottom w:val="single" w:color="auto" w:sz="4" w:space="0"/>
            </w:tcBorders>
            <w:noWrap w:val="0"/>
            <w:vAlign w:val="center"/>
          </w:tcPr>
          <w:p w14:paraId="2A8878D9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754" w:type="dxa"/>
            <w:tcBorders>
              <w:bottom w:val="single" w:color="auto" w:sz="4" w:space="0"/>
            </w:tcBorders>
            <w:noWrap w:val="0"/>
            <w:vAlign w:val="center"/>
          </w:tcPr>
          <w:p w14:paraId="71228ADC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608" w:type="dxa"/>
            <w:tcBorders>
              <w:bottom w:val="single" w:color="auto" w:sz="4" w:space="0"/>
            </w:tcBorders>
            <w:noWrap w:val="0"/>
            <w:vAlign w:val="center"/>
          </w:tcPr>
          <w:p w14:paraId="4778D948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0.333</w:t>
            </w:r>
          </w:p>
        </w:tc>
        <w:tc>
          <w:tcPr>
            <w:tcW w:w="866" w:type="dxa"/>
            <w:tcBorders>
              <w:bottom w:val="single" w:color="auto" w:sz="4" w:space="0"/>
            </w:tcBorders>
            <w:noWrap w:val="0"/>
            <w:vAlign w:val="center"/>
          </w:tcPr>
          <w:p w14:paraId="0D760933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856" w:type="dxa"/>
            <w:tcBorders>
              <w:bottom w:val="single" w:color="auto" w:sz="4" w:space="0"/>
            </w:tcBorders>
            <w:noWrap w:val="0"/>
            <w:vAlign w:val="center"/>
          </w:tcPr>
          <w:p w14:paraId="1E5150D7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844" w:type="dxa"/>
            <w:tcBorders>
              <w:bottom w:val="single" w:color="auto" w:sz="4" w:space="0"/>
            </w:tcBorders>
            <w:noWrap w:val="0"/>
            <w:vAlign w:val="center"/>
          </w:tcPr>
          <w:p w14:paraId="61FFC752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584" w:type="dxa"/>
            <w:tcBorders>
              <w:bottom w:val="single" w:color="auto" w:sz="4" w:space="0"/>
            </w:tcBorders>
            <w:noWrap w:val="0"/>
            <w:vAlign w:val="center"/>
          </w:tcPr>
          <w:p w14:paraId="2898F072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0.836</w:t>
            </w:r>
          </w:p>
        </w:tc>
      </w:tr>
    </w:tbl>
    <w:p w14:paraId="125E38DD">
      <w:pPr>
        <w:spacing w:line="360" w:lineRule="auto"/>
        <w:ind w:firstLine="360" w:firstLineChars="150"/>
        <w:jc w:val="left"/>
        <w:rPr>
          <w:rFonts w:hint="default" w:ascii="Times New Roman" w:hAnsi="Times New Roman" w:eastAsia="宋体" w:cs="Times New Roman"/>
          <w:sz w:val="24"/>
        </w:rPr>
      </w:pPr>
    </w:p>
    <w:p w14:paraId="3610DB1D"/>
    <w:p w14:paraId="51D76C02">
      <w:pPr>
        <w:spacing w:line="360" w:lineRule="auto"/>
        <w:jc w:val="center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 xml:space="preserve">Supplementary </w:t>
      </w: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eastAsia="宋体" w:cs="Times New Roman"/>
        </w:rPr>
        <w:t>able 2</w:t>
      </w:r>
      <w:r>
        <w:rPr>
          <w:rFonts w:hint="default" w:ascii="Times New Roman" w:hAnsi="Times New Roman" w:cs="Times New Roman"/>
          <w:lang w:val="en-US"/>
        </w:rPr>
        <w:t>.</w:t>
      </w:r>
      <w:r>
        <w:rPr>
          <w:rFonts w:hint="default" w:ascii="Times New Roman" w:hAnsi="Times New Roman" w:eastAsia="宋体" w:cs="Times New Roman"/>
        </w:rPr>
        <w:t xml:space="preserve"> The Logistic regression equation for the risk of esophageal fistula</w:t>
      </w:r>
    </w:p>
    <w:tbl>
      <w:tblPr>
        <w:tblStyle w:val="2"/>
        <w:tblW w:w="7938" w:type="dxa"/>
        <w:tblInd w:w="3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758"/>
        <w:gridCol w:w="1350"/>
        <w:gridCol w:w="1489"/>
        <w:gridCol w:w="1935"/>
      </w:tblGrid>
      <w:tr w14:paraId="3DE840EE">
        <w:trPr>
          <w:trHeight w:val="421" w:hRule="atLeast"/>
        </w:trPr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387B4459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V</w:t>
            </w:r>
            <w:r>
              <w:rPr>
                <w:rFonts w:hint="default" w:ascii="Times New Roman" w:hAnsi="Times New Roman" w:eastAsia="宋体" w:cs="Times New Roman"/>
              </w:rPr>
              <w:t>ariable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561D1338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G</w:t>
            </w:r>
            <w:r>
              <w:rPr>
                <w:rFonts w:hint="default" w:ascii="Times New Roman" w:hAnsi="Times New Roman" w:eastAsia="宋体" w:cs="Times New Roman"/>
              </w:rPr>
              <w:t>roups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0BE7339E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P 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2CCB7ACB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OR 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2C490685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95.0%CI of the OR</w:t>
            </w:r>
          </w:p>
        </w:tc>
      </w:tr>
      <w:tr w14:paraId="6C1CD286">
        <w:trPr>
          <w:trHeight w:val="210" w:hRule="atLeast"/>
        </w:trPr>
        <w:tc>
          <w:tcPr>
            <w:tcW w:w="1134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 w14:paraId="779A939D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Radiotherapy dose</w:t>
            </w:r>
          </w:p>
        </w:tc>
        <w:tc>
          <w:tcPr>
            <w:tcW w:w="1843" w:type="dxa"/>
            <w:tcBorders>
              <w:top w:val="single" w:color="auto" w:sz="4" w:space="0"/>
            </w:tcBorders>
            <w:noWrap w:val="0"/>
            <w:vAlign w:val="top"/>
          </w:tcPr>
          <w:p w14:paraId="31DC59F5">
            <w:pPr>
              <w:jc w:val="center"/>
              <w:rPr>
                <w:rFonts w:hint="default" w:ascii="Times New Roman" w:hAnsi="Times New Roman" w:eastAsia="宋体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high dose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 w14:paraId="34D29603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0.337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 w14:paraId="2BC44DB4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0.486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 w14:paraId="6EA15DF0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0.111-2.119</w:t>
            </w:r>
          </w:p>
        </w:tc>
      </w:tr>
      <w:tr w14:paraId="059FDE57">
        <w:trPr>
          <w:trHeight w:val="210" w:hRule="atLeast"/>
        </w:trPr>
        <w:tc>
          <w:tcPr>
            <w:tcW w:w="1134" w:type="dxa"/>
            <w:vMerge w:val="continue"/>
            <w:noWrap w:val="0"/>
            <w:vAlign w:val="top"/>
          </w:tcPr>
          <w:p w14:paraId="4DA22306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843" w:type="dxa"/>
            <w:noWrap w:val="0"/>
            <w:vAlign w:val="top"/>
          </w:tcPr>
          <w:p w14:paraId="0FD6FABE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hint="default" w:ascii="Times New Roman" w:hAnsi="Times New Roman" w:eastAsia="宋体" w:cs="Times New Roman"/>
              </w:rPr>
              <w:t>tandard</w:t>
            </w:r>
            <w:r>
              <w:rPr>
                <w:rFonts w:hint="default" w:ascii="Times New Roman" w:hAnsi="Times New Roman" w:cs="Times New Roman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</w:rPr>
              <w:t>dose</w:t>
            </w:r>
          </w:p>
        </w:tc>
        <w:tc>
          <w:tcPr>
            <w:tcW w:w="1417" w:type="dxa"/>
            <w:vMerge w:val="continue"/>
            <w:noWrap w:val="0"/>
            <w:vAlign w:val="top"/>
          </w:tcPr>
          <w:p w14:paraId="25FDF659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559" w:type="dxa"/>
            <w:vMerge w:val="continue"/>
            <w:noWrap w:val="0"/>
            <w:vAlign w:val="top"/>
          </w:tcPr>
          <w:p w14:paraId="75327074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985" w:type="dxa"/>
            <w:vMerge w:val="continue"/>
            <w:noWrap w:val="0"/>
            <w:vAlign w:val="top"/>
          </w:tcPr>
          <w:p w14:paraId="492A8B13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76598B46">
        <w:trPr>
          <w:trHeight w:val="198" w:hRule="atLeast"/>
        </w:trPr>
        <w:tc>
          <w:tcPr>
            <w:tcW w:w="1134" w:type="dxa"/>
            <w:vMerge w:val="restart"/>
            <w:noWrap w:val="0"/>
            <w:vAlign w:val="top"/>
          </w:tcPr>
          <w:p w14:paraId="09E1B99E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Synchronous chemotherapy</w:t>
            </w:r>
          </w:p>
        </w:tc>
        <w:tc>
          <w:tcPr>
            <w:tcW w:w="1843" w:type="dxa"/>
            <w:noWrap w:val="0"/>
            <w:vAlign w:val="top"/>
          </w:tcPr>
          <w:p w14:paraId="19B242AC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yes</w:t>
            </w:r>
          </w:p>
        </w:tc>
        <w:tc>
          <w:tcPr>
            <w:tcW w:w="1417" w:type="dxa"/>
            <w:vMerge w:val="restart"/>
            <w:noWrap w:val="0"/>
            <w:vAlign w:val="top"/>
          </w:tcPr>
          <w:p w14:paraId="3A4F7A6F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0.278</w:t>
            </w:r>
          </w:p>
        </w:tc>
        <w:tc>
          <w:tcPr>
            <w:tcW w:w="1559" w:type="dxa"/>
            <w:vMerge w:val="restart"/>
            <w:noWrap w:val="0"/>
            <w:vAlign w:val="top"/>
          </w:tcPr>
          <w:p w14:paraId="58FA4948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0.482</w:t>
            </w:r>
          </w:p>
        </w:tc>
        <w:tc>
          <w:tcPr>
            <w:tcW w:w="1985" w:type="dxa"/>
            <w:vMerge w:val="restart"/>
            <w:noWrap w:val="0"/>
            <w:vAlign w:val="top"/>
          </w:tcPr>
          <w:p w14:paraId="6843DED8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0.129-1.800</w:t>
            </w:r>
          </w:p>
        </w:tc>
      </w:tr>
      <w:tr w14:paraId="31EDC7BC">
        <w:trPr>
          <w:trHeight w:val="198" w:hRule="atLeast"/>
        </w:trPr>
        <w:tc>
          <w:tcPr>
            <w:tcW w:w="1134" w:type="dxa"/>
            <w:vMerge w:val="continue"/>
            <w:noWrap w:val="0"/>
            <w:vAlign w:val="top"/>
          </w:tcPr>
          <w:p w14:paraId="72D092FB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843" w:type="dxa"/>
            <w:noWrap w:val="0"/>
            <w:vAlign w:val="top"/>
          </w:tcPr>
          <w:p w14:paraId="3187B684">
            <w:pPr>
              <w:jc w:val="center"/>
              <w:rPr>
                <w:rFonts w:hint="default" w:ascii="Times New Roman" w:hAnsi="Times New Roman" w:eastAsia="宋体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417" w:type="dxa"/>
            <w:vMerge w:val="continue"/>
            <w:noWrap w:val="0"/>
            <w:vAlign w:val="top"/>
          </w:tcPr>
          <w:p w14:paraId="1A620E18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559" w:type="dxa"/>
            <w:vMerge w:val="continue"/>
            <w:noWrap w:val="0"/>
            <w:vAlign w:val="top"/>
          </w:tcPr>
          <w:p w14:paraId="6CA0B41F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985" w:type="dxa"/>
            <w:vMerge w:val="continue"/>
            <w:noWrap w:val="0"/>
            <w:vAlign w:val="top"/>
          </w:tcPr>
          <w:p w14:paraId="75A68326"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 w14:paraId="17341C4F">
        <w:trPr>
          <w:trHeight w:val="366" w:hRule="atLeast"/>
        </w:trPr>
        <w:tc>
          <w:tcPr>
            <w:tcW w:w="2977" w:type="dxa"/>
            <w:gridSpan w:val="2"/>
            <w:noWrap w:val="0"/>
            <w:vAlign w:val="top"/>
          </w:tcPr>
          <w:p w14:paraId="656E3440">
            <w:pPr>
              <w:jc w:val="lef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L</w:t>
            </w:r>
            <w:r>
              <w:rPr>
                <w:rFonts w:hint="default" w:ascii="Times New Roman" w:hAnsi="Times New Roman" w:eastAsia="宋体" w:cs="Times New Roman"/>
              </w:rPr>
              <w:t>ocation</w:t>
            </w:r>
          </w:p>
        </w:tc>
        <w:tc>
          <w:tcPr>
            <w:tcW w:w="1417" w:type="dxa"/>
            <w:noWrap w:val="0"/>
            <w:vAlign w:val="top"/>
          </w:tcPr>
          <w:p w14:paraId="0A840FAC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0.014</w:t>
            </w:r>
          </w:p>
        </w:tc>
        <w:tc>
          <w:tcPr>
            <w:tcW w:w="1559" w:type="dxa"/>
            <w:noWrap w:val="0"/>
            <w:vAlign w:val="top"/>
          </w:tcPr>
          <w:p w14:paraId="13A7F5ED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0.352</w:t>
            </w:r>
          </w:p>
        </w:tc>
        <w:tc>
          <w:tcPr>
            <w:tcW w:w="1985" w:type="dxa"/>
            <w:noWrap w:val="0"/>
            <w:vAlign w:val="top"/>
          </w:tcPr>
          <w:p w14:paraId="30E28329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0.153-0.808</w:t>
            </w:r>
          </w:p>
        </w:tc>
      </w:tr>
      <w:tr w14:paraId="2F0BA3AA">
        <w:trPr>
          <w:trHeight w:val="387" w:hRule="atLeast"/>
        </w:trPr>
        <w:tc>
          <w:tcPr>
            <w:tcW w:w="2977" w:type="dxa"/>
            <w:gridSpan w:val="2"/>
            <w:noWrap w:val="0"/>
            <w:vAlign w:val="top"/>
          </w:tcPr>
          <w:p w14:paraId="4281F042">
            <w:pPr>
              <w:jc w:val="lef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BMI</w:t>
            </w:r>
          </w:p>
        </w:tc>
        <w:tc>
          <w:tcPr>
            <w:tcW w:w="1417" w:type="dxa"/>
            <w:noWrap w:val="0"/>
            <w:vAlign w:val="top"/>
          </w:tcPr>
          <w:p w14:paraId="050E27C4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0.747</w:t>
            </w:r>
          </w:p>
        </w:tc>
        <w:tc>
          <w:tcPr>
            <w:tcW w:w="1559" w:type="dxa"/>
            <w:noWrap w:val="0"/>
            <w:vAlign w:val="top"/>
          </w:tcPr>
          <w:p w14:paraId="0B12A75A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0.966</w:t>
            </w:r>
          </w:p>
        </w:tc>
        <w:tc>
          <w:tcPr>
            <w:tcW w:w="1985" w:type="dxa"/>
            <w:noWrap w:val="0"/>
            <w:vAlign w:val="top"/>
          </w:tcPr>
          <w:p w14:paraId="01954055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0.784-1.191</w:t>
            </w:r>
          </w:p>
        </w:tc>
      </w:tr>
      <w:tr w14:paraId="5637D39E">
        <w:trPr>
          <w:trHeight w:val="397" w:hRule="atLeast"/>
        </w:trPr>
        <w:tc>
          <w:tcPr>
            <w:tcW w:w="2977" w:type="dxa"/>
            <w:gridSpan w:val="2"/>
            <w:noWrap w:val="0"/>
            <w:vAlign w:val="top"/>
          </w:tcPr>
          <w:p w14:paraId="25987D31">
            <w:pPr>
              <w:jc w:val="lef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GTV</w:t>
            </w:r>
          </w:p>
        </w:tc>
        <w:tc>
          <w:tcPr>
            <w:tcW w:w="1417" w:type="dxa"/>
            <w:noWrap w:val="0"/>
            <w:vAlign w:val="top"/>
          </w:tcPr>
          <w:p w14:paraId="7090B5D4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0.017</w:t>
            </w:r>
          </w:p>
        </w:tc>
        <w:tc>
          <w:tcPr>
            <w:tcW w:w="1559" w:type="dxa"/>
            <w:noWrap w:val="0"/>
            <w:vAlign w:val="top"/>
          </w:tcPr>
          <w:p w14:paraId="09CD327F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1.015</w:t>
            </w:r>
          </w:p>
        </w:tc>
        <w:tc>
          <w:tcPr>
            <w:tcW w:w="1985" w:type="dxa"/>
            <w:noWrap w:val="0"/>
            <w:vAlign w:val="top"/>
          </w:tcPr>
          <w:p w14:paraId="4D69BF8E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1.003-1.027</w:t>
            </w:r>
          </w:p>
        </w:tc>
      </w:tr>
      <w:tr w14:paraId="720D2F6C">
        <w:trPr>
          <w:trHeight w:val="198" w:hRule="atLeast"/>
        </w:trPr>
        <w:tc>
          <w:tcPr>
            <w:tcW w:w="1134" w:type="dxa"/>
            <w:vMerge w:val="restart"/>
            <w:tcBorders>
              <w:right w:val="nil"/>
            </w:tcBorders>
            <w:noWrap w:val="0"/>
            <w:vAlign w:val="top"/>
          </w:tcPr>
          <w:p w14:paraId="65CE2CDF">
            <w:pPr>
              <w:jc w:val="lef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SIB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16E52EB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yes</w:t>
            </w:r>
          </w:p>
        </w:tc>
        <w:tc>
          <w:tcPr>
            <w:tcW w:w="1417" w:type="dxa"/>
            <w:vMerge w:val="restart"/>
            <w:tcBorders>
              <w:left w:val="nil"/>
            </w:tcBorders>
            <w:noWrap w:val="0"/>
            <w:vAlign w:val="top"/>
          </w:tcPr>
          <w:p w14:paraId="3829435E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0.015</w:t>
            </w:r>
          </w:p>
        </w:tc>
        <w:tc>
          <w:tcPr>
            <w:tcW w:w="1559" w:type="dxa"/>
            <w:vMerge w:val="restart"/>
            <w:noWrap w:val="0"/>
            <w:vAlign w:val="top"/>
          </w:tcPr>
          <w:p w14:paraId="196BA9FD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17.309</w:t>
            </w:r>
          </w:p>
        </w:tc>
        <w:tc>
          <w:tcPr>
            <w:tcW w:w="1985" w:type="dxa"/>
            <w:vMerge w:val="restart"/>
            <w:noWrap w:val="0"/>
            <w:vAlign w:val="top"/>
          </w:tcPr>
          <w:p w14:paraId="770C9209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1.725-175.653</w:t>
            </w:r>
          </w:p>
        </w:tc>
      </w:tr>
      <w:tr w14:paraId="54BD71D2">
        <w:trPr>
          <w:trHeight w:val="198" w:hRule="atLeast"/>
        </w:trPr>
        <w:tc>
          <w:tcPr>
            <w:tcW w:w="1134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43275DC9">
            <w:pPr>
              <w:jc w:val="left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843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 w14:paraId="5780BDE5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417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462F972D">
            <w:pPr>
              <w:jc w:val="left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559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760EB1C7">
            <w:pPr>
              <w:jc w:val="left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985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0412906A">
            <w:pPr>
              <w:jc w:val="left"/>
              <w:rPr>
                <w:rFonts w:hint="default" w:ascii="Times New Roman" w:hAnsi="Times New Roman" w:eastAsia="宋体" w:cs="Times New Roman"/>
              </w:rPr>
            </w:pPr>
          </w:p>
        </w:tc>
      </w:tr>
    </w:tbl>
    <w:p w14:paraId="7D7CE84B"/>
    <w:p w14:paraId="3089892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ZjUxZGY3MTQ1ZTIyMGFlODJhOWI4YzE0ODVmYmQifQ=="/>
  </w:docVars>
  <w:rsids>
    <w:rsidRoot w:val="7EFEC845"/>
    <w:rsid w:val="7EFEC845"/>
    <w:rsid w:val="DEB9831C"/>
    <w:rsid w:val="FC90D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2024-08-18T03:13:00Z</dcterms:created>
  <dc:creator>Chén  Mǐn </dc:creator>
  <cp:lastModifiedBy>Chén  Mǐn </cp:lastModifiedBy>
  <dcterms:modified xsi:type="dcterms:W3CDTF">2024-08-17T22:50:59Z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56FAB2F671ED94FB4C15C0663B83A77A_41</vt:lpwstr>
  </property>
</Properties>
</file>