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221B4" w14:textId="32A705B9" w:rsidR="0062276D" w:rsidRPr="00AE3C83" w:rsidRDefault="0062276D" w:rsidP="00FF74AE">
      <w:pPr>
        <w:spacing w:after="240" w:line="276" w:lineRule="auto"/>
        <w:jc w:val="center"/>
        <w:rPr>
          <w:b/>
          <w:bCs/>
          <w:sz w:val="28"/>
          <w:szCs w:val="28"/>
        </w:rPr>
      </w:pPr>
      <w:r w:rsidRPr="00AE3C83">
        <w:rPr>
          <w:b/>
          <w:bCs/>
          <w:sz w:val="28"/>
          <w:szCs w:val="28"/>
        </w:rPr>
        <w:t>Supplementary Materials for</w:t>
      </w:r>
    </w:p>
    <w:p w14:paraId="61D69835" w14:textId="5BD239C9" w:rsidR="00F74912" w:rsidRPr="00FF74AE" w:rsidRDefault="00F5553C" w:rsidP="00FF74AE">
      <w:pPr>
        <w:spacing w:after="240" w:line="276" w:lineRule="auto"/>
        <w:jc w:val="center"/>
        <w:rPr>
          <w:b/>
          <w:bCs/>
        </w:rPr>
      </w:pPr>
      <w:r w:rsidRPr="00FF74AE">
        <w:rPr>
          <w:b/>
          <w:bCs/>
        </w:rPr>
        <w:t xml:space="preserve">Precession driven low-latitude terrestrial precipitation paced by shifting </w:t>
      </w:r>
      <w:proofErr w:type="gramStart"/>
      <w:r w:rsidRPr="00FF74AE">
        <w:rPr>
          <w:b/>
          <w:bCs/>
        </w:rPr>
        <w:t>perihelion</w:t>
      </w:r>
      <w:proofErr w:type="gramEnd"/>
    </w:p>
    <w:p w14:paraId="349124F7" w14:textId="63BC7A34" w:rsidR="00FF74AE" w:rsidRPr="00FF74AE" w:rsidRDefault="0062276D" w:rsidP="00FF74AE">
      <w:pPr>
        <w:autoSpaceDE w:val="0"/>
        <w:autoSpaceDN w:val="0"/>
        <w:adjustRightInd w:val="0"/>
        <w:spacing w:after="240" w:line="276" w:lineRule="auto"/>
        <w:jc w:val="center"/>
        <w:rPr>
          <w:sz w:val="18"/>
          <w:szCs w:val="18"/>
          <w:vertAlign w:val="superscript"/>
        </w:rPr>
      </w:pPr>
      <w:r w:rsidRPr="00FF74AE">
        <w:rPr>
          <w:sz w:val="20"/>
        </w:rPr>
        <w:t>Hu Yang</w:t>
      </w:r>
      <w:r w:rsidRPr="00FF74AE">
        <w:rPr>
          <w:sz w:val="18"/>
          <w:szCs w:val="18"/>
          <w:vertAlign w:val="superscript"/>
        </w:rPr>
        <w:t>1*</w:t>
      </w:r>
      <w:r w:rsidRPr="00FF74AE">
        <w:rPr>
          <w:sz w:val="20"/>
        </w:rPr>
        <w:t xml:space="preserve">, </w:t>
      </w:r>
      <w:proofErr w:type="spellStart"/>
      <w:r w:rsidRPr="00FF74AE">
        <w:rPr>
          <w:sz w:val="20"/>
        </w:rPr>
        <w:t>Xiaoxu</w:t>
      </w:r>
      <w:proofErr w:type="spellEnd"/>
      <w:r w:rsidRPr="00FF74AE">
        <w:rPr>
          <w:sz w:val="20"/>
        </w:rPr>
        <w:t xml:space="preserve"> Shi</w:t>
      </w:r>
      <w:r w:rsidRPr="00FF74AE">
        <w:rPr>
          <w:sz w:val="18"/>
          <w:szCs w:val="18"/>
          <w:vertAlign w:val="superscript"/>
        </w:rPr>
        <w:t>1</w:t>
      </w:r>
      <w:r w:rsidRPr="00FF74AE">
        <w:rPr>
          <w:sz w:val="20"/>
        </w:rPr>
        <w:t xml:space="preserve">, </w:t>
      </w:r>
      <w:proofErr w:type="spellStart"/>
      <w:r w:rsidRPr="00FF74AE">
        <w:rPr>
          <w:sz w:val="20"/>
        </w:rPr>
        <w:t>Xulong</w:t>
      </w:r>
      <w:proofErr w:type="spellEnd"/>
      <w:r w:rsidRPr="00FF74AE">
        <w:rPr>
          <w:sz w:val="20"/>
        </w:rPr>
        <w:t xml:space="preserve"> Wang</w:t>
      </w:r>
      <w:r w:rsidRPr="00FF74AE">
        <w:rPr>
          <w:sz w:val="18"/>
          <w:szCs w:val="18"/>
          <w:vertAlign w:val="superscript"/>
        </w:rPr>
        <w:t>2</w:t>
      </w:r>
      <w:r w:rsidRPr="00FF74AE">
        <w:rPr>
          <w:sz w:val="20"/>
        </w:rPr>
        <w:t xml:space="preserve">, </w:t>
      </w:r>
      <w:proofErr w:type="spellStart"/>
      <w:r w:rsidR="00C32CA0" w:rsidRPr="00FF74AE">
        <w:rPr>
          <w:sz w:val="20"/>
        </w:rPr>
        <w:t>Qingsong</w:t>
      </w:r>
      <w:proofErr w:type="spellEnd"/>
      <w:r w:rsidR="00C32CA0" w:rsidRPr="00FF74AE">
        <w:rPr>
          <w:sz w:val="20"/>
        </w:rPr>
        <w:t xml:space="preserve"> Liu</w:t>
      </w:r>
      <w:r w:rsidR="00C32CA0" w:rsidRPr="00FF74AE">
        <w:rPr>
          <w:sz w:val="18"/>
          <w:szCs w:val="18"/>
          <w:vertAlign w:val="superscript"/>
        </w:rPr>
        <w:t>3</w:t>
      </w:r>
      <w:r w:rsidR="009E685A" w:rsidRPr="00FF74AE">
        <w:rPr>
          <w:sz w:val="20"/>
        </w:rPr>
        <w:t xml:space="preserve">, </w:t>
      </w:r>
      <w:r w:rsidRPr="00FF74AE">
        <w:rPr>
          <w:sz w:val="20"/>
        </w:rPr>
        <w:t>Yi Zhong</w:t>
      </w:r>
      <w:r w:rsidRPr="00FF74AE">
        <w:rPr>
          <w:sz w:val="18"/>
          <w:szCs w:val="18"/>
          <w:vertAlign w:val="superscript"/>
        </w:rPr>
        <w:t>3</w:t>
      </w:r>
      <w:r w:rsidRPr="00FF74AE">
        <w:rPr>
          <w:sz w:val="20"/>
        </w:rPr>
        <w:t xml:space="preserve">, </w:t>
      </w:r>
      <w:proofErr w:type="spellStart"/>
      <w:r w:rsidRPr="00FF74AE">
        <w:rPr>
          <w:sz w:val="20"/>
        </w:rPr>
        <w:t>Xiaodong</w:t>
      </w:r>
      <w:proofErr w:type="spellEnd"/>
      <w:r w:rsidRPr="00FF74AE">
        <w:rPr>
          <w:sz w:val="20"/>
        </w:rPr>
        <w:t xml:space="preserve"> Liu</w:t>
      </w:r>
      <w:r w:rsidRPr="00FF74AE">
        <w:rPr>
          <w:sz w:val="18"/>
          <w:szCs w:val="18"/>
          <w:vertAlign w:val="superscript"/>
        </w:rPr>
        <w:t>2</w:t>
      </w:r>
      <w:r w:rsidRPr="00FF74AE">
        <w:rPr>
          <w:sz w:val="20"/>
        </w:rPr>
        <w:t xml:space="preserve">, </w:t>
      </w:r>
      <w:proofErr w:type="spellStart"/>
      <w:r w:rsidRPr="00FF74AE">
        <w:rPr>
          <w:sz w:val="20"/>
        </w:rPr>
        <w:t>Youbin</w:t>
      </w:r>
      <w:proofErr w:type="spellEnd"/>
      <w:r w:rsidRPr="00FF74AE">
        <w:rPr>
          <w:sz w:val="20"/>
        </w:rPr>
        <w:t xml:space="preserve"> Sun</w:t>
      </w:r>
      <w:r w:rsidRPr="00FF74AE">
        <w:rPr>
          <w:sz w:val="18"/>
          <w:szCs w:val="18"/>
          <w:vertAlign w:val="superscript"/>
        </w:rPr>
        <w:t>2</w:t>
      </w:r>
      <w:r w:rsidRPr="00FF74AE">
        <w:rPr>
          <w:sz w:val="20"/>
        </w:rPr>
        <w:t xml:space="preserve">, </w:t>
      </w:r>
      <w:proofErr w:type="spellStart"/>
      <w:r w:rsidRPr="00FF74AE">
        <w:rPr>
          <w:sz w:val="20"/>
        </w:rPr>
        <w:t>Yanjun</w:t>
      </w:r>
      <w:proofErr w:type="spellEnd"/>
      <w:r w:rsidRPr="00FF74AE">
        <w:rPr>
          <w:sz w:val="20"/>
        </w:rPr>
        <w:t xml:space="preserve"> Cai</w:t>
      </w:r>
      <w:r w:rsidRPr="00FF74AE">
        <w:rPr>
          <w:sz w:val="18"/>
          <w:szCs w:val="18"/>
          <w:vertAlign w:val="superscript"/>
        </w:rPr>
        <w:t>4</w:t>
      </w:r>
      <w:r w:rsidRPr="00FF74AE">
        <w:rPr>
          <w:sz w:val="20"/>
        </w:rPr>
        <w:t>, Fei Liu</w:t>
      </w:r>
      <w:r w:rsidRPr="00FF74AE">
        <w:rPr>
          <w:sz w:val="18"/>
          <w:szCs w:val="18"/>
          <w:vertAlign w:val="superscript"/>
        </w:rPr>
        <w:t>5</w:t>
      </w:r>
      <w:r w:rsidRPr="00FF74AE">
        <w:rPr>
          <w:sz w:val="20"/>
        </w:rPr>
        <w:t>, Gerrit Lohmann</w:t>
      </w:r>
      <w:r w:rsidRPr="00FF74AE">
        <w:rPr>
          <w:sz w:val="18"/>
          <w:szCs w:val="18"/>
          <w:vertAlign w:val="superscript"/>
        </w:rPr>
        <w:t>6</w:t>
      </w:r>
      <w:r w:rsidRPr="00FF74AE">
        <w:rPr>
          <w:sz w:val="20"/>
        </w:rPr>
        <w:t>, Martin Werner</w:t>
      </w:r>
      <w:r w:rsidRPr="00FF74AE">
        <w:rPr>
          <w:sz w:val="18"/>
          <w:szCs w:val="18"/>
          <w:vertAlign w:val="superscript"/>
        </w:rPr>
        <w:t>6</w:t>
      </w:r>
      <w:r w:rsidRPr="00FF74AE">
        <w:rPr>
          <w:sz w:val="20"/>
        </w:rPr>
        <w:t xml:space="preserve">, </w:t>
      </w:r>
      <w:proofErr w:type="spellStart"/>
      <w:r w:rsidRPr="00FF74AE">
        <w:rPr>
          <w:sz w:val="20"/>
        </w:rPr>
        <w:t>Zhimin</w:t>
      </w:r>
      <w:proofErr w:type="spellEnd"/>
      <w:r w:rsidRPr="00FF74AE">
        <w:rPr>
          <w:sz w:val="20"/>
        </w:rPr>
        <w:t xml:space="preserve"> Jian</w:t>
      </w:r>
      <w:r w:rsidRPr="00FF74AE">
        <w:rPr>
          <w:sz w:val="18"/>
          <w:szCs w:val="18"/>
          <w:vertAlign w:val="superscript"/>
        </w:rPr>
        <w:t>7</w:t>
      </w:r>
      <w:r w:rsidRPr="00FF74AE">
        <w:rPr>
          <w:sz w:val="20"/>
        </w:rPr>
        <w:t xml:space="preserve">, </w:t>
      </w:r>
      <w:proofErr w:type="spellStart"/>
      <w:r w:rsidRPr="00FF74AE">
        <w:rPr>
          <w:sz w:val="20"/>
        </w:rPr>
        <w:t>Tain˜a</w:t>
      </w:r>
      <w:proofErr w:type="spellEnd"/>
      <w:r w:rsidRPr="00FF74AE">
        <w:rPr>
          <w:sz w:val="20"/>
        </w:rPr>
        <w:t xml:space="preserve"> M. L. Pinho</w:t>
      </w:r>
      <w:r w:rsidRPr="00FF74AE">
        <w:rPr>
          <w:sz w:val="18"/>
          <w:szCs w:val="18"/>
          <w:vertAlign w:val="superscript"/>
        </w:rPr>
        <w:t>6</w:t>
      </w:r>
      <w:r w:rsidRPr="00FF74AE">
        <w:rPr>
          <w:sz w:val="20"/>
        </w:rPr>
        <w:t>, Hai Cheng</w:t>
      </w:r>
      <w:r w:rsidRPr="00FF74AE">
        <w:rPr>
          <w:sz w:val="18"/>
          <w:szCs w:val="18"/>
          <w:vertAlign w:val="superscript"/>
        </w:rPr>
        <w:t>4</w:t>
      </w:r>
      <w:r w:rsidRPr="00FF74AE">
        <w:rPr>
          <w:sz w:val="20"/>
        </w:rPr>
        <w:t xml:space="preserve">, </w:t>
      </w:r>
      <w:proofErr w:type="spellStart"/>
      <w:r w:rsidR="00CC6F07" w:rsidRPr="00FF74AE">
        <w:rPr>
          <w:sz w:val="20"/>
        </w:rPr>
        <w:t>Lijuan</w:t>
      </w:r>
      <w:proofErr w:type="spellEnd"/>
      <w:r w:rsidR="00CC6F07" w:rsidRPr="00FF74AE">
        <w:rPr>
          <w:sz w:val="20"/>
        </w:rPr>
        <w:t xml:space="preserve"> Lu</w:t>
      </w:r>
      <w:r w:rsidR="00CC6F07" w:rsidRPr="00FF74AE">
        <w:rPr>
          <w:sz w:val="18"/>
          <w:szCs w:val="18"/>
          <w:vertAlign w:val="superscript"/>
        </w:rPr>
        <w:t>5,1</w:t>
      </w:r>
      <w:r w:rsidR="00CC6F07" w:rsidRPr="00FF74AE">
        <w:rPr>
          <w:sz w:val="20"/>
        </w:rPr>
        <w:t xml:space="preserve">, </w:t>
      </w:r>
      <w:proofErr w:type="spellStart"/>
      <w:r w:rsidR="00CC6F07" w:rsidRPr="00FF74AE">
        <w:rPr>
          <w:sz w:val="20"/>
        </w:rPr>
        <w:t>Jiping</w:t>
      </w:r>
      <w:proofErr w:type="spellEnd"/>
      <w:r w:rsidR="00CC6F07" w:rsidRPr="00FF74AE">
        <w:rPr>
          <w:sz w:val="20"/>
        </w:rPr>
        <w:t xml:space="preserve"> Liu</w:t>
      </w:r>
      <w:r w:rsidR="00CC6F07" w:rsidRPr="00FF74AE">
        <w:rPr>
          <w:sz w:val="18"/>
          <w:szCs w:val="18"/>
          <w:vertAlign w:val="superscript"/>
        </w:rPr>
        <w:t>5,1</w:t>
      </w:r>
      <w:r w:rsidR="00CC6F07" w:rsidRPr="00FF74AE">
        <w:rPr>
          <w:sz w:val="20"/>
        </w:rPr>
        <w:t xml:space="preserve">, </w:t>
      </w:r>
      <w:r w:rsidRPr="00FF74AE">
        <w:rPr>
          <w:sz w:val="20"/>
        </w:rPr>
        <w:t>Chao-Yuan Yang</w:t>
      </w:r>
      <w:r w:rsidRPr="00FF74AE">
        <w:rPr>
          <w:sz w:val="18"/>
          <w:szCs w:val="18"/>
          <w:vertAlign w:val="superscript"/>
        </w:rPr>
        <w:t>1</w:t>
      </w:r>
      <w:r w:rsidRPr="00FF74AE">
        <w:rPr>
          <w:sz w:val="20"/>
        </w:rPr>
        <w:t xml:space="preserve">, </w:t>
      </w:r>
      <w:proofErr w:type="spellStart"/>
      <w:r w:rsidRPr="00FF74AE">
        <w:rPr>
          <w:sz w:val="20"/>
        </w:rPr>
        <w:t>Qinghua</w:t>
      </w:r>
      <w:proofErr w:type="spellEnd"/>
      <w:r w:rsidRPr="00FF74AE">
        <w:rPr>
          <w:sz w:val="20"/>
        </w:rPr>
        <w:t xml:space="preserve"> Yang</w:t>
      </w:r>
      <w:r w:rsidRPr="00FF74AE">
        <w:rPr>
          <w:sz w:val="18"/>
          <w:szCs w:val="18"/>
          <w:vertAlign w:val="superscript"/>
        </w:rPr>
        <w:t>5,1</w:t>
      </w:r>
      <w:r w:rsidRPr="00FF74AE">
        <w:rPr>
          <w:sz w:val="20"/>
        </w:rPr>
        <w:t xml:space="preserve">, </w:t>
      </w:r>
      <w:proofErr w:type="spellStart"/>
      <w:r w:rsidRPr="00FF74AE">
        <w:rPr>
          <w:sz w:val="20"/>
        </w:rPr>
        <w:t>Yongyun</w:t>
      </w:r>
      <w:proofErr w:type="spellEnd"/>
      <w:r w:rsidRPr="00FF74AE">
        <w:rPr>
          <w:sz w:val="20"/>
        </w:rPr>
        <w:t xml:space="preserve"> Hu</w:t>
      </w:r>
      <w:r w:rsidRPr="00FF74AE">
        <w:rPr>
          <w:sz w:val="18"/>
          <w:szCs w:val="18"/>
          <w:vertAlign w:val="superscript"/>
        </w:rPr>
        <w:t>8</w:t>
      </w:r>
      <w:r w:rsidRPr="00FF74AE">
        <w:rPr>
          <w:sz w:val="20"/>
        </w:rPr>
        <w:t>, Xing Cheng</w:t>
      </w:r>
      <w:r w:rsidRPr="00FF74AE">
        <w:rPr>
          <w:sz w:val="18"/>
          <w:szCs w:val="18"/>
          <w:vertAlign w:val="superscript"/>
        </w:rPr>
        <w:t>9</w:t>
      </w:r>
      <w:r w:rsidRPr="00FF74AE">
        <w:rPr>
          <w:sz w:val="20"/>
        </w:rPr>
        <w:t xml:space="preserve">, </w:t>
      </w:r>
      <w:proofErr w:type="spellStart"/>
      <w:r w:rsidRPr="00FF74AE">
        <w:rPr>
          <w:sz w:val="20"/>
        </w:rPr>
        <w:t>Jingyu</w:t>
      </w:r>
      <w:proofErr w:type="spellEnd"/>
      <w:r w:rsidRPr="00FF74AE">
        <w:rPr>
          <w:sz w:val="20"/>
        </w:rPr>
        <w:t xml:space="preserve"> Zhang</w:t>
      </w:r>
      <w:r w:rsidRPr="00FF74AE">
        <w:rPr>
          <w:sz w:val="18"/>
          <w:szCs w:val="18"/>
          <w:vertAlign w:val="superscript"/>
        </w:rPr>
        <w:t>3</w:t>
      </w:r>
      <w:r w:rsidRPr="00FF74AE">
        <w:rPr>
          <w:sz w:val="20"/>
        </w:rPr>
        <w:t xml:space="preserve">, </w:t>
      </w:r>
      <w:proofErr w:type="spellStart"/>
      <w:r w:rsidRPr="00FF74AE">
        <w:rPr>
          <w:sz w:val="20"/>
        </w:rPr>
        <w:t>Dake</w:t>
      </w:r>
      <w:proofErr w:type="spellEnd"/>
      <w:r w:rsidRPr="00FF74AE">
        <w:rPr>
          <w:sz w:val="20"/>
        </w:rPr>
        <w:t xml:space="preserve"> Chen</w:t>
      </w:r>
      <w:r w:rsidRPr="00FF74AE">
        <w:rPr>
          <w:sz w:val="18"/>
          <w:szCs w:val="18"/>
          <w:vertAlign w:val="superscript"/>
        </w:rPr>
        <w:t>1</w:t>
      </w:r>
    </w:p>
    <w:p w14:paraId="1FC21912" w14:textId="77777777" w:rsidR="0062276D" w:rsidRPr="00FF74AE" w:rsidRDefault="0062276D" w:rsidP="00AE3C83">
      <w:pPr>
        <w:autoSpaceDE w:val="0"/>
        <w:autoSpaceDN w:val="0"/>
        <w:adjustRightInd w:val="0"/>
        <w:spacing w:line="276" w:lineRule="auto"/>
        <w:rPr>
          <w:sz w:val="18"/>
          <w:szCs w:val="18"/>
        </w:rPr>
      </w:pPr>
      <w:r w:rsidRPr="00FF74AE">
        <w:rPr>
          <w:sz w:val="18"/>
          <w:szCs w:val="18"/>
        </w:rPr>
        <w:t>1. Southern Marine Science and Engineering Guangdong Laboratory (Zhuhai), Zhuhai, China</w:t>
      </w:r>
    </w:p>
    <w:p w14:paraId="74487D7C" w14:textId="77777777" w:rsidR="0062276D" w:rsidRPr="00FF74AE" w:rsidRDefault="0062276D" w:rsidP="00AE3C83">
      <w:pPr>
        <w:autoSpaceDE w:val="0"/>
        <w:autoSpaceDN w:val="0"/>
        <w:adjustRightInd w:val="0"/>
        <w:spacing w:line="276" w:lineRule="auto"/>
        <w:rPr>
          <w:sz w:val="18"/>
          <w:szCs w:val="18"/>
        </w:rPr>
      </w:pPr>
      <w:r w:rsidRPr="00FF74AE">
        <w:rPr>
          <w:sz w:val="18"/>
          <w:szCs w:val="18"/>
        </w:rPr>
        <w:t>2. State Key Laboratory of Loess and Quaternary Geology, Institute of Earth Environment, Chinese Academy of Sciences, Xi’an, China</w:t>
      </w:r>
    </w:p>
    <w:p w14:paraId="1C02F5DC" w14:textId="77777777" w:rsidR="0062276D" w:rsidRPr="00FF74AE" w:rsidRDefault="0062276D" w:rsidP="00AE3C83">
      <w:pPr>
        <w:autoSpaceDE w:val="0"/>
        <w:autoSpaceDN w:val="0"/>
        <w:adjustRightInd w:val="0"/>
        <w:spacing w:line="276" w:lineRule="auto"/>
        <w:rPr>
          <w:sz w:val="18"/>
          <w:szCs w:val="18"/>
        </w:rPr>
      </w:pPr>
      <w:r w:rsidRPr="00FF74AE">
        <w:rPr>
          <w:sz w:val="18"/>
          <w:szCs w:val="18"/>
        </w:rPr>
        <w:t>3. Centre for Marine Magnetism, Department of Ocean Science and Engineering, Southern University of Science and Technology, Shenzhen, China</w:t>
      </w:r>
    </w:p>
    <w:p w14:paraId="389EBD7B" w14:textId="77777777" w:rsidR="0062276D" w:rsidRPr="00FF74AE" w:rsidRDefault="0062276D" w:rsidP="00AE3C83">
      <w:pPr>
        <w:autoSpaceDE w:val="0"/>
        <w:autoSpaceDN w:val="0"/>
        <w:adjustRightInd w:val="0"/>
        <w:spacing w:line="276" w:lineRule="auto"/>
        <w:rPr>
          <w:sz w:val="18"/>
          <w:szCs w:val="18"/>
        </w:rPr>
      </w:pPr>
      <w:r w:rsidRPr="00FF74AE">
        <w:rPr>
          <w:sz w:val="18"/>
          <w:szCs w:val="18"/>
        </w:rPr>
        <w:t xml:space="preserve">4. Institute of Global Environmental Change, Xi’an </w:t>
      </w:r>
      <w:proofErr w:type="spellStart"/>
      <w:r w:rsidRPr="00FF74AE">
        <w:rPr>
          <w:sz w:val="18"/>
          <w:szCs w:val="18"/>
        </w:rPr>
        <w:t>Jiaotong</w:t>
      </w:r>
      <w:proofErr w:type="spellEnd"/>
      <w:r w:rsidRPr="00FF74AE">
        <w:rPr>
          <w:sz w:val="18"/>
          <w:szCs w:val="18"/>
        </w:rPr>
        <w:t xml:space="preserve"> University, Xi’an, China</w:t>
      </w:r>
    </w:p>
    <w:p w14:paraId="3CD7F93E" w14:textId="77777777" w:rsidR="0062276D" w:rsidRPr="00FF74AE" w:rsidRDefault="0062276D" w:rsidP="00AE3C83">
      <w:pPr>
        <w:autoSpaceDE w:val="0"/>
        <w:autoSpaceDN w:val="0"/>
        <w:adjustRightInd w:val="0"/>
        <w:spacing w:line="276" w:lineRule="auto"/>
        <w:rPr>
          <w:sz w:val="18"/>
          <w:szCs w:val="18"/>
        </w:rPr>
      </w:pPr>
      <w:r w:rsidRPr="00FF74AE">
        <w:rPr>
          <w:sz w:val="18"/>
          <w:szCs w:val="18"/>
        </w:rPr>
        <w:t xml:space="preserve">5. School of Atmospheric Sciences, Sun </w:t>
      </w:r>
      <w:proofErr w:type="spellStart"/>
      <w:r w:rsidRPr="00FF74AE">
        <w:rPr>
          <w:sz w:val="18"/>
          <w:szCs w:val="18"/>
        </w:rPr>
        <w:t>Yat-sen</w:t>
      </w:r>
      <w:proofErr w:type="spellEnd"/>
      <w:r w:rsidRPr="00FF74AE">
        <w:rPr>
          <w:sz w:val="18"/>
          <w:szCs w:val="18"/>
        </w:rPr>
        <w:t xml:space="preserve"> University, Zhuhai, China</w:t>
      </w:r>
    </w:p>
    <w:p w14:paraId="44818608" w14:textId="77777777" w:rsidR="0062276D" w:rsidRPr="00FF74AE" w:rsidRDefault="0062276D" w:rsidP="00AE3C83">
      <w:pPr>
        <w:autoSpaceDE w:val="0"/>
        <w:autoSpaceDN w:val="0"/>
        <w:adjustRightInd w:val="0"/>
        <w:spacing w:line="276" w:lineRule="auto"/>
        <w:rPr>
          <w:sz w:val="18"/>
          <w:szCs w:val="18"/>
        </w:rPr>
      </w:pPr>
      <w:r w:rsidRPr="00FF74AE">
        <w:rPr>
          <w:sz w:val="18"/>
          <w:szCs w:val="18"/>
        </w:rPr>
        <w:t>6. Alfred Wegener Institute, Helmholtz Centre for Polar and Marine Research, Bremerhaven, Germany</w:t>
      </w:r>
    </w:p>
    <w:p w14:paraId="37FFB7D3" w14:textId="77777777" w:rsidR="0062276D" w:rsidRPr="00FF74AE" w:rsidRDefault="0062276D" w:rsidP="00AE3C83">
      <w:pPr>
        <w:autoSpaceDE w:val="0"/>
        <w:autoSpaceDN w:val="0"/>
        <w:adjustRightInd w:val="0"/>
        <w:spacing w:line="276" w:lineRule="auto"/>
        <w:rPr>
          <w:sz w:val="18"/>
          <w:szCs w:val="18"/>
        </w:rPr>
      </w:pPr>
      <w:r w:rsidRPr="00FF74AE">
        <w:rPr>
          <w:sz w:val="18"/>
          <w:szCs w:val="18"/>
        </w:rPr>
        <w:t>7. Laboratory of Marine Geology, Tongji University, Shanghai, China</w:t>
      </w:r>
    </w:p>
    <w:p w14:paraId="683BE81A" w14:textId="77777777" w:rsidR="0062276D" w:rsidRPr="00FF74AE" w:rsidRDefault="0062276D" w:rsidP="00AE3C83">
      <w:pPr>
        <w:autoSpaceDE w:val="0"/>
        <w:autoSpaceDN w:val="0"/>
        <w:adjustRightInd w:val="0"/>
        <w:spacing w:line="276" w:lineRule="auto"/>
        <w:rPr>
          <w:sz w:val="18"/>
          <w:szCs w:val="18"/>
        </w:rPr>
      </w:pPr>
      <w:r w:rsidRPr="00FF74AE">
        <w:rPr>
          <w:sz w:val="18"/>
          <w:szCs w:val="18"/>
        </w:rPr>
        <w:t>8. Department of Atmospheric and Oceanic Sciences, School of Physics, Peking University</w:t>
      </w:r>
    </w:p>
    <w:p w14:paraId="51334EED" w14:textId="1FDC3470" w:rsidR="00F5553C" w:rsidRPr="00FF74AE" w:rsidRDefault="0062276D" w:rsidP="00AE3C83">
      <w:pPr>
        <w:spacing w:after="240" w:line="276" w:lineRule="auto"/>
        <w:outlineLvl w:val="2"/>
        <w:rPr>
          <w:sz w:val="18"/>
          <w:szCs w:val="18"/>
        </w:rPr>
      </w:pPr>
      <w:r w:rsidRPr="00FF74AE">
        <w:rPr>
          <w:sz w:val="18"/>
          <w:szCs w:val="18"/>
        </w:rPr>
        <w:t xml:space="preserve">9. </w:t>
      </w:r>
      <w:proofErr w:type="spellStart"/>
      <w:r w:rsidRPr="00FF74AE">
        <w:rPr>
          <w:sz w:val="18"/>
          <w:szCs w:val="18"/>
        </w:rPr>
        <w:t>ShanXi</w:t>
      </w:r>
      <w:proofErr w:type="spellEnd"/>
      <w:r w:rsidRPr="00FF74AE">
        <w:rPr>
          <w:sz w:val="18"/>
          <w:szCs w:val="18"/>
        </w:rPr>
        <w:t xml:space="preserve"> Experimental Center of Geological Survey, </w:t>
      </w:r>
      <w:proofErr w:type="spellStart"/>
      <w:r w:rsidRPr="00FF74AE">
        <w:rPr>
          <w:sz w:val="18"/>
          <w:szCs w:val="18"/>
        </w:rPr>
        <w:t>ShanXi</w:t>
      </w:r>
      <w:proofErr w:type="spellEnd"/>
      <w:r w:rsidRPr="00FF74AE">
        <w:rPr>
          <w:sz w:val="18"/>
          <w:szCs w:val="18"/>
        </w:rPr>
        <w:t xml:space="preserve"> Institute of Geological Survey, Xi’an, China</w:t>
      </w:r>
    </w:p>
    <w:p w14:paraId="4EAC4FE3" w14:textId="771F191B" w:rsidR="002A6D2B" w:rsidRPr="00FF74AE" w:rsidRDefault="0062276D" w:rsidP="00FF74AE">
      <w:pPr>
        <w:spacing w:after="240" w:line="276" w:lineRule="auto"/>
        <w:jc w:val="center"/>
        <w:rPr>
          <w:szCs w:val="24"/>
        </w:rPr>
      </w:pPr>
      <w:r w:rsidRPr="00FF74AE">
        <w:rPr>
          <w:szCs w:val="24"/>
        </w:rPr>
        <w:t xml:space="preserve">Corresponding author: </w:t>
      </w:r>
      <w:hyperlink r:id="rId4" w:history="1">
        <w:r w:rsidRPr="00FF74AE">
          <w:rPr>
            <w:rStyle w:val="a3"/>
            <w:szCs w:val="24"/>
          </w:rPr>
          <w:t>yanghu@sml-zhuhai.cn</w:t>
        </w:r>
      </w:hyperlink>
      <w:r w:rsidRPr="00FF74AE">
        <w:rPr>
          <w:szCs w:val="24"/>
        </w:rPr>
        <w:t xml:space="preserve"> </w:t>
      </w:r>
    </w:p>
    <w:p w14:paraId="5C73D1B9" w14:textId="3011A8EF" w:rsidR="002A6D2B" w:rsidRPr="00FF74AE" w:rsidRDefault="0062276D" w:rsidP="00FF74AE">
      <w:pPr>
        <w:spacing w:after="240" w:line="276" w:lineRule="auto"/>
        <w:rPr>
          <w:b/>
        </w:rPr>
      </w:pPr>
      <w:r w:rsidRPr="00FF74AE">
        <w:rPr>
          <w:b/>
        </w:rPr>
        <w:t>The PDF file includes:</w:t>
      </w:r>
    </w:p>
    <w:p w14:paraId="42B05C6E" w14:textId="308AA8C6" w:rsidR="0062276D" w:rsidRPr="00FF74AE" w:rsidRDefault="002A6D2B" w:rsidP="00FF74AE">
      <w:pPr>
        <w:spacing w:after="240" w:line="276" w:lineRule="auto"/>
        <w:rPr>
          <w:bCs/>
        </w:rPr>
      </w:pPr>
      <w:r w:rsidRPr="00FF74AE">
        <w:rPr>
          <w:b/>
        </w:rPr>
        <w:t xml:space="preserve">     </w:t>
      </w:r>
      <w:r w:rsidRPr="00FF74AE">
        <w:rPr>
          <w:bCs/>
        </w:rPr>
        <w:t xml:space="preserve"> Methodology</w:t>
      </w:r>
    </w:p>
    <w:p w14:paraId="220D4D56" w14:textId="52798680" w:rsidR="0062276D" w:rsidRPr="00FF74AE" w:rsidRDefault="0062276D" w:rsidP="00FF74AE">
      <w:pPr>
        <w:spacing w:after="240" w:line="276" w:lineRule="auto"/>
        <w:ind w:left="720"/>
      </w:pPr>
      <w:r w:rsidRPr="00FF74AE">
        <w:t>Figs. S1 to S</w:t>
      </w:r>
      <w:r w:rsidR="001A1470" w:rsidRPr="00FF74AE">
        <w:t>5</w:t>
      </w:r>
    </w:p>
    <w:p w14:paraId="458E8323" w14:textId="1B29BCC9" w:rsidR="0062276D" w:rsidRPr="00FF74AE" w:rsidRDefault="0062276D" w:rsidP="00FF74AE">
      <w:pPr>
        <w:spacing w:after="240" w:line="276" w:lineRule="auto"/>
      </w:pPr>
      <w:r w:rsidRPr="00FF74AE">
        <w:rPr>
          <w:b/>
        </w:rPr>
        <w:t xml:space="preserve">Other Supplementary Materials for this manuscript include the following: </w:t>
      </w:r>
    </w:p>
    <w:p w14:paraId="18DEEACC" w14:textId="700C0DDA" w:rsidR="00FF74AE" w:rsidRDefault="0062276D" w:rsidP="00FF74AE">
      <w:pPr>
        <w:spacing w:after="240" w:line="276" w:lineRule="auto"/>
        <w:ind w:left="720"/>
      </w:pPr>
      <w:r w:rsidRPr="00FF74AE">
        <w:t>Movies S1</w:t>
      </w:r>
    </w:p>
    <w:p w14:paraId="79781B15" w14:textId="77777777" w:rsidR="00C32CA0" w:rsidRDefault="00C32CA0" w:rsidP="00C32CA0">
      <w:pPr>
        <w:spacing w:after="240" w:line="276" w:lineRule="auto"/>
      </w:pPr>
    </w:p>
    <w:p w14:paraId="7964F490" w14:textId="77777777" w:rsidR="00C32CA0" w:rsidRPr="00C32CA0" w:rsidRDefault="00C32CA0" w:rsidP="00FF74AE">
      <w:pPr>
        <w:spacing w:after="240" w:line="276" w:lineRule="auto"/>
        <w:rPr>
          <w:b/>
        </w:rPr>
      </w:pPr>
      <w:r w:rsidRPr="00C32CA0">
        <w:rPr>
          <w:b/>
        </w:rPr>
        <w:t xml:space="preserve">Methodology </w:t>
      </w:r>
    </w:p>
    <w:p w14:paraId="71DB306F" w14:textId="294C910A" w:rsidR="002A6D2B" w:rsidRPr="00FF74AE" w:rsidRDefault="002A6D2B" w:rsidP="00FF74AE">
      <w:pPr>
        <w:spacing w:after="240" w:line="276" w:lineRule="auto"/>
        <w:rPr>
          <w:b/>
          <w:bCs/>
        </w:rPr>
      </w:pPr>
      <w:r w:rsidRPr="00FF74AE">
        <w:rPr>
          <w:b/>
          <w:bCs/>
        </w:rPr>
        <w:t>Model Simulations</w:t>
      </w:r>
    </w:p>
    <w:p w14:paraId="31F31084" w14:textId="15C0A2BA" w:rsidR="00210DBC" w:rsidRPr="00FF74AE" w:rsidRDefault="00210DBC" w:rsidP="00FF74AE">
      <w:pPr>
        <w:spacing w:after="240" w:line="276" w:lineRule="auto"/>
      </w:pPr>
      <w:r w:rsidRPr="00FF74AE">
        <w:t>We employ the AWI- Earth System Model</w:t>
      </w:r>
      <w:r w:rsidR="000B79F2" w:rsidRPr="000B79F2">
        <w:rPr>
          <w:color w:val="0070C0"/>
          <w:vertAlign w:val="superscript"/>
        </w:rPr>
        <w:t>14</w:t>
      </w:r>
      <w:r w:rsidR="000B79F2" w:rsidRPr="000B79F2">
        <w:rPr>
          <w:color w:val="0070C0"/>
          <w:vertAlign w:val="superscript"/>
          <w:lang w:eastAsia="zh-CN"/>
        </w:rPr>
        <w:t>,</w:t>
      </w:r>
      <w:r w:rsidR="000B79F2" w:rsidRPr="000B79F2">
        <w:rPr>
          <w:rFonts w:hint="eastAsia"/>
          <w:color w:val="0070C0"/>
          <w:vertAlign w:val="superscript"/>
          <w:lang w:eastAsia="zh-CN"/>
        </w:rPr>
        <w:t>1</w:t>
      </w:r>
      <w:r w:rsidR="000B79F2" w:rsidRPr="000B79F2">
        <w:rPr>
          <w:color w:val="0070C0"/>
          <w:vertAlign w:val="superscript"/>
          <w:lang w:eastAsia="zh-CN"/>
        </w:rPr>
        <w:t>5</w:t>
      </w:r>
      <w:r w:rsidRPr="00FF74AE">
        <w:t xml:space="preserve"> (AWI-ESM) to investigate the mechanism of low-latitude hydrological cycle changes under </w:t>
      </w:r>
      <w:proofErr w:type="spellStart"/>
      <w:r w:rsidRPr="00FF74AE">
        <w:t>precessional</w:t>
      </w:r>
      <w:proofErr w:type="spellEnd"/>
      <w:r w:rsidRPr="00FF74AE">
        <w:t xml:space="preserve"> forcing. AWI-ESM is a coupled ocean-atmosphere model, that was developed by the Alfred Wegener Institute, Helmholtz Centre for Polar and Marine Research. It consists of the atmospheric component ECHAM6</w:t>
      </w:r>
      <w:r w:rsidR="000B79F2" w:rsidRPr="000B79F2">
        <w:rPr>
          <w:color w:val="0070C0"/>
          <w:vertAlign w:val="superscript"/>
        </w:rPr>
        <w:t>16</w:t>
      </w:r>
      <w:r w:rsidRPr="00FF74AE">
        <w:t xml:space="preserve"> and the oceanic component FESOM</w:t>
      </w:r>
      <w:r w:rsidR="000B79F2" w:rsidRPr="000B79F2">
        <w:rPr>
          <w:color w:val="0070C0"/>
          <w:vertAlign w:val="superscript"/>
        </w:rPr>
        <w:t>17,18</w:t>
      </w:r>
      <w:r w:rsidRPr="00FF74AE">
        <w:t>. The oceanic component employs an unstructured mesh, with relatively high resolution (up to 25 km) at polar regions, coast areas, and the equator, while the atmospheric component has a spatial resolution of 1.875o. Detailed information on the model setup can also be found in Shi et al. (2016)</w:t>
      </w:r>
      <w:r w:rsidR="000B79F2" w:rsidRPr="000B79F2">
        <w:rPr>
          <w:color w:val="0070C0"/>
          <w:vertAlign w:val="superscript"/>
        </w:rPr>
        <w:t>19</w:t>
      </w:r>
      <w:r w:rsidRPr="00FF74AE">
        <w:t>.</w:t>
      </w:r>
    </w:p>
    <w:p w14:paraId="4CE1E649" w14:textId="4F48ABC9" w:rsidR="002A6D2B" w:rsidRPr="00FF74AE" w:rsidRDefault="002A6D2B" w:rsidP="00FF74AE">
      <w:pPr>
        <w:spacing w:after="240" w:line="276" w:lineRule="auto"/>
      </w:pPr>
      <w:r w:rsidRPr="00FF74AE">
        <w:lastRenderedPageBreak/>
        <w:t xml:space="preserve">Using AWI-ESM, we perform a set of experiment to reconstruct the climate change within a </w:t>
      </w:r>
      <w:proofErr w:type="spellStart"/>
      <w:r w:rsidRPr="00FF74AE">
        <w:t>precessional</w:t>
      </w:r>
      <w:proofErr w:type="spellEnd"/>
      <w:r w:rsidRPr="00FF74AE">
        <w:t xml:space="preserve"> cycle. In these simulations, the obliquity is set to be 24.5</w:t>
      </w:r>
      <w:r w:rsidR="001A1470" w:rsidRPr="00FF74AE">
        <w:rPr>
          <w:vertAlign w:val="superscript"/>
        </w:rPr>
        <w:t>o</w:t>
      </w:r>
      <w:r w:rsidRPr="00FF74AE">
        <w:t xml:space="preserve">. Twenty-four sensitivity simulations were performed using different </w:t>
      </w:r>
      <w:proofErr w:type="spellStart"/>
      <w:r w:rsidRPr="00FF74AE">
        <w:t>precessional</w:t>
      </w:r>
      <w:proofErr w:type="spellEnd"/>
      <w:r w:rsidRPr="00FF74AE">
        <w:t xml:space="preserve"> phases, i.e., 0</w:t>
      </w:r>
      <w:r w:rsidR="001A1470" w:rsidRPr="00FF74AE">
        <w:rPr>
          <w:vertAlign w:val="superscript"/>
        </w:rPr>
        <w:t>o</w:t>
      </w:r>
      <w:r w:rsidRPr="00FF74AE">
        <w:t>, 15</w:t>
      </w:r>
      <w:r w:rsidR="001A1470" w:rsidRPr="00FF74AE">
        <w:rPr>
          <w:vertAlign w:val="superscript"/>
        </w:rPr>
        <w:t>o</w:t>
      </w:r>
      <w:r w:rsidRPr="00FF74AE">
        <w:t>, 30</w:t>
      </w:r>
      <w:r w:rsidR="001A1470" w:rsidRPr="00FF74AE">
        <w:rPr>
          <w:vertAlign w:val="superscript"/>
        </w:rPr>
        <w:t>o</w:t>
      </w:r>
      <w:r w:rsidRPr="00FF74AE">
        <w:t>, …345</w:t>
      </w:r>
      <w:r w:rsidR="001A1470" w:rsidRPr="00FF74AE">
        <w:rPr>
          <w:vertAlign w:val="superscript"/>
        </w:rPr>
        <w:t>o</w:t>
      </w:r>
      <w:r w:rsidRPr="00FF74AE">
        <w:t xml:space="preserve">. To allow the low-latitude climate to reach a quasi-equilibrium state to insolation forcing, we integrated the model for 300 years, and the last 100 years mean climate were used to represent the climate at the corresponding precession phase. This approach removes the natural climate variability, such as El Nino–Southern Oscillation. </w:t>
      </w:r>
    </w:p>
    <w:p w14:paraId="39930B56" w14:textId="694DEA79" w:rsidR="002A6D2B" w:rsidRPr="00FF74AE" w:rsidRDefault="002A6D2B" w:rsidP="00FF74AE">
      <w:pPr>
        <w:spacing w:after="240" w:line="276" w:lineRule="auto"/>
      </w:pPr>
      <w:r w:rsidRPr="00FF74AE">
        <w:t xml:space="preserve">All these 24 simulations are initialized from a pre-industrial simulation which had participated in the PMIP4 project. For all simulations, the greenhouse gas concentrations in the atmosphere, land-sea distribution and ice sheet configuration are fixed as the pre-industrial condition. </w:t>
      </w:r>
    </w:p>
    <w:p w14:paraId="3B69A190" w14:textId="6D29037D" w:rsidR="002A6D2B" w:rsidRPr="00FF74AE" w:rsidRDefault="002A6D2B" w:rsidP="00FF74AE">
      <w:pPr>
        <w:spacing w:after="240" w:line="276" w:lineRule="auto"/>
      </w:pPr>
      <w:r w:rsidRPr="00FF74AE">
        <w:t xml:space="preserve">Natural climate variability is ubiquitous that sometimes conceals external forcing. To highlight the external </w:t>
      </w:r>
      <w:proofErr w:type="spellStart"/>
      <w:r w:rsidRPr="00FF74AE">
        <w:t>precessional</w:t>
      </w:r>
      <w:proofErr w:type="spellEnd"/>
      <w:r w:rsidRPr="00FF74AE">
        <w:t xml:space="preserve"> forcing in climate change, in all simulations, the eccentricity is set to a relatively high value (0.058). Consequently, this configuration exposes the Earth to 26% more solar radiation during perihelion than during aphelion. Additionally, we examine the climatology mean of the last 100 years model results. This further eliminates the contribution of natural variability on simulated climate changes.</w:t>
      </w:r>
    </w:p>
    <w:p w14:paraId="546D0090" w14:textId="4510D0FE" w:rsidR="002A6D2B" w:rsidRPr="00FF74AE" w:rsidRDefault="002A6D2B" w:rsidP="00FF74AE">
      <w:pPr>
        <w:spacing w:after="240" w:line="276" w:lineRule="auto"/>
      </w:pPr>
      <w:r w:rsidRPr="00FF74AE">
        <w:t xml:space="preserve">Due to differences in the Earth's revolution speed, the length of four seasons varies depending on the </w:t>
      </w:r>
      <w:proofErr w:type="spellStart"/>
      <w:r w:rsidRPr="00FF74AE">
        <w:t>precessional</w:t>
      </w:r>
      <w:proofErr w:type="spellEnd"/>
      <w:r w:rsidRPr="00FF74AE">
        <w:t xml:space="preserve"> configurations. This leads the "calendar effect". In our results, we use the present-day calendar, with the spring equinox set at March 21. As a results, the dates of the summer solstice, autumnal equinox, and winter solstice can be changed a couple of days depending on the </w:t>
      </w:r>
      <w:proofErr w:type="spellStart"/>
      <w:r w:rsidRPr="00FF74AE">
        <w:t>precessional</w:t>
      </w:r>
      <w:proofErr w:type="spellEnd"/>
      <w:r w:rsidRPr="00FF74AE">
        <w:t xml:space="preserve"> </w:t>
      </w:r>
      <w:r w:rsidR="00743672">
        <w:t>phases</w:t>
      </w:r>
      <w:r w:rsidRPr="00FF74AE">
        <w:t xml:space="preserve">. Since our analysis is based on monthly results, we do not make any additional corrections on these dates </w:t>
      </w:r>
      <w:r w:rsidR="00743672" w:rsidRPr="00FF74AE">
        <w:t>to</w:t>
      </w:r>
      <w:r w:rsidRPr="00FF74AE">
        <w:t xml:space="preserve"> keep consistency.</w:t>
      </w:r>
    </w:p>
    <w:p w14:paraId="56245856" w14:textId="627EDDBC" w:rsidR="002A6D2B" w:rsidRPr="00FF74AE" w:rsidRDefault="002A6D2B" w:rsidP="00FF74AE">
      <w:pPr>
        <w:spacing w:after="240" w:line="276" w:lineRule="auto"/>
        <w:rPr>
          <w:b/>
          <w:bCs/>
        </w:rPr>
      </w:pPr>
      <w:r w:rsidRPr="00FF74AE">
        <w:rPr>
          <w:b/>
          <w:bCs/>
        </w:rPr>
        <w:t>Speleothem Proxies</w:t>
      </w:r>
    </w:p>
    <w:p w14:paraId="6954061F" w14:textId="6B3CF20C" w:rsidR="002A6D2B" w:rsidRPr="00FF74AE" w:rsidRDefault="002A6D2B" w:rsidP="00FF74AE">
      <w:pPr>
        <w:spacing w:after="240" w:line="276" w:lineRule="auto"/>
      </w:pPr>
      <w:r w:rsidRPr="00FF74AE">
        <w:t xml:space="preserve">Speleothem </w:t>
      </w:r>
      <w:r w:rsidR="001A1470" w:rsidRPr="00FF74AE">
        <w:t>δ</w:t>
      </w:r>
      <w:r w:rsidR="001A1470" w:rsidRPr="00FF74AE">
        <w:rPr>
          <w:vertAlign w:val="superscript"/>
        </w:rPr>
        <w:t>18</w:t>
      </w:r>
      <w:r w:rsidR="001A1470" w:rsidRPr="00FF74AE">
        <w:t>O</w:t>
      </w:r>
      <w:r w:rsidRPr="00FF74AE">
        <w:t xml:space="preserve"> records from China</w:t>
      </w:r>
      <w:r w:rsidR="00743672" w:rsidRPr="00743672">
        <w:rPr>
          <w:color w:val="0070C0"/>
          <w:vertAlign w:val="superscript"/>
        </w:rPr>
        <w:t>5</w:t>
      </w:r>
      <w:r w:rsidRPr="00FF74AE">
        <w:t>, Malaysia</w:t>
      </w:r>
      <w:r w:rsidR="00743672" w:rsidRPr="00743672">
        <w:rPr>
          <w:color w:val="0070C0"/>
          <w:vertAlign w:val="superscript"/>
        </w:rPr>
        <w:t>6</w:t>
      </w:r>
      <w:r w:rsidRPr="00FF74AE">
        <w:t xml:space="preserve"> and Brazil</w:t>
      </w:r>
      <w:r w:rsidR="00743672" w:rsidRPr="00743672">
        <w:rPr>
          <w:color w:val="0070C0"/>
          <w:vertAlign w:val="superscript"/>
        </w:rPr>
        <w:t>4</w:t>
      </w:r>
      <w:r w:rsidRPr="00FF74AE">
        <w:t xml:space="preserve"> are used in this study. The record from China is composited by</w:t>
      </w:r>
      <w:r w:rsidR="00743672">
        <w:t xml:space="preserve"> Cheng (2016)</w:t>
      </w:r>
      <w:r w:rsidR="00743672" w:rsidRPr="00743672">
        <w:rPr>
          <w:color w:val="0070C0"/>
          <w:vertAlign w:val="superscript"/>
        </w:rPr>
        <w:t xml:space="preserve"> 5</w:t>
      </w:r>
      <w:r w:rsidRPr="00FF74AE">
        <w:t xml:space="preserve"> based on several records from </w:t>
      </w:r>
      <w:proofErr w:type="spellStart"/>
      <w:r w:rsidRPr="00FF74AE">
        <w:t>Sanbao</w:t>
      </w:r>
      <w:proofErr w:type="spellEnd"/>
      <w:r w:rsidRPr="00FF74AE">
        <w:t xml:space="preserve"> (31</w:t>
      </w:r>
      <w:r w:rsidR="001A1470" w:rsidRPr="00FF74AE">
        <w:rPr>
          <w:vertAlign w:val="superscript"/>
        </w:rPr>
        <w:t>o</w:t>
      </w:r>
      <w:r w:rsidRPr="00FF74AE">
        <w:t>40' N, 110</w:t>
      </w:r>
      <w:r w:rsidR="001A1470" w:rsidRPr="00FF74AE">
        <w:rPr>
          <w:vertAlign w:val="superscript"/>
        </w:rPr>
        <w:t xml:space="preserve"> o</w:t>
      </w:r>
      <w:r w:rsidRPr="00FF74AE">
        <w:t xml:space="preserve"> 26' E), Hulu (32</w:t>
      </w:r>
      <w:r w:rsidR="001A1470" w:rsidRPr="00FF74AE">
        <w:rPr>
          <w:vertAlign w:val="superscript"/>
        </w:rPr>
        <w:t xml:space="preserve"> o</w:t>
      </w:r>
      <w:r w:rsidRPr="00FF74AE">
        <w:t xml:space="preserve"> 30' N, 119</w:t>
      </w:r>
      <w:r w:rsidR="001A1470" w:rsidRPr="00FF74AE">
        <w:rPr>
          <w:vertAlign w:val="superscript"/>
        </w:rPr>
        <w:t xml:space="preserve"> o</w:t>
      </w:r>
      <w:r w:rsidRPr="00FF74AE">
        <w:t xml:space="preserve"> 10' E) and Dongge (25</w:t>
      </w:r>
      <w:r w:rsidR="001A1470" w:rsidRPr="00FF74AE">
        <w:rPr>
          <w:vertAlign w:val="superscript"/>
        </w:rPr>
        <w:t xml:space="preserve"> o</w:t>
      </w:r>
      <w:r w:rsidRPr="00FF74AE">
        <w:t xml:space="preserve"> 17' N, 108</w:t>
      </w:r>
      <w:r w:rsidR="001A1470" w:rsidRPr="00FF74AE">
        <w:rPr>
          <w:vertAlign w:val="superscript"/>
        </w:rPr>
        <w:t xml:space="preserve"> o</w:t>
      </w:r>
      <w:r w:rsidRPr="00FF74AE">
        <w:t xml:space="preserve"> 5' E) caves</w:t>
      </w:r>
      <w:r w:rsidR="00C32CA0" w:rsidRPr="00C32CA0">
        <w:rPr>
          <w:color w:val="0070C0"/>
          <w:vertAlign w:val="superscript"/>
        </w:rPr>
        <w:t>20-24</w:t>
      </w:r>
      <w:r w:rsidRPr="00FF74AE">
        <w:t xml:space="preserve">. The Malaysia records were collected in different caves in </w:t>
      </w:r>
      <w:proofErr w:type="spellStart"/>
      <w:r w:rsidRPr="00FF74AE">
        <w:t>Gunung</w:t>
      </w:r>
      <w:proofErr w:type="spellEnd"/>
      <w:r w:rsidRPr="00FF74AE">
        <w:t xml:space="preserve"> </w:t>
      </w:r>
      <w:proofErr w:type="spellStart"/>
      <w:r w:rsidRPr="00FF74AE">
        <w:t>Mulu</w:t>
      </w:r>
      <w:proofErr w:type="spellEnd"/>
      <w:r w:rsidRPr="00FF74AE">
        <w:t xml:space="preserve"> National Park, Borneo, Malaysia (4</w:t>
      </w:r>
      <w:r w:rsidR="001A1470" w:rsidRPr="00FF74AE">
        <w:rPr>
          <w:vertAlign w:val="superscript"/>
        </w:rPr>
        <w:t xml:space="preserve"> o</w:t>
      </w:r>
      <w:r w:rsidR="001A1470" w:rsidRPr="00FF74AE">
        <w:t xml:space="preserve"> </w:t>
      </w:r>
      <w:r w:rsidRPr="00FF74AE">
        <w:t>N, 115</w:t>
      </w:r>
      <w:r w:rsidR="001A1470" w:rsidRPr="00FF74AE">
        <w:rPr>
          <w:vertAlign w:val="superscript"/>
        </w:rPr>
        <w:t xml:space="preserve"> o</w:t>
      </w:r>
      <w:r w:rsidR="001A1470" w:rsidRPr="00FF74AE">
        <w:t xml:space="preserve"> </w:t>
      </w:r>
      <w:r w:rsidRPr="00FF74AE">
        <w:t>E)</w:t>
      </w:r>
      <w:r w:rsidR="00C32CA0" w:rsidRPr="00C32CA0">
        <w:rPr>
          <w:color w:val="0070C0"/>
          <w:vertAlign w:val="superscript"/>
        </w:rPr>
        <w:t>6,25</w:t>
      </w:r>
      <w:r w:rsidRPr="00FF74AE">
        <w:t xml:space="preserve">. The Brazil record is collected from the </w:t>
      </w:r>
      <w:proofErr w:type="spellStart"/>
      <w:r w:rsidRPr="00FF74AE">
        <w:t>Botuvera</w:t>
      </w:r>
      <w:proofErr w:type="spellEnd"/>
      <w:r w:rsidRPr="00FF74AE">
        <w:t xml:space="preserve"> Cave (27</w:t>
      </w:r>
      <w:r w:rsidR="001A1470" w:rsidRPr="00FF74AE">
        <w:rPr>
          <w:vertAlign w:val="superscript"/>
        </w:rPr>
        <w:t xml:space="preserve"> o</w:t>
      </w:r>
      <w:r w:rsidRPr="00FF74AE">
        <w:t xml:space="preserve"> 13' 24" S, 49</w:t>
      </w:r>
      <w:r w:rsidR="001A1470" w:rsidRPr="00FF74AE">
        <w:rPr>
          <w:vertAlign w:val="superscript"/>
        </w:rPr>
        <w:t xml:space="preserve"> o</w:t>
      </w:r>
      <w:r w:rsidRPr="00FF74AE">
        <w:t xml:space="preserve"> 09' 20" W)</w:t>
      </w:r>
      <w:r w:rsidR="00C32CA0" w:rsidRPr="00C32CA0">
        <w:rPr>
          <w:color w:val="0070C0"/>
          <w:vertAlign w:val="superscript"/>
        </w:rPr>
        <w:t>4</w:t>
      </w:r>
      <w:r w:rsidRPr="00FF74AE">
        <w:t>.</w:t>
      </w:r>
    </w:p>
    <w:p w14:paraId="47F62697" w14:textId="74288649" w:rsidR="002A6D2B" w:rsidRPr="00FF74AE" w:rsidRDefault="002A6D2B" w:rsidP="00FF74AE">
      <w:pPr>
        <w:spacing w:after="240" w:line="276" w:lineRule="auto"/>
        <w:rPr>
          <w:b/>
          <w:bCs/>
        </w:rPr>
      </w:pPr>
      <w:r w:rsidRPr="00FF74AE">
        <w:rPr>
          <w:b/>
          <w:bCs/>
        </w:rPr>
        <w:t>Method</w:t>
      </w:r>
    </w:p>
    <w:p w14:paraId="0B35AFFC" w14:textId="51B497C1" w:rsidR="001A1470" w:rsidRPr="00FF74AE" w:rsidRDefault="002A6D2B" w:rsidP="00FF74AE">
      <w:pPr>
        <w:spacing w:after="240" w:line="276" w:lineRule="auto"/>
      </w:pPr>
      <w:r w:rsidRPr="00FF74AE">
        <w:t xml:space="preserve">The Empirical orthogonal functions (EOF) analysis is used to identify the spatial and temporal characteristics of terrestrial precipitation at low latitudes. EOF analysis is widely applied in Earth science. It is generally used to simplify a spatial-temporal data set by converting it into spatial patterns of variability and temporal evolution of these patterns. </w:t>
      </w:r>
      <w:r w:rsidR="001A1470" w:rsidRPr="00FF74AE">
        <w:t>W</w:t>
      </w:r>
      <w:r w:rsidRPr="00FF74AE">
        <w:t xml:space="preserve">e applied EOF analysis on the </w:t>
      </w:r>
      <w:r w:rsidRPr="00FF74AE">
        <w:lastRenderedPageBreak/>
        <w:t xml:space="preserve">monthly convective precipitation. For example, December precipitation in the 24 simulations </w:t>
      </w:r>
      <w:r w:rsidR="001A1470" w:rsidRPr="00FF74AE">
        <w:t>is</w:t>
      </w:r>
      <w:r w:rsidRPr="00FF74AE">
        <w:t xml:space="preserve"> selected and applied a EOF analysis to generate Fig. </w:t>
      </w:r>
      <w:r w:rsidR="001A1470" w:rsidRPr="00FF74AE">
        <w:t>2a</w:t>
      </w:r>
      <w:r w:rsidRPr="00FF74AE">
        <w:t xml:space="preserve">. </w:t>
      </w:r>
    </w:p>
    <w:p w14:paraId="7506B389" w14:textId="4FD40F39" w:rsidR="00C32CA0" w:rsidRPr="00C32CA0" w:rsidRDefault="002A6D2B" w:rsidP="00FF74AE">
      <w:pPr>
        <w:spacing w:after="240" w:line="276" w:lineRule="auto"/>
        <w:rPr>
          <w:color w:val="0070C0"/>
          <w:vertAlign w:val="superscript"/>
        </w:rPr>
      </w:pPr>
      <w:r w:rsidRPr="00FF74AE">
        <w:t>The latitude of the perihelion is introduced as the latitude of Sun's zenith point when perihelion occurs. This latitude also represents the latitude of maximum incoming solar radiation at the top of atmosphere. The insolation characteristics are calculated using MATLAB with aids from two tools, namely the "Orbital, the Box"</w:t>
      </w:r>
      <w:r w:rsidR="00C32CA0" w:rsidRPr="00C32CA0">
        <w:rPr>
          <w:color w:val="0070C0"/>
          <w:vertAlign w:val="superscript"/>
        </w:rPr>
        <w:t>26</w:t>
      </w:r>
      <w:r w:rsidRPr="00FF74AE">
        <w:t xml:space="preserve"> and the Earth Orbit Model v2.1</w:t>
      </w:r>
      <w:r w:rsidR="00C32CA0" w:rsidRPr="00C32CA0">
        <w:rPr>
          <w:color w:val="0070C0"/>
          <w:vertAlign w:val="superscript"/>
        </w:rPr>
        <w:t>27</w:t>
      </w:r>
      <w:r w:rsidRPr="00FF74AE">
        <w:t>. These tools were developed based on the theoretical framework presented in</w:t>
      </w:r>
      <w:r w:rsidR="00C32CA0">
        <w:t xml:space="preserve"> references</w:t>
      </w:r>
      <w:r w:rsidR="00C32CA0" w:rsidRPr="00C32CA0">
        <w:rPr>
          <w:color w:val="0070C0"/>
          <w:vertAlign w:val="superscript"/>
        </w:rPr>
        <w:t>28,29</w:t>
      </w:r>
      <w:r w:rsidR="00C32CA0">
        <w:t>.</w:t>
      </w:r>
    </w:p>
    <w:p w14:paraId="586764CB" w14:textId="77777777" w:rsidR="001A1470" w:rsidRPr="00FF74AE" w:rsidRDefault="001A1470" w:rsidP="00FF74AE">
      <w:pPr>
        <w:spacing w:after="240" w:line="276" w:lineRule="auto"/>
      </w:pPr>
    </w:p>
    <w:p w14:paraId="2772084E" w14:textId="4D4707F1" w:rsidR="00F5553C" w:rsidRPr="00FF74AE" w:rsidRDefault="009E685A" w:rsidP="00FF74AE">
      <w:pPr>
        <w:spacing w:before="240" w:after="240" w:line="276" w:lineRule="auto"/>
      </w:pPr>
      <w:r>
        <w:rPr>
          <w:b/>
          <w:bCs/>
        </w:rPr>
        <w:t xml:space="preserve">Caption for </w:t>
      </w:r>
      <w:r w:rsidR="00F5553C" w:rsidRPr="00FF74AE">
        <w:rPr>
          <w:b/>
          <w:bCs/>
        </w:rPr>
        <w:t xml:space="preserve">Movie 1: </w:t>
      </w:r>
      <w:r w:rsidR="00F5553C" w:rsidRPr="00FF74AE">
        <w:t xml:space="preserve">Shifting season and latitude of perihelion due to precession of the Earth’s rotation axis. (A) Schematic view of perihelion. (B). Geometric perspective showing how precession of the Earth's rotation axis alters the latitude of perihelion. The yellow arrows illustrate the solar radiation. The black lines represent the Tropic of Cancer and Tropic of Capricorn, respectively. The pink line gives the latitude of perihelion which is the latitude of the Sun’s zenith point when perihelion occurs. (C). Evolution of seasonal solar radiation pattern within a </w:t>
      </w:r>
      <w:proofErr w:type="spellStart"/>
      <w:r w:rsidR="00F5553C" w:rsidRPr="00FF74AE">
        <w:t>precessional</w:t>
      </w:r>
      <w:proofErr w:type="spellEnd"/>
      <w:r w:rsidR="00F5553C" w:rsidRPr="00FF74AE">
        <w:t xml:space="preserve"> cycle. The color circle depicts the seasonal distribution of solar radiation, which is determined by the distance between the Sun and the Earth. The changing number at the top of subpanel give the </w:t>
      </w:r>
      <w:proofErr w:type="spellStart"/>
      <w:r w:rsidR="00F5553C" w:rsidRPr="00FF74AE">
        <w:t>precessional</w:t>
      </w:r>
      <w:proofErr w:type="spellEnd"/>
      <w:r w:rsidR="00F5553C" w:rsidRPr="00FF74AE">
        <w:t xml:space="preserve"> phase. The pink dot represents the position of perihelion. Wherever the perihelion takes places, the insolation at that latitude and season reaches its maximal value within a </w:t>
      </w:r>
      <w:proofErr w:type="spellStart"/>
      <w:r w:rsidR="00F5553C" w:rsidRPr="00FF74AE">
        <w:t>precessional</w:t>
      </w:r>
      <w:proofErr w:type="spellEnd"/>
      <w:r w:rsidR="00F5553C" w:rsidRPr="00FF74AE">
        <w:t xml:space="preserve"> cycle. (D). Changing latitude of perihelion in a </w:t>
      </w:r>
      <w:proofErr w:type="spellStart"/>
      <w:r w:rsidR="00F5553C" w:rsidRPr="00FF74AE">
        <w:t>precessional</w:t>
      </w:r>
      <w:proofErr w:type="spellEnd"/>
      <w:r w:rsidR="00F5553C" w:rsidRPr="00FF74AE">
        <w:t xml:space="preserve"> cycle. Within a </w:t>
      </w:r>
      <w:proofErr w:type="spellStart"/>
      <w:r w:rsidR="00F5553C" w:rsidRPr="00FF74AE">
        <w:t>precessional</w:t>
      </w:r>
      <w:proofErr w:type="spellEnd"/>
      <w:r w:rsidR="00F5553C" w:rsidRPr="00FF74AE">
        <w:t xml:space="preserve"> cycle, the latitude of perihelion moves from the Tropic of Capricorn to the Tropic of Cancer and back again, like the movement of Sun's zenith point within a year. In this movie, the eccentricity is set to 0.058 and the obliquity is fixed at 24.5</w:t>
      </w:r>
      <w:r w:rsidR="00F5553C" w:rsidRPr="00FF74AE">
        <w:rPr>
          <w:vertAlign w:val="superscript"/>
        </w:rPr>
        <w:t>o</w:t>
      </w:r>
      <w:r w:rsidR="00F5553C" w:rsidRPr="00FF74AE">
        <w:t>.</w:t>
      </w:r>
    </w:p>
    <w:p w14:paraId="68AC9B9E" w14:textId="77777777" w:rsidR="00F5553C" w:rsidRPr="00FF74AE" w:rsidRDefault="00F5553C" w:rsidP="00FF74AE">
      <w:pPr>
        <w:spacing w:before="240" w:after="240" w:line="276" w:lineRule="auto"/>
      </w:pPr>
    </w:p>
    <w:p w14:paraId="25371E32" w14:textId="3E3608D8" w:rsidR="00F5553C" w:rsidRPr="00FF74AE" w:rsidRDefault="00F5553C" w:rsidP="00FF74AE">
      <w:pPr>
        <w:spacing w:before="240" w:after="240" w:line="276" w:lineRule="auto"/>
        <w:jc w:val="center"/>
      </w:pPr>
      <w:r w:rsidRPr="00FF74AE">
        <w:rPr>
          <w:noProof/>
        </w:rPr>
        <w:drawing>
          <wp:inline distT="0" distB="0" distL="0" distR="0" wp14:anchorId="39FE0EDA" wp14:editId="4C93652B">
            <wp:extent cx="5675870" cy="2809344"/>
            <wp:effectExtent l="0" t="0" r="1270" b="0"/>
            <wp:docPr id="1480283206"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283206" name="图片 1" descr="图表&#10;&#10;描述已自动生成"/>
                    <pic:cNvPicPr/>
                  </pic:nvPicPr>
                  <pic:blipFill rotWithShape="1">
                    <a:blip r:embed="rId5" cstate="print">
                      <a:extLst>
                        <a:ext uri="{28A0092B-C50C-407E-A947-70E740481C1C}">
                          <a14:useLocalDpi xmlns:a14="http://schemas.microsoft.com/office/drawing/2010/main" val="0"/>
                        </a:ext>
                      </a:extLst>
                    </a:blip>
                    <a:srcRect l="8936" t="13752" r="3798" b="15706"/>
                    <a:stretch/>
                  </pic:blipFill>
                  <pic:spPr bwMode="auto">
                    <a:xfrm>
                      <a:off x="0" y="0"/>
                      <a:ext cx="5727650" cy="2834973"/>
                    </a:xfrm>
                    <a:prstGeom prst="rect">
                      <a:avLst/>
                    </a:prstGeom>
                    <a:ln>
                      <a:noFill/>
                    </a:ln>
                    <a:extLst>
                      <a:ext uri="{53640926-AAD7-44D8-BBD7-CCE9431645EC}">
                        <a14:shadowObscured xmlns:a14="http://schemas.microsoft.com/office/drawing/2010/main"/>
                      </a:ext>
                    </a:extLst>
                  </pic:spPr>
                </pic:pic>
              </a:graphicData>
            </a:graphic>
          </wp:inline>
        </w:drawing>
      </w:r>
    </w:p>
    <w:p w14:paraId="46DE08CA" w14:textId="153F0BD5" w:rsidR="00F5553C" w:rsidRPr="00FF74AE" w:rsidRDefault="00F5553C" w:rsidP="00FF74AE">
      <w:pPr>
        <w:spacing w:before="240" w:after="240" w:line="276" w:lineRule="auto"/>
      </w:pPr>
      <w:r w:rsidRPr="00FF74AE">
        <w:rPr>
          <w:b/>
          <w:bCs/>
        </w:rPr>
        <w:lastRenderedPageBreak/>
        <w:t>Fig. S1.</w:t>
      </w:r>
      <w:r w:rsidRPr="00FF74AE">
        <w:t xml:space="preserve"> The latitudinal movement of the perihelion and Sun's zenith point within a </w:t>
      </w:r>
      <w:proofErr w:type="spellStart"/>
      <w:r w:rsidRPr="00FF74AE">
        <w:t>precessional</w:t>
      </w:r>
      <w:proofErr w:type="spellEnd"/>
      <w:r w:rsidRPr="00FF74AE">
        <w:t xml:space="preserve"> cycle and an annual cycle, respectively. The labels outside the circle give the </w:t>
      </w:r>
      <w:proofErr w:type="spellStart"/>
      <w:r w:rsidRPr="00FF74AE">
        <w:t>precessional</w:t>
      </w:r>
      <w:proofErr w:type="spellEnd"/>
      <w:r w:rsidRPr="00FF74AE">
        <w:t xml:space="preserve"> phase, namely the longitude of the perihelion. The labels inside the circle locate the position of season. Within a year, the Sun's zenith point march between the Tropic of Cancer and the Tropic of Capricorn. Within a </w:t>
      </w:r>
      <w:proofErr w:type="spellStart"/>
      <w:r w:rsidRPr="00FF74AE">
        <w:t>precessional</w:t>
      </w:r>
      <w:proofErr w:type="spellEnd"/>
      <w:r w:rsidRPr="00FF74AE">
        <w:t xml:space="preserve"> cycle, the latitude of perihelion also migrates between the Tropic of Cancer and the Tropic of Capricorn. The grey dashed lines give the latitudinal coordinate. When the perihelion occurs, the insolation at the perihelion latitude reaches the maximum within a </w:t>
      </w:r>
      <w:proofErr w:type="spellStart"/>
      <w:r w:rsidRPr="00FF74AE">
        <w:t>precessional</w:t>
      </w:r>
      <w:proofErr w:type="spellEnd"/>
      <w:r w:rsidRPr="00FF74AE">
        <w:t xml:space="preserve"> cycle. To better understand this figure, please also check Supplementary Movie 1, which visually conveys an explanatory description of the seasonal solar radiation variations within a </w:t>
      </w:r>
      <w:proofErr w:type="spellStart"/>
      <w:r w:rsidRPr="00FF74AE">
        <w:t>precessional</w:t>
      </w:r>
      <w:proofErr w:type="spellEnd"/>
      <w:r w:rsidRPr="00FF74AE">
        <w:t xml:space="preserve"> cycle.</w:t>
      </w:r>
    </w:p>
    <w:p w14:paraId="48C87338" w14:textId="77777777" w:rsidR="00F5553C" w:rsidRPr="00FF74AE" w:rsidRDefault="00F5553C" w:rsidP="00FF74AE">
      <w:pPr>
        <w:spacing w:before="240" w:after="240" w:line="276" w:lineRule="auto"/>
      </w:pPr>
    </w:p>
    <w:p w14:paraId="39D58AB4" w14:textId="77777777" w:rsidR="00F5553C" w:rsidRPr="00FF74AE" w:rsidRDefault="00F5553C" w:rsidP="00FF74AE">
      <w:pPr>
        <w:spacing w:before="240" w:after="240" w:line="276" w:lineRule="auto"/>
      </w:pPr>
    </w:p>
    <w:p w14:paraId="0B98AA1D" w14:textId="390899C5" w:rsidR="0062276D" w:rsidRPr="00FF74AE" w:rsidRDefault="0062276D" w:rsidP="00FF74AE">
      <w:pPr>
        <w:spacing w:after="240" w:line="276" w:lineRule="auto"/>
      </w:pPr>
      <w:r w:rsidRPr="00FF74AE">
        <w:rPr>
          <w:noProof/>
        </w:rPr>
        <w:drawing>
          <wp:inline distT="0" distB="0" distL="0" distR="0" wp14:anchorId="2A966DC0" wp14:editId="0B396CE3">
            <wp:extent cx="5666809" cy="2902994"/>
            <wp:effectExtent l="0" t="0" r="0" b="5715"/>
            <wp:docPr id="19959270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927089" name="图片 1995927089"/>
                    <pic:cNvPicPr/>
                  </pic:nvPicPr>
                  <pic:blipFill>
                    <a:blip r:embed="rId6">
                      <a:extLst>
                        <a:ext uri="{28A0092B-C50C-407E-A947-70E740481C1C}">
                          <a14:useLocalDpi xmlns:a14="http://schemas.microsoft.com/office/drawing/2010/main" val="0"/>
                        </a:ext>
                      </a:extLst>
                    </a:blip>
                    <a:stretch>
                      <a:fillRect/>
                    </a:stretch>
                  </pic:blipFill>
                  <pic:spPr>
                    <a:xfrm>
                      <a:off x="0" y="0"/>
                      <a:ext cx="5703320" cy="2921698"/>
                    </a:xfrm>
                    <a:prstGeom prst="rect">
                      <a:avLst/>
                    </a:prstGeom>
                  </pic:spPr>
                </pic:pic>
              </a:graphicData>
            </a:graphic>
          </wp:inline>
        </w:drawing>
      </w:r>
    </w:p>
    <w:p w14:paraId="1CE7CBF7" w14:textId="15A9D89F" w:rsidR="0062276D" w:rsidRPr="00FF74AE" w:rsidRDefault="0062276D" w:rsidP="00FF74AE">
      <w:pPr>
        <w:spacing w:after="240" w:line="276" w:lineRule="auto"/>
      </w:pPr>
      <w:r w:rsidRPr="00FF74AE">
        <w:rPr>
          <w:b/>
          <w:bCs/>
        </w:rPr>
        <w:t>Fig. S</w:t>
      </w:r>
      <w:r w:rsidR="002163DC" w:rsidRPr="00FF74AE">
        <w:rPr>
          <w:b/>
          <w:bCs/>
        </w:rPr>
        <w:t>2</w:t>
      </w:r>
      <w:r w:rsidRPr="00FF74AE">
        <w:rPr>
          <w:b/>
          <w:bCs/>
        </w:rPr>
        <w:t xml:space="preserve">. </w:t>
      </w:r>
      <w:r w:rsidRPr="00FF74AE">
        <w:t>Seasonal migration of the Sun's zenith point (thick blue line), land thermal equator (shading color) and precipitation</w:t>
      </w:r>
      <w:r w:rsidR="00943B03" w:rsidRPr="00FF74AE">
        <w:t xml:space="preserve"> </w:t>
      </w:r>
      <w:r w:rsidR="00943B03" w:rsidRPr="00FF74AE">
        <w:rPr>
          <w:lang w:eastAsia="zh-CN"/>
        </w:rPr>
        <w:t>over land</w:t>
      </w:r>
      <w:r w:rsidRPr="00FF74AE">
        <w:t xml:space="preserve"> (black contours). Shading colors represent zonal mean land surface temperature. Contours show the zonal mean precipitation on land (unit: mm/day). The seasonal movement of the Sun's zenith point fundamentally determines the position of the Earth's thermal equator, where deep convection and low-latitude precipitation take</w:t>
      </w:r>
      <w:r w:rsidR="00943B03" w:rsidRPr="00FF74AE">
        <w:rPr>
          <w:lang w:eastAsia="zh-CN"/>
        </w:rPr>
        <w:t>s</w:t>
      </w:r>
      <w:r w:rsidRPr="00FF74AE">
        <w:t xml:space="preserve"> place. </w:t>
      </w:r>
      <w:r w:rsidRPr="00FF74AE">
        <w:rPr>
          <w:w w:val="110"/>
        </w:rPr>
        <w:t>Due</w:t>
      </w:r>
      <w:r w:rsidRPr="00FF74AE">
        <w:rPr>
          <w:spacing w:val="13"/>
          <w:w w:val="110"/>
        </w:rPr>
        <w:t xml:space="preserve"> </w:t>
      </w:r>
      <w:r w:rsidRPr="00FF74AE">
        <w:rPr>
          <w:w w:val="110"/>
        </w:rPr>
        <w:t>to</w:t>
      </w:r>
      <w:r w:rsidRPr="00FF74AE">
        <w:rPr>
          <w:spacing w:val="14"/>
          <w:w w:val="110"/>
        </w:rPr>
        <w:t xml:space="preserve"> </w:t>
      </w:r>
      <w:r w:rsidRPr="00FF74AE">
        <w:rPr>
          <w:w w:val="110"/>
        </w:rPr>
        <w:t>the</w:t>
      </w:r>
      <w:r w:rsidRPr="00FF74AE">
        <w:rPr>
          <w:spacing w:val="13"/>
          <w:w w:val="110"/>
        </w:rPr>
        <w:t xml:space="preserve"> </w:t>
      </w:r>
      <w:r w:rsidRPr="00FF74AE">
        <w:rPr>
          <w:w w:val="110"/>
        </w:rPr>
        <w:t>thermal</w:t>
      </w:r>
      <w:r w:rsidRPr="00FF74AE">
        <w:rPr>
          <w:spacing w:val="14"/>
          <w:w w:val="110"/>
        </w:rPr>
        <w:t xml:space="preserve"> </w:t>
      </w:r>
      <w:r w:rsidRPr="00FF74AE">
        <w:rPr>
          <w:w w:val="110"/>
        </w:rPr>
        <w:t>inertia</w:t>
      </w:r>
      <w:r w:rsidRPr="00FF74AE">
        <w:rPr>
          <w:spacing w:val="13"/>
          <w:w w:val="110"/>
        </w:rPr>
        <w:t xml:space="preserve"> </w:t>
      </w:r>
      <w:r w:rsidRPr="00FF74AE">
        <w:rPr>
          <w:w w:val="110"/>
        </w:rPr>
        <w:t>of</w:t>
      </w:r>
      <w:r w:rsidRPr="00FF74AE">
        <w:rPr>
          <w:spacing w:val="13"/>
          <w:w w:val="110"/>
        </w:rPr>
        <w:t xml:space="preserve"> </w:t>
      </w:r>
      <w:r w:rsidR="00943B03" w:rsidRPr="00FF74AE">
        <w:rPr>
          <w:spacing w:val="13"/>
          <w:w w:val="110"/>
          <w:lang w:eastAsia="zh-CN"/>
        </w:rPr>
        <w:t>Earth</w:t>
      </w:r>
      <w:r w:rsidRPr="00FF74AE">
        <w:rPr>
          <w:w w:val="110"/>
        </w:rPr>
        <w:t>,</w:t>
      </w:r>
      <w:r w:rsidRPr="00FF74AE">
        <w:rPr>
          <w:spacing w:val="14"/>
          <w:w w:val="110"/>
        </w:rPr>
        <w:t xml:space="preserve"> </w:t>
      </w:r>
      <w:r w:rsidRPr="00FF74AE">
        <w:rPr>
          <w:w w:val="110"/>
        </w:rPr>
        <w:t>the</w:t>
      </w:r>
      <w:r w:rsidRPr="00FF74AE">
        <w:rPr>
          <w:spacing w:val="13"/>
          <w:w w:val="110"/>
        </w:rPr>
        <w:t xml:space="preserve"> </w:t>
      </w:r>
      <w:r w:rsidRPr="00FF74AE">
        <w:rPr>
          <w:w w:val="110"/>
        </w:rPr>
        <w:t>thermal</w:t>
      </w:r>
      <w:r w:rsidRPr="00FF74AE">
        <w:rPr>
          <w:spacing w:val="14"/>
          <w:w w:val="110"/>
        </w:rPr>
        <w:t xml:space="preserve"> </w:t>
      </w:r>
      <w:r w:rsidRPr="00FF74AE">
        <w:rPr>
          <w:w w:val="110"/>
        </w:rPr>
        <w:t>equator</w:t>
      </w:r>
      <w:r w:rsidRPr="00FF74AE">
        <w:rPr>
          <w:spacing w:val="13"/>
          <w:w w:val="110"/>
        </w:rPr>
        <w:t xml:space="preserve"> </w:t>
      </w:r>
      <w:r w:rsidRPr="00FF74AE">
        <w:rPr>
          <w:w w:val="110"/>
        </w:rPr>
        <w:t>and</w:t>
      </w:r>
      <w:r w:rsidRPr="00FF74AE">
        <w:rPr>
          <w:spacing w:val="13"/>
          <w:w w:val="110"/>
        </w:rPr>
        <w:t xml:space="preserve"> </w:t>
      </w:r>
      <w:r w:rsidR="002A6D2B" w:rsidRPr="00FF74AE">
        <w:rPr>
          <w:w w:val="110"/>
        </w:rPr>
        <w:t>terrestrial precipitation</w:t>
      </w:r>
      <w:r w:rsidRPr="00FF74AE">
        <w:rPr>
          <w:spacing w:val="-2"/>
          <w:w w:val="110"/>
        </w:rPr>
        <w:t xml:space="preserve"> </w:t>
      </w:r>
      <w:r w:rsidRPr="00FF74AE">
        <w:rPr>
          <w:w w:val="105"/>
        </w:rPr>
        <w:t>do</w:t>
      </w:r>
      <w:r w:rsidRPr="00FF74AE">
        <w:rPr>
          <w:spacing w:val="35"/>
          <w:w w:val="105"/>
        </w:rPr>
        <w:t xml:space="preserve"> </w:t>
      </w:r>
      <w:r w:rsidRPr="00FF74AE">
        <w:rPr>
          <w:w w:val="105"/>
        </w:rPr>
        <w:t>not</w:t>
      </w:r>
      <w:r w:rsidRPr="00FF74AE">
        <w:rPr>
          <w:spacing w:val="34"/>
          <w:w w:val="105"/>
        </w:rPr>
        <w:t xml:space="preserve"> </w:t>
      </w:r>
      <w:r w:rsidRPr="00FF74AE">
        <w:rPr>
          <w:w w:val="105"/>
        </w:rPr>
        <w:t>precisely</w:t>
      </w:r>
      <w:r w:rsidRPr="00FF74AE">
        <w:rPr>
          <w:spacing w:val="34"/>
          <w:w w:val="105"/>
        </w:rPr>
        <w:t xml:space="preserve"> </w:t>
      </w:r>
      <w:r w:rsidRPr="00FF74AE">
        <w:rPr>
          <w:w w:val="105"/>
        </w:rPr>
        <w:t>coincide</w:t>
      </w:r>
      <w:r w:rsidRPr="00FF74AE">
        <w:rPr>
          <w:spacing w:val="34"/>
          <w:w w:val="105"/>
        </w:rPr>
        <w:t xml:space="preserve"> </w:t>
      </w:r>
      <w:r w:rsidRPr="00FF74AE">
        <w:rPr>
          <w:w w:val="105"/>
        </w:rPr>
        <w:t>with</w:t>
      </w:r>
      <w:r w:rsidRPr="00FF74AE">
        <w:rPr>
          <w:spacing w:val="34"/>
          <w:w w:val="105"/>
        </w:rPr>
        <w:t xml:space="preserve"> </w:t>
      </w:r>
      <w:r w:rsidRPr="00FF74AE">
        <w:rPr>
          <w:w w:val="105"/>
        </w:rPr>
        <w:t>the</w:t>
      </w:r>
      <w:r w:rsidRPr="00FF74AE">
        <w:rPr>
          <w:spacing w:val="34"/>
          <w:w w:val="105"/>
        </w:rPr>
        <w:t xml:space="preserve"> </w:t>
      </w:r>
      <w:r w:rsidRPr="00FF74AE">
        <w:rPr>
          <w:w w:val="105"/>
        </w:rPr>
        <w:t>timing</w:t>
      </w:r>
      <w:r w:rsidRPr="00FF74AE">
        <w:rPr>
          <w:spacing w:val="34"/>
          <w:w w:val="105"/>
        </w:rPr>
        <w:t xml:space="preserve"> </w:t>
      </w:r>
      <w:r w:rsidRPr="00FF74AE">
        <w:rPr>
          <w:w w:val="105"/>
        </w:rPr>
        <w:t>of</w:t>
      </w:r>
      <w:r w:rsidRPr="00FF74AE">
        <w:rPr>
          <w:spacing w:val="34"/>
          <w:w w:val="105"/>
        </w:rPr>
        <w:t xml:space="preserve"> </w:t>
      </w:r>
      <w:r w:rsidRPr="00FF74AE">
        <w:rPr>
          <w:w w:val="105"/>
        </w:rPr>
        <w:t>maximal</w:t>
      </w:r>
      <w:r w:rsidRPr="00FF74AE">
        <w:rPr>
          <w:spacing w:val="33"/>
          <w:w w:val="105"/>
        </w:rPr>
        <w:t xml:space="preserve"> </w:t>
      </w:r>
      <w:r w:rsidRPr="00FF74AE">
        <w:rPr>
          <w:w w:val="105"/>
        </w:rPr>
        <w:t>solar</w:t>
      </w:r>
      <w:r w:rsidRPr="00FF74AE">
        <w:rPr>
          <w:spacing w:val="34"/>
          <w:w w:val="105"/>
        </w:rPr>
        <w:t xml:space="preserve"> </w:t>
      </w:r>
      <w:r w:rsidRPr="00FF74AE">
        <w:rPr>
          <w:w w:val="105"/>
        </w:rPr>
        <w:t>radiation,</w:t>
      </w:r>
      <w:r w:rsidRPr="00FF74AE">
        <w:rPr>
          <w:spacing w:val="34"/>
          <w:w w:val="105"/>
        </w:rPr>
        <w:t xml:space="preserve"> </w:t>
      </w:r>
      <w:r w:rsidRPr="00FF74AE">
        <w:rPr>
          <w:w w:val="105"/>
        </w:rPr>
        <w:t>i.e.,</w:t>
      </w:r>
      <w:r w:rsidRPr="00FF74AE">
        <w:rPr>
          <w:spacing w:val="34"/>
          <w:w w:val="105"/>
        </w:rPr>
        <w:t xml:space="preserve"> </w:t>
      </w:r>
      <w:r w:rsidRPr="00FF74AE">
        <w:rPr>
          <w:w w:val="105"/>
        </w:rPr>
        <w:t>the</w:t>
      </w:r>
      <w:r w:rsidRPr="00FF74AE">
        <w:rPr>
          <w:spacing w:val="34"/>
          <w:w w:val="105"/>
        </w:rPr>
        <w:t xml:space="preserve"> </w:t>
      </w:r>
      <w:r w:rsidRPr="00FF74AE">
        <w:rPr>
          <w:spacing w:val="-2"/>
          <w:w w:val="105"/>
        </w:rPr>
        <w:t xml:space="preserve">Sun’s </w:t>
      </w:r>
      <w:r w:rsidRPr="00FF74AE">
        <w:rPr>
          <w:w w:val="110"/>
        </w:rPr>
        <w:t>zenith</w:t>
      </w:r>
      <w:r w:rsidRPr="00FF74AE">
        <w:rPr>
          <w:spacing w:val="-3"/>
          <w:w w:val="110"/>
        </w:rPr>
        <w:t xml:space="preserve"> </w:t>
      </w:r>
      <w:r w:rsidRPr="00FF74AE">
        <w:rPr>
          <w:w w:val="110"/>
        </w:rPr>
        <w:t>point,</w:t>
      </w:r>
      <w:r w:rsidRPr="00FF74AE">
        <w:rPr>
          <w:spacing w:val="-4"/>
          <w:w w:val="110"/>
        </w:rPr>
        <w:t xml:space="preserve"> </w:t>
      </w:r>
      <w:r w:rsidRPr="00FF74AE">
        <w:rPr>
          <w:w w:val="110"/>
        </w:rPr>
        <w:t>but</w:t>
      </w:r>
      <w:r w:rsidRPr="00FF74AE">
        <w:rPr>
          <w:spacing w:val="-4"/>
          <w:w w:val="110"/>
        </w:rPr>
        <w:t xml:space="preserve"> </w:t>
      </w:r>
      <w:r w:rsidRPr="00FF74AE">
        <w:rPr>
          <w:w w:val="110"/>
        </w:rPr>
        <w:t>rather</w:t>
      </w:r>
      <w:r w:rsidRPr="00FF74AE">
        <w:rPr>
          <w:spacing w:val="-3"/>
          <w:w w:val="110"/>
        </w:rPr>
        <w:t xml:space="preserve"> </w:t>
      </w:r>
      <w:r w:rsidRPr="00FF74AE">
        <w:rPr>
          <w:w w:val="110"/>
        </w:rPr>
        <w:t>experience</w:t>
      </w:r>
      <w:r w:rsidRPr="00FF74AE">
        <w:rPr>
          <w:spacing w:val="-4"/>
          <w:w w:val="110"/>
        </w:rPr>
        <w:t xml:space="preserve"> </w:t>
      </w:r>
      <w:r w:rsidRPr="00FF74AE">
        <w:rPr>
          <w:w w:val="110"/>
        </w:rPr>
        <w:t>a</w:t>
      </w:r>
      <w:r w:rsidRPr="00FF74AE">
        <w:rPr>
          <w:spacing w:val="-5"/>
          <w:w w:val="110"/>
        </w:rPr>
        <w:t xml:space="preserve"> </w:t>
      </w:r>
      <w:r w:rsidRPr="00FF74AE">
        <w:rPr>
          <w:w w:val="110"/>
        </w:rPr>
        <w:t>delay</w:t>
      </w:r>
      <w:r w:rsidRPr="00FF74AE">
        <w:rPr>
          <w:spacing w:val="-4"/>
          <w:w w:val="110"/>
        </w:rPr>
        <w:t xml:space="preserve"> </w:t>
      </w:r>
      <w:r w:rsidRPr="00FF74AE">
        <w:rPr>
          <w:w w:val="110"/>
        </w:rPr>
        <w:t>of</w:t>
      </w:r>
      <w:r w:rsidRPr="00FF74AE">
        <w:rPr>
          <w:spacing w:val="-5"/>
          <w:w w:val="110"/>
        </w:rPr>
        <w:t xml:space="preserve"> </w:t>
      </w:r>
      <w:r w:rsidRPr="00FF74AE">
        <w:rPr>
          <w:w w:val="110"/>
        </w:rPr>
        <w:t>approximately</w:t>
      </w:r>
      <w:r w:rsidRPr="00FF74AE">
        <w:rPr>
          <w:spacing w:val="-3"/>
          <w:w w:val="110"/>
        </w:rPr>
        <w:t xml:space="preserve"> </w:t>
      </w:r>
      <w:r w:rsidRPr="00FF74AE">
        <w:rPr>
          <w:w w:val="110"/>
        </w:rPr>
        <w:t>1-2</w:t>
      </w:r>
      <w:r w:rsidRPr="00FF74AE">
        <w:rPr>
          <w:spacing w:val="-5"/>
          <w:w w:val="110"/>
        </w:rPr>
        <w:t xml:space="preserve"> </w:t>
      </w:r>
      <w:r w:rsidRPr="00FF74AE">
        <w:rPr>
          <w:w w:val="110"/>
        </w:rPr>
        <w:t>months.</w:t>
      </w:r>
      <w:r w:rsidR="00943B03" w:rsidRPr="00FF74AE">
        <w:rPr>
          <w:spacing w:val="-4"/>
          <w:w w:val="110"/>
        </w:rPr>
        <w:t xml:space="preserve"> </w:t>
      </w:r>
      <w:r w:rsidRPr="00FF74AE">
        <w:t xml:space="preserve">Results are based on the ensemble mean of the 24 simulations with different </w:t>
      </w:r>
      <w:proofErr w:type="spellStart"/>
      <w:r w:rsidRPr="00FF74AE">
        <w:t>precessional</w:t>
      </w:r>
      <w:proofErr w:type="spellEnd"/>
      <w:r w:rsidRPr="00FF74AE">
        <w:t xml:space="preserve"> phases (see Methodology).</w:t>
      </w:r>
    </w:p>
    <w:p w14:paraId="038880DA" w14:textId="3665BC36" w:rsidR="0062276D" w:rsidRPr="00FF74AE" w:rsidRDefault="000D616F" w:rsidP="00FF74AE">
      <w:pPr>
        <w:spacing w:after="240" w:line="276" w:lineRule="auto"/>
        <w:jc w:val="center"/>
      </w:pPr>
      <w:r w:rsidRPr="00FF74AE">
        <w:rPr>
          <w:noProof/>
        </w:rPr>
        <w:lastRenderedPageBreak/>
        <w:drawing>
          <wp:inline distT="0" distB="0" distL="0" distR="0" wp14:anchorId="77F233DD" wp14:editId="2BE3F115">
            <wp:extent cx="4723464" cy="6424863"/>
            <wp:effectExtent l="0" t="0" r="1270" b="1905"/>
            <wp:docPr id="7901231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123157" name="图片 790123157"/>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40634" cy="6448218"/>
                    </a:xfrm>
                    <a:prstGeom prst="rect">
                      <a:avLst/>
                    </a:prstGeom>
                  </pic:spPr>
                </pic:pic>
              </a:graphicData>
            </a:graphic>
          </wp:inline>
        </w:drawing>
      </w:r>
    </w:p>
    <w:p w14:paraId="55B55E0C" w14:textId="10B10375" w:rsidR="0048158E" w:rsidRPr="00FF74AE" w:rsidRDefault="001477B9" w:rsidP="00FF74AE">
      <w:pPr>
        <w:spacing w:after="240" w:line="276" w:lineRule="auto"/>
      </w:pPr>
      <w:r w:rsidRPr="00FF74AE">
        <w:rPr>
          <w:b/>
          <w:bCs/>
        </w:rPr>
        <w:t xml:space="preserve">Fig. S3. </w:t>
      </w:r>
      <w:r w:rsidRPr="00FF74AE">
        <w:t>Tropical convective precipitation over land (blue lines) and ocean (red lines), respectively. These precipitations are shown as standardized total amount of convective precipitation over tropical area (30</w:t>
      </w:r>
      <w:r w:rsidRPr="00C32CA0">
        <w:rPr>
          <w:vertAlign w:val="superscript"/>
        </w:rPr>
        <w:t>o</w:t>
      </w:r>
      <w:r w:rsidRPr="00FF74AE">
        <w:t>S-30</w:t>
      </w:r>
      <w:r w:rsidRPr="00C32CA0">
        <w:rPr>
          <w:vertAlign w:val="superscript"/>
        </w:rPr>
        <w:t>o</w:t>
      </w:r>
      <w:r w:rsidRPr="00FF74AE">
        <w:t>N). E</w:t>
      </w:r>
      <w:r w:rsidR="000D616F" w:rsidRPr="00FF74AE">
        <w:t xml:space="preserve">nhances </w:t>
      </w:r>
      <w:r w:rsidR="002A6D2B" w:rsidRPr="00FF74AE">
        <w:t>terrestrial precipitation</w:t>
      </w:r>
      <w:r w:rsidRPr="00FF74AE">
        <w:t xml:space="preserve"> around perihelion correspond to decrease precipitation</w:t>
      </w:r>
      <w:r w:rsidR="00C32CA0">
        <w:t xml:space="preserve"> over ocean</w:t>
      </w:r>
      <w:r w:rsidR="000D616F" w:rsidRPr="00FF74AE">
        <w:t xml:space="preserve">. Due to seasonal shifting perihelion (blue arrow), the seasonal </w:t>
      </w:r>
      <w:r w:rsidR="002A6D2B" w:rsidRPr="00FF74AE">
        <w:t>terrestrial precipitation</w:t>
      </w:r>
      <w:r w:rsidR="000D616F" w:rsidRPr="00FF74AE">
        <w:t xml:space="preserve"> maxima are achieved at different </w:t>
      </w:r>
      <w:proofErr w:type="spellStart"/>
      <w:r w:rsidR="000D616F" w:rsidRPr="00FF74AE">
        <w:t>precessional</w:t>
      </w:r>
      <w:proofErr w:type="spellEnd"/>
      <w:r w:rsidR="000D616F" w:rsidRPr="00FF74AE">
        <w:t xml:space="preserve"> phases.</w:t>
      </w:r>
      <w:r w:rsidRPr="00FF74AE">
        <w:t xml:space="preserve"> Results based on 24 AWI-ESM time-slice simulations recovering a </w:t>
      </w:r>
      <w:proofErr w:type="spellStart"/>
      <w:r w:rsidRPr="00FF74AE">
        <w:t>precessional</w:t>
      </w:r>
      <w:proofErr w:type="spellEnd"/>
      <w:r w:rsidRPr="00FF74AE">
        <w:t xml:space="preserve"> cycle (see Materials and Methods).</w:t>
      </w:r>
    </w:p>
    <w:p w14:paraId="25040A02" w14:textId="3512F7C3" w:rsidR="0048158E" w:rsidRPr="00FF74AE" w:rsidRDefault="0048158E" w:rsidP="009E685A">
      <w:pPr>
        <w:spacing w:after="240" w:line="276" w:lineRule="auto"/>
        <w:jc w:val="center"/>
        <w:rPr>
          <w:lang w:eastAsia="zh-CN"/>
        </w:rPr>
      </w:pPr>
      <w:r w:rsidRPr="00FF74AE">
        <w:rPr>
          <w:noProof/>
          <w:lang w:eastAsia="zh-CN"/>
        </w:rPr>
        <w:lastRenderedPageBreak/>
        <w:drawing>
          <wp:inline distT="0" distB="0" distL="0" distR="0" wp14:anchorId="403F9FE1" wp14:editId="4EEBD5FA">
            <wp:extent cx="5529649" cy="5662894"/>
            <wp:effectExtent l="0" t="0" r="0" b="1905"/>
            <wp:docPr id="1192946303" name="图片 1"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946303" name="图片 1" descr="图示&#10;&#10;低可信度描述已自动生成"/>
                    <pic:cNvPicPr/>
                  </pic:nvPicPr>
                  <pic:blipFill>
                    <a:blip r:embed="rId8">
                      <a:extLst>
                        <a:ext uri="{28A0092B-C50C-407E-A947-70E740481C1C}">
                          <a14:useLocalDpi xmlns:a14="http://schemas.microsoft.com/office/drawing/2010/main" val="0"/>
                        </a:ext>
                      </a:extLst>
                    </a:blip>
                    <a:stretch>
                      <a:fillRect/>
                    </a:stretch>
                  </pic:blipFill>
                  <pic:spPr>
                    <a:xfrm>
                      <a:off x="0" y="0"/>
                      <a:ext cx="5540997" cy="5674515"/>
                    </a:xfrm>
                    <a:prstGeom prst="rect">
                      <a:avLst/>
                    </a:prstGeom>
                  </pic:spPr>
                </pic:pic>
              </a:graphicData>
            </a:graphic>
          </wp:inline>
        </w:drawing>
      </w:r>
    </w:p>
    <w:p w14:paraId="7224D7AF" w14:textId="1F04C943" w:rsidR="0048158E" w:rsidRPr="00FF74AE" w:rsidRDefault="0048158E" w:rsidP="00FF74AE">
      <w:pPr>
        <w:spacing w:after="240" w:line="276" w:lineRule="auto"/>
      </w:pPr>
      <w:r w:rsidRPr="00FF74AE">
        <w:rPr>
          <w:b/>
          <w:bCs/>
        </w:rPr>
        <w:t>Fig. S4</w:t>
      </w:r>
      <w:r w:rsidRPr="00FF74AE">
        <w:t xml:space="preserve">. The simulated evolution of monthly precipitation at different latitudinal bands over three </w:t>
      </w:r>
      <w:proofErr w:type="spellStart"/>
      <w:r w:rsidRPr="00FF74AE">
        <w:t>precessional</w:t>
      </w:r>
      <w:proofErr w:type="spellEnd"/>
      <w:r w:rsidRPr="00FF74AE">
        <w:t xml:space="preserve"> cycles. The precipitation is calculated as zonal mean land precipitation over latitudinal bands covering a width of five degrees. For each latitudinal band, the rainy seasons are highlighted with colored lines, and precipitation in other months is shown as grey dashed lines. The dashed copper line illustrates the meridional movement of Earth's perihelion between the Tropic of Cancer and the Tropic of Capricorn, namely the latitude of perihelion. Whenever (the season) and wherever (the latitude) perihelion occurs, the local land precipitation in the corresponding month reaches its maximum within a </w:t>
      </w:r>
      <w:proofErr w:type="spellStart"/>
      <w:r w:rsidRPr="00FF74AE">
        <w:t>precessional</w:t>
      </w:r>
      <w:proofErr w:type="spellEnd"/>
      <w:r w:rsidRPr="00FF74AE">
        <w:t xml:space="preserve"> cycle.</w:t>
      </w:r>
    </w:p>
    <w:p w14:paraId="0456B0D2" w14:textId="77777777" w:rsidR="00F5553C" w:rsidRPr="00FF74AE" w:rsidRDefault="00F5553C" w:rsidP="00FF74AE">
      <w:pPr>
        <w:spacing w:after="240" w:line="276" w:lineRule="auto"/>
      </w:pPr>
      <w:r w:rsidRPr="00FF74AE">
        <w:rPr>
          <w:noProof/>
        </w:rPr>
        <w:lastRenderedPageBreak/>
        <w:drawing>
          <wp:inline distT="0" distB="0" distL="0" distR="0" wp14:anchorId="3E44FAA5" wp14:editId="77506E65">
            <wp:extent cx="5734050" cy="3440430"/>
            <wp:effectExtent l="0" t="0" r="6350" b="1270"/>
            <wp:docPr id="215022094" name="图片 4"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22094" name="图片 4" descr="图表, 条形图&#10;&#10;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4050" cy="3440430"/>
                    </a:xfrm>
                    <a:prstGeom prst="rect">
                      <a:avLst/>
                    </a:prstGeom>
                  </pic:spPr>
                </pic:pic>
              </a:graphicData>
            </a:graphic>
          </wp:inline>
        </w:drawing>
      </w:r>
    </w:p>
    <w:p w14:paraId="4A55C309" w14:textId="55489725" w:rsidR="00AE3C83" w:rsidRDefault="00F5553C" w:rsidP="00FF74AE">
      <w:pPr>
        <w:spacing w:after="240" w:line="276" w:lineRule="auto"/>
        <w:rPr>
          <w:lang w:eastAsia="zh-CN"/>
        </w:rPr>
      </w:pPr>
      <w:r w:rsidRPr="00FF74AE">
        <w:rPr>
          <w:b/>
          <w:bCs/>
        </w:rPr>
        <w:t>Fig. S</w:t>
      </w:r>
      <w:r w:rsidR="0048158E" w:rsidRPr="00FF74AE">
        <w:rPr>
          <w:b/>
          <w:bCs/>
        </w:rPr>
        <w:t>5</w:t>
      </w:r>
      <w:r w:rsidRPr="00FF74AE">
        <w:t>. A: The locations (red dots) of speleothem records used in this study. The background shading shows the climatology annual mean precipitation. B: The seasonal distribution of precipitation in the selected regions (pink lines in subpanel A). Around East China, the dominant rainy season is boreal summer; Around Brazil, it is boreal winter. Near Malaysia, there are two rainy seasons, i.e., boreal spring and autumn. Results based on ECMWF Reanalysis v5 (ERA5) reanalysis dataset</w:t>
      </w:r>
      <w:r w:rsidR="00C32CA0" w:rsidRPr="00C32CA0">
        <w:rPr>
          <w:color w:val="0070C0"/>
          <w:vertAlign w:val="superscript"/>
        </w:rPr>
        <w:t>30</w:t>
      </w:r>
      <w:r w:rsidRPr="00C32CA0">
        <w:rPr>
          <w:color w:val="0070C0"/>
        </w:rPr>
        <w:t xml:space="preserve"> </w:t>
      </w:r>
      <w:r w:rsidRPr="00FF74AE">
        <w:t>covering 1940-2022</w:t>
      </w:r>
      <w:r w:rsidR="00AE3C83">
        <w:rPr>
          <w:lang w:eastAsia="zh-CN"/>
        </w:rPr>
        <w:t>.</w:t>
      </w:r>
    </w:p>
    <w:p w14:paraId="4B84B745" w14:textId="77777777" w:rsidR="00AE3C83" w:rsidRPr="00FF74AE" w:rsidRDefault="00AE3C83" w:rsidP="00AE3C83">
      <w:pPr>
        <w:spacing w:after="240" w:line="276" w:lineRule="auto"/>
        <w:rPr>
          <w:b/>
          <w:bCs/>
          <w:lang w:val="de-DE"/>
        </w:rPr>
      </w:pPr>
      <w:r w:rsidRPr="00FF74AE">
        <w:rPr>
          <w:b/>
          <w:bCs/>
          <w:lang w:val="de-DE"/>
        </w:rPr>
        <w:t>References</w:t>
      </w:r>
    </w:p>
    <w:p w14:paraId="6EF7F8C8" w14:textId="77777777" w:rsidR="00AE3C83" w:rsidRDefault="00AE3C83" w:rsidP="00AE3C83">
      <w:pPr>
        <w:spacing w:after="240"/>
      </w:pPr>
      <w:r>
        <w:rPr>
          <w:lang w:val="de-DE"/>
        </w:rPr>
        <w:t xml:space="preserve">14. </w:t>
      </w:r>
      <w:r w:rsidRPr="00FF74AE">
        <w:rPr>
          <w:lang w:val="de-DE"/>
        </w:rPr>
        <w:t xml:space="preserve">Sidorenko D, Rackow T, Jung T et al. </w:t>
      </w:r>
      <w:r>
        <w:t>Towards multi- resolution global climate modeling with ECHAM6–</w:t>
      </w:r>
      <w:proofErr w:type="spellStart"/>
      <w:r>
        <w:t>FESOm</w:t>
      </w:r>
      <w:proofErr w:type="spellEnd"/>
      <w:r>
        <w:t xml:space="preserve">. part I: model formulation and mean climate. </w:t>
      </w:r>
      <w:r w:rsidRPr="000B79F2">
        <w:rPr>
          <w:i/>
          <w:iCs/>
        </w:rPr>
        <w:t xml:space="preserve">Climate Dynamics </w:t>
      </w:r>
      <w:r>
        <w:t>2015; 44: 757–780.</w:t>
      </w:r>
    </w:p>
    <w:p w14:paraId="3A0FF97B" w14:textId="77777777" w:rsidR="00AE3C83" w:rsidRDefault="00AE3C83" w:rsidP="00AE3C83">
      <w:pPr>
        <w:spacing w:after="240"/>
      </w:pPr>
      <w:r>
        <w:t xml:space="preserve">15. Sidorenko D, </w:t>
      </w:r>
      <w:proofErr w:type="spellStart"/>
      <w:r>
        <w:t>Goessling</w:t>
      </w:r>
      <w:proofErr w:type="spellEnd"/>
      <w:r>
        <w:t xml:space="preserve"> H, </w:t>
      </w:r>
      <w:proofErr w:type="spellStart"/>
      <w:r>
        <w:t>Koldunov</w:t>
      </w:r>
      <w:proofErr w:type="spellEnd"/>
      <w:r>
        <w:t xml:space="preserve"> N et al. Evaluation of FESOM2. 0 coupled to ECHAM6. 3: preindustrial and </w:t>
      </w:r>
      <w:proofErr w:type="spellStart"/>
      <w:r>
        <w:t>HighResMIP</w:t>
      </w:r>
      <w:proofErr w:type="spellEnd"/>
      <w:r>
        <w:t xml:space="preserve"> simulations. </w:t>
      </w:r>
      <w:r w:rsidRPr="000B79F2">
        <w:rPr>
          <w:i/>
          <w:iCs/>
        </w:rPr>
        <w:t>Journal of Advances in Modeling Earth Systems</w:t>
      </w:r>
      <w:r>
        <w:t xml:space="preserve"> 2019; 11: 3794–3815.</w:t>
      </w:r>
    </w:p>
    <w:p w14:paraId="11E2C205" w14:textId="77777777" w:rsidR="00AE3C83" w:rsidRDefault="00AE3C83" w:rsidP="00AE3C83">
      <w:pPr>
        <w:spacing w:after="240"/>
      </w:pPr>
      <w:r w:rsidRPr="000B79F2">
        <w:rPr>
          <w:lang w:val="de-DE"/>
        </w:rPr>
        <w:t xml:space="preserve">16. </w:t>
      </w:r>
      <w:proofErr w:type="spellStart"/>
      <w:r w:rsidRPr="000B79F2">
        <w:rPr>
          <w:lang w:val="de-DE"/>
        </w:rPr>
        <w:t>Giorgetta</w:t>
      </w:r>
      <w:proofErr w:type="spellEnd"/>
      <w:r w:rsidRPr="000B79F2">
        <w:rPr>
          <w:lang w:val="de-DE"/>
        </w:rPr>
        <w:t xml:space="preserve"> MA, </w:t>
      </w:r>
      <w:proofErr w:type="spellStart"/>
      <w:r w:rsidRPr="000B79F2">
        <w:rPr>
          <w:lang w:val="de-DE"/>
        </w:rPr>
        <w:t>Roeckner</w:t>
      </w:r>
      <w:proofErr w:type="spellEnd"/>
      <w:r w:rsidRPr="000B79F2">
        <w:rPr>
          <w:lang w:val="de-DE"/>
        </w:rPr>
        <w:t xml:space="preserve"> E, </w:t>
      </w:r>
      <w:proofErr w:type="spellStart"/>
      <w:r w:rsidRPr="000B79F2">
        <w:rPr>
          <w:lang w:val="de-DE"/>
        </w:rPr>
        <w:t>Mauritsen</w:t>
      </w:r>
      <w:proofErr w:type="spellEnd"/>
      <w:r w:rsidRPr="000B79F2">
        <w:rPr>
          <w:lang w:val="de-DE"/>
        </w:rPr>
        <w:t xml:space="preserve"> T et al. </w:t>
      </w:r>
      <w:r>
        <w:t>The atmospheric general circulation model ECHAM6-model description 2013.</w:t>
      </w:r>
    </w:p>
    <w:p w14:paraId="433A0798" w14:textId="77777777" w:rsidR="00AE3C83" w:rsidRDefault="00AE3C83" w:rsidP="00AE3C83">
      <w:pPr>
        <w:spacing w:after="240"/>
      </w:pPr>
      <w:r>
        <w:t>17. Wang Q, Danilov S, Sidorenko D et al. he Finite Element</w:t>
      </w:r>
      <w:r>
        <w:rPr>
          <w:rFonts w:hint="eastAsia"/>
        </w:rPr>
        <w:t xml:space="preserve"> </w:t>
      </w:r>
      <w:r>
        <w:t xml:space="preserve">Sea Ice-Ocean Model (FESOM) v. 1.4: formulation of an ocean general circulation model. </w:t>
      </w:r>
      <w:r w:rsidRPr="000B79F2">
        <w:rPr>
          <w:i/>
          <w:iCs/>
        </w:rPr>
        <w:t>Geoscientific Model Development</w:t>
      </w:r>
      <w:r>
        <w:t xml:space="preserve"> 2014; 7: 663–693.</w:t>
      </w:r>
    </w:p>
    <w:p w14:paraId="24421A87" w14:textId="77777777" w:rsidR="00AE3C83" w:rsidRDefault="00AE3C83" w:rsidP="00AE3C83">
      <w:pPr>
        <w:spacing w:after="240"/>
      </w:pPr>
      <w:r>
        <w:t>18. Danilov S, Sidorenko D, Wang Q et al. The finite-volume</w:t>
      </w:r>
      <w:r>
        <w:rPr>
          <w:rFonts w:hint="eastAsia"/>
        </w:rPr>
        <w:t xml:space="preserve"> </w:t>
      </w:r>
      <w:r>
        <w:t xml:space="preserve">sea ice–ocean model (FESOM2). </w:t>
      </w:r>
      <w:r w:rsidRPr="000B79F2">
        <w:rPr>
          <w:i/>
          <w:iCs/>
        </w:rPr>
        <w:t>Geoscientific Model Development</w:t>
      </w:r>
      <w:r>
        <w:t xml:space="preserve"> 2017; 10: 765–789.</w:t>
      </w:r>
    </w:p>
    <w:p w14:paraId="17006B63" w14:textId="77777777" w:rsidR="00AE3C83" w:rsidRDefault="00AE3C83" w:rsidP="00AE3C83">
      <w:pPr>
        <w:spacing w:after="240"/>
      </w:pPr>
      <w:r>
        <w:lastRenderedPageBreak/>
        <w:t xml:space="preserve">19. Shi X and Lohmann G. Simulated response of the mid-Holocene Atlantic Meridional Overturning Circulation in ECHAM6-FESOM/MPIOM. </w:t>
      </w:r>
      <w:r w:rsidRPr="000B79F2">
        <w:rPr>
          <w:i/>
          <w:iCs/>
        </w:rPr>
        <w:t>Journal of Geophysical Research: Oceans</w:t>
      </w:r>
      <w:r>
        <w:t xml:space="preserve"> 2016; 121: 6444–6469.</w:t>
      </w:r>
    </w:p>
    <w:p w14:paraId="06246D3D" w14:textId="77777777" w:rsidR="00AE3C83" w:rsidRDefault="00AE3C83" w:rsidP="00AE3C83">
      <w:pPr>
        <w:spacing w:after="240"/>
      </w:pPr>
      <w:r>
        <w:t>20. Wang YJ, Cheng H, Edwards RL et al. A high-resolution</w:t>
      </w:r>
      <w:r>
        <w:rPr>
          <w:rFonts w:hint="eastAsia"/>
        </w:rPr>
        <w:t xml:space="preserve"> </w:t>
      </w:r>
      <w:r>
        <w:t xml:space="preserve">absolute-dated late </w:t>
      </w:r>
      <w:proofErr w:type="spellStart"/>
      <w:r>
        <w:t>pleistocene</w:t>
      </w:r>
      <w:proofErr w:type="spellEnd"/>
      <w:r>
        <w:t xml:space="preserve"> monsoon record from Hulu Cave, China. </w:t>
      </w:r>
      <w:r w:rsidRPr="000B79F2">
        <w:rPr>
          <w:i/>
          <w:iCs/>
        </w:rPr>
        <w:t>Science</w:t>
      </w:r>
      <w:r>
        <w:t xml:space="preserve"> 2001; 294: 2345–2348.</w:t>
      </w:r>
    </w:p>
    <w:p w14:paraId="3E7F8072" w14:textId="77777777" w:rsidR="00AE3C83" w:rsidRDefault="00AE3C83" w:rsidP="00AE3C83">
      <w:pPr>
        <w:spacing w:after="240"/>
      </w:pPr>
      <w:r>
        <w:t xml:space="preserve">21. </w:t>
      </w:r>
      <w:proofErr w:type="spellStart"/>
      <w:r>
        <w:t>Dykoski</w:t>
      </w:r>
      <w:proofErr w:type="spellEnd"/>
      <w:r>
        <w:t xml:space="preserve"> CA, Edwards RL, Cheng H et al. A high-resolution, absolute-dated Holocene and deglacial Asian monsoon record from Dongge Cave, China. </w:t>
      </w:r>
      <w:r w:rsidRPr="000B79F2">
        <w:rPr>
          <w:i/>
          <w:iCs/>
        </w:rPr>
        <w:t>Earth and Planetary Science Letters</w:t>
      </w:r>
      <w:r>
        <w:t xml:space="preserve"> 2005; 233: 71–86.</w:t>
      </w:r>
    </w:p>
    <w:p w14:paraId="3C6F7399" w14:textId="77777777" w:rsidR="00AE3C83" w:rsidRDefault="00AE3C83" w:rsidP="00AE3C83">
      <w:pPr>
        <w:spacing w:after="240"/>
      </w:pPr>
      <w:r>
        <w:t xml:space="preserve">22. Kelly MJ, Edwards RL, Cheng H et al. High-resolution characterization of the Asian monsoon between </w:t>
      </w:r>
      <w:proofErr w:type="gramStart"/>
      <w:r>
        <w:t>146,000 and 99,000 years</w:t>
      </w:r>
      <w:proofErr w:type="gramEnd"/>
      <w:r>
        <w:t xml:space="preserve"> BP from Dongge cave, China and global correlation of events surrounding termination II. </w:t>
      </w:r>
      <w:proofErr w:type="spellStart"/>
      <w:r w:rsidRPr="000B79F2">
        <w:rPr>
          <w:i/>
          <w:iCs/>
        </w:rPr>
        <w:t>Palaeogeography</w:t>
      </w:r>
      <w:proofErr w:type="spellEnd"/>
      <w:r w:rsidRPr="000B79F2">
        <w:rPr>
          <w:i/>
          <w:iCs/>
        </w:rPr>
        <w:t xml:space="preserve">, Palaeoclimatology, </w:t>
      </w:r>
      <w:proofErr w:type="spellStart"/>
      <w:r w:rsidRPr="000B79F2">
        <w:rPr>
          <w:i/>
          <w:iCs/>
        </w:rPr>
        <w:t>Palaeoecology</w:t>
      </w:r>
      <w:proofErr w:type="spellEnd"/>
      <w:r>
        <w:t xml:space="preserve"> 2006; 236: 20–38.</w:t>
      </w:r>
    </w:p>
    <w:p w14:paraId="1AB29AC9" w14:textId="77777777" w:rsidR="00AE3C83" w:rsidRDefault="00AE3C83" w:rsidP="00AE3C83">
      <w:pPr>
        <w:spacing w:after="240"/>
      </w:pPr>
      <w:r>
        <w:t xml:space="preserve">23. Wang Y, Cheng H, Edwards RL et al. Millennial-and orbital-scale changes in the East Asian monsoon over the past 224,000 years. </w:t>
      </w:r>
      <w:r w:rsidRPr="000B79F2">
        <w:rPr>
          <w:i/>
          <w:iCs/>
        </w:rPr>
        <w:t>Nature</w:t>
      </w:r>
      <w:r>
        <w:t xml:space="preserve"> 2008; 451: 1090–1093.</w:t>
      </w:r>
    </w:p>
    <w:p w14:paraId="50E8E191" w14:textId="77777777" w:rsidR="00AE3C83" w:rsidRDefault="00AE3C83" w:rsidP="00AE3C83">
      <w:pPr>
        <w:spacing w:after="240"/>
      </w:pPr>
      <w:r>
        <w:t xml:space="preserve">24. Cheng H, Edwards RL, </w:t>
      </w:r>
      <w:proofErr w:type="spellStart"/>
      <w:r>
        <w:t>Broecker</w:t>
      </w:r>
      <w:proofErr w:type="spellEnd"/>
      <w:r>
        <w:t xml:space="preserve"> WS et al. Ice age Terminations. </w:t>
      </w:r>
      <w:r w:rsidRPr="000B79F2">
        <w:rPr>
          <w:i/>
          <w:iCs/>
        </w:rPr>
        <w:t>Science</w:t>
      </w:r>
      <w:r>
        <w:t xml:space="preserve"> 2009; 326: 248–252.</w:t>
      </w:r>
    </w:p>
    <w:p w14:paraId="11225BA2" w14:textId="77777777" w:rsidR="00AE3C83" w:rsidRDefault="00AE3C83" w:rsidP="00AE3C83">
      <w:pPr>
        <w:spacing w:after="240"/>
      </w:pPr>
      <w:r>
        <w:t xml:space="preserve">25. </w:t>
      </w:r>
      <w:proofErr w:type="spellStart"/>
      <w:r w:rsidRPr="00C32CA0">
        <w:t>Carolin</w:t>
      </w:r>
      <w:proofErr w:type="spellEnd"/>
      <w:r w:rsidRPr="00C32CA0">
        <w:t xml:space="preserve"> SA, Cobb KM, Adkins JF et al. Varied response of western pacific hydrology to climate forcings over the last glacial period. </w:t>
      </w:r>
      <w:r w:rsidRPr="00C32CA0">
        <w:rPr>
          <w:i/>
          <w:iCs/>
        </w:rPr>
        <w:t>Science</w:t>
      </w:r>
      <w:r w:rsidRPr="00C32CA0">
        <w:t xml:space="preserve"> 2013; 340: 1564–1566.</w:t>
      </w:r>
    </w:p>
    <w:p w14:paraId="6E22152A" w14:textId="77777777" w:rsidR="00AE3C83" w:rsidRDefault="00AE3C83" w:rsidP="00AE3C83">
      <w:pPr>
        <w:spacing w:after="240"/>
      </w:pPr>
      <w:r>
        <w:t>26. Lougheed BC. Orbital, the box-an interactive educational tool for in-depth understanding of astronomical climate forcing. 2021.</w:t>
      </w:r>
    </w:p>
    <w:p w14:paraId="2C92D8C1" w14:textId="77777777" w:rsidR="00AE3C83" w:rsidRDefault="00AE3C83" w:rsidP="00AE3C83">
      <w:pPr>
        <w:spacing w:after="240"/>
      </w:pPr>
      <w:r>
        <w:t xml:space="preserve">27. </w:t>
      </w:r>
      <w:proofErr w:type="spellStart"/>
      <w:r>
        <w:t>Kostadinov</w:t>
      </w:r>
      <w:proofErr w:type="spellEnd"/>
      <w:r>
        <w:t xml:space="preserve"> T and </w:t>
      </w:r>
      <w:proofErr w:type="spellStart"/>
      <w:r>
        <w:t>Gilb</w:t>
      </w:r>
      <w:proofErr w:type="spellEnd"/>
      <w:r>
        <w:t xml:space="preserve"> R. Earth orbit v2. 1: a 3-d visualization and analysis model of Earth’s orbit, Milankovitch cycles and insolation. </w:t>
      </w:r>
      <w:r w:rsidRPr="000B79F2">
        <w:rPr>
          <w:i/>
          <w:iCs/>
        </w:rPr>
        <w:t>Geoscientific Model Development</w:t>
      </w:r>
      <w:r>
        <w:t xml:space="preserve"> 2014; 7: 1051–1068.</w:t>
      </w:r>
    </w:p>
    <w:p w14:paraId="18923E8E" w14:textId="77777777" w:rsidR="00AE3C83" w:rsidRDefault="00AE3C83" w:rsidP="00AE3C83">
      <w:pPr>
        <w:spacing w:after="240"/>
      </w:pPr>
      <w:r>
        <w:t xml:space="preserve">28. </w:t>
      </w:r>
      <w:proofErr w:type="spellStart"/>
      <w:r>
        <w:t>Laskar</w:t>
      </w:r>
      <w:proofErr w:type="spellEnd"/>
      <w:r>
        <w:t xml:space="preserve"> J. The chaotic motion of the solar system: A numerical estimate of the size of the chaotic zones. </w:t>
      </w:r>
      <w:r w:rsidRPr="000B79F2">
        <w:rPr>
          <w:i/>
          <w:iCs/>
        </w:rPr>
        <w:t>Icarus</w:t>
      </w:r>
      <w:r>
        <w:t xml:space="preserve"> 1990; 88: 266–291.</w:t>
      </w:r>
    </w:p>
    <w:p w14:paraId="3D768A47" w14:textId="77777777" w:rsidR="00AE3C83" w:rsidRDefault="00AE3C83" w:rsidP="00AE3C83">
      <w:pPr>
        <w:spacing w:after="240"/>
      </w:pPr>
      <w:r>
        <w:t xml:space="preserve">29. </w:t>
      </w:r>
      <w:proofErr w:type="spellStart"/>
      <w:r>
        <w:t>Laskar</w:t>
      </w:r>
      <w:proofErr w:type="spellEnd"/>
      <w:r>
        <w:t xml:space="preserve"> J, </w:t>
      </w:r>
      <w:proofErr w:type="spellStart"/>
      <w:r>
        <w:t>Joutel</w:t>
      </w:r>
      <w:proofErr w:type="spellEnd"/>
      <w:r>
        <w:t xml:space="preserve"> F and Boudin F. Orbital, </w:t>
      </w:r>
      <w:proofErr w:type="spellStart"/>
      <w:r>
        <w:t>Precessional</w:t>
      </w:r>
      <w:proofErr w:type="spellEnd"/>
      <w:r>
        <w:t>, and</w:t>
      </w:r>
      <w:r>
        <w:rPr>
          <w:rFonts w:hint="eastAsia"/>
        </w:rPr>
        <w:t xml:space="preserve"> </w:t>
      </w:r>
      <w:r>
        <w:t xml:space="preserve">insolation quantities for the earth from-20 </w:t>
      </w:r>
      <w:proofErr w:type="spellStart"/>
      <w:r>
        <w:t>myr</w:t>
      </w:r>
      <w:proofErr w:type="spellEnd"/>
      <w:r>
        <w:t xml:space="preserve"> to+ 10 </w:t>
      </w:r>
      <w:proofErr w:type="spellStart"/>
      <w:r>
        <w:t>myr</w:t>
      </w:r>
      <w:proofErr w:type="spellEnd"/>
      <w:r>
        <w:t xml:space="preserve">. </w:t>
      </w:r>
      <w:r w:rsidRPr="000B79F2">
        <w:rPr>
          <w:i/>
          <w:iCs/>
        </w:rPr>
        <w:t>Astronomy and Astrophysics</w:t>
      </w:r>
      <w:r>
        <w:t xml:space="preserve"> (ISSN 0004-6361), vol. 270, no. 1-2, p. 522-533. 1993; 270: 522–533.</w:t>
      </w:r>
    </w:p>
    <w:p w14:paraId="40918A13" w14:textId="658AF5CE" w:rsidR="00DF7DEB" w:rsidRPr="00AE3C83" w:rsidRDefault="00AE3C83" w:rsidP="00AE3C83">
      <w:pPr>
        <w:spacing w:after="240"/>
      </w:pPr>
      <w:r>
        <w:t xml:space="preserve">30. </w:t>
      </w:r>
      <w:proofErr w:type="spellStart"/>
      <w:r w:rsidRPr="00FF74AE">
        <w:t>Hersbach</w:t>
      </w:r>
      <w:proofErr w:type="spellEnd"/>
      <w:r w:rsidRPr="00FF74AE">
        <w:t>, H., Bell, B., </w:t>
      </w:r>
      <w:proofErr w:type="spellStart"/>
      <w:r w:rsidRPr="00FF74AE">
        <w:t>Berrisford</w:t>
      </w:r>
      <w:proofErr w:type="spellEnd"/>
      <w:r w:rsidRPr="00FF74AE">
        <w:t>, P., </w:t>
      </w:r>
      <w:proofErr w:type="spellStart"/>
      <w:r w:rsidRPr="00FF74AE">
        <w:t>Horányi</w:t>
      </w:r>
      <w:proofErr w:type="spellEnd"/>
      <w:r w:rsidRPr="00FF74AE">
        <w:t>, A., </w:t>
      </w:r>
      <w:proofErr w:type="spellStart"/>
      <w:r w:rsidRPr="00FF74AE">
        <w:t>Sabater</w:t>
      </w:r>
      <w:proofErr w:type="spellEnd"/>
      <w:r w:rsidRPr="00FF74AE">
        <w:t>, J. M., Nicolas, J., Radu, R., </w:t>
      </w:r>
      <w:proofErr w:type="spellStart"/>
      <w:r w:rsidRPr="00FF74AE">
        <w:t>Schepers</w:t>
      </w:r>
      <w:proofErr w:type="spellEnd"/>
      <w:r w:rsidRPr="00FF74AE">
        <w:t>, D., Simmons, A., </w:t>
      </w:r>
      <w:proofErr w:type="spellStart"/>
      <w:r w:rsidRPr="00FF74AE">
        <w:t>Soci</w:t>
      </w:r>
      <w:proofErr w:type="spellEnd"/>
      <w:r w:rsidRPr="00FF74AE">
        <w:t>, C., &amp; Dee, D. (2019). Global reanalysis: goodbye ERA-Interim, hello ERA5. </w:t>
      </w:r>
      <w:r w:rsidRPr="000B79F2">
        <w:rPr>
          <w:i/>
          <w:iCs/>
        </w:rPr>
        <w:t xml:space="preserve">ECMWF </w:t>
      </w:r>
      <w:proofErr w:type="spellStart"/>
      <w:proofErr w:type="gramStart"/>
      <w:r w:rsidRPr="000B79F2">
        <w:rPr>
          <w:i/>
          <w:iCs/>
        </w:rPr>
        <w:t>Newsl</w:t>
      </w:r>
      <w:proofErr w:type="spellEnd"/>
      <w:r w:rsidRPr="00FF74AE">
        <w:t>,  159</w:t>
      </w:r>
      <w:proofErr w:type="gramEnd"/>
      <w:r w:rsidRPr="00FF74AE">
        <w:t>,  17–24.</w:t>
      </w:r>
    </w:p>
    <w:sectPr w:rsidR="00DF7DEB" w:rsidRPr="00AE3C83" w:rsidSect="00E853D5">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76D"/>
    <w:rsid w:val="00026D8D"/>
    <w:rsid w:val="000B79F2"/>
    <w:rsid w:val="000D616F"/>
    <w:rsid w:val="00124EEA"/>
    <w:rsid w:val="001477B9"/>
    <w:rsid w:val="001A1470"/>
    <w:rsid w:val="001B0B2C"/>
    <w:rsid w:val="00210DBC"/>
    <w:rsid w:val="002163DC"/>
    <w:rsid w:val="002A6D2B"/>
    <w:rsid w:val="0035400D"/>
    <w:rsid w:val="0037059C"/>
    <w:rsid w:val="003C41C7"/>
    <w:rsid w:val="0048158E"/>
    <w:rsid w:val="0060546A"/>
    <w:rsid w:val="0062276D"/>
    <w:rsid w:val="006E009D"/>
    <w:rsid w:val="00743672"/>
    <w:rsid w:val="007F3AD5"/>
    <w:rsid w:val="00814929"/>
    <w:rsid w:val="008A4F26"/>
    <w:rsid w:val="009263CF"/>
    <w:rsid w:val="00943B03"/>
    <w:rsid w:val="00964906"/>
    <w:rsid w:val="009A57E7"/>
    <w:rsid w:val="009D6E76"/>
    <w:rsid w:val="009E2105"/>
    <w:rsid w:val="009E685A"/>
    <w:rsid w:val="00A17916"/>
    <w:rsid w:val="00A667D2"/>
    <w:rsid w:val="00AE3C83"/>
    <w:rsid w:val="00B05A9D"/>
    <w:rsid w:val="00B37577"/>
    <w:rsid w:val="00BB02FD"/>
    <w:rsid w:val="00C32CA0"/>
    <w:rsid w:val="00CC6F07"/>
    <w:rsid w:val="00D20003"/>
    <w:rsid w:val="00DB5FBC"/>
    <w:rsid w:val="00DE452B"/>
    <w:rsid w:val="00DF7DEB"/>
    <w:rsid w:val="00F5553C"/>
    <w:rsid w:val="00F74912"/>
    <w:rsid w:val="00FA3A54"/>
    <w:rsid w:val="00FE57FD"/>
    <w:rsid w:val="00FF7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8B4E9B1"/>
  <w15:chartTrackingRefBased/>
  <w15:docId w15:val="{A733D92E-FCD6-A743-9129-D3B252900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276D"/>
    <w:rPr>
      <w:rFonts w:ascii="Times New Roman" w:hAnsi="Times New Roman" w:cs="Times New Roman"/>
      <w:kern w:val="0"/>
      <w:sz w:val="24"/>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Mcaption">
    <w:name w:val="SM caption"/>
    <w:basedOn w:val="a"/>
    <w:qFormat/>
    <w:rsid w:val="0062276D"/>
  </w:style>
  <w:style w:type="character" w:styleId="a3">
    <w:name w:val="Hyperlink"/>
    <w:semiHidden/>
    <w:rsid w:val="0062276D"/>
    <w:rPr>
      <w:color w:val="0000FF"/>
      <w:u w:val="single"/>
    </w:rPr>
  </w:style>
  <w:style w:type="character" w:styleId="a4">
    <w:name w:val="Unresolved Mention"/>
    <w:basedOn w:val="a0"/>
    <w:uiPriority w:val="99"/>
    <w:semiHidden/>
    <w:unhideWhenUsed/>
    <w:rsid w:val="00A17916"/>
    <w:rPr>
      <w:color w:val="605E5C"/>
      <w:shd w:val="clear" w:color="auto" w:fill="E1DFDD"/>
    </w:rPr>
  </w:style>
  <w:style w:type="paragraph" w:styleId="a5">
    <w:name w:val="Normal (Web)"/>
    <w:basedOn w:val="a"/>
    <w:uiPriority w:val="99"/>
    <w:semiHidden/>
    <w:unhideWhenUsed/>
    <w:rsid w:val="0060546A"/>
    <w:pPr>
      <w:spacing w:before="100" w:beforeAutospacing="1" w:after="100" w:afterAutospacing="1"/>
    </w:pPr>
    <w:rPr>
      <w:rFonts w:ascii="宋体" w:eastAsia="宋体" w:hAnsi="宋体" w:cs="宋体"/>
      <w:szCs w:val="24"/>
      <w:lang w:eastAsia="zh-CN"/>
    </w:rPr>
  </w:style>
  <w:style w:type="character" w:customStyle="1" w:styleId="author">
    <w:name w:val="author"/>
    <w:basedOn w:val="a0"/>
    <w:rsid w:val="00DF7DEB"/>
  </w:style>
  <w:style w:type="character" w:customStyle="1" w:styleId="apple-converted-space">
    <w:name w:val="apple-converted-space"/>
    <w:basedOn w:val="a0"/>
    <w:rsid w:val="00DF7DEB"/>
  </w:style>
  <w:style w:type="character" w:customStyle="1" w:styleId="pubyear">
    <w:name w:val="pubyear"/>
    <w:basedOn w:val="a0"/>
    <w:rsid w:val="00DF7DEB"/>
  </w:style>
  <w:style w:type="character" w:customStyle="1" w:styleId="articletitle">
    <w:name w:val="articletitle"/>
    <w:basedOn w:val="a0"/>
    <w:rsid w:val="00DF7DEB"/>
  </w:style>
  <w:style w:type="character" w:customStyle="1" w:styleId="vol">
    <w:name w:val="vol"/>
    <w:basedOn w:val="a0"/>
    <w:rsid w:val="00DF7DEB"/>
  </w:style>
  <w:style w:type="character" w:customStyle="1" w:styleId="pagefirst">
    <w:name w:val="pagefirst"/>
    <w:basedOn w:val="a0"/>
    <w:rsid w:val="00DF7DEB"/>
  </w:style>
  <w:style w:type="character" w:customStyle="1" w:styleId="pagelast">
    <w:name w:val="pagelast"/>
    <w:basedOn w:val="a0"/>
    <w:rsid w:val="00DF7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536106">
      <w:bodyDiv w:val="1"/>
      <w:marLeft w:val="0"/>
      <w:marRight w:val="0"/>
      <w:marTop w:val="0"/>
      <w:marBottom w:val="0"/>
      <w:divBdr>
        <w:top w:val="none" w:sz="0" w:space="0" w:color="auto"/>
        <w:left w:val="none" w:sz="0" w:space="0" w:color="auto"/>
        <w:bottom w:val="none" w:sz="0" w:space="0" w:color="auto"/>
        <w:right w:val="none" w:sz="0" w:space="0" w:color="auto"/>
      </w:divBdr>
    </w:div>
    <w:div w:id="1152600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hyperlink" Target="mailto:yanghu@sml-zhuhai.cn" TargetMode="External"/><Relationship Id="rId9" Type="http://schemas.openxmlformats.org/officeDocument/2006/relationships/image" Target="media/image5.png"/></Relationships>
</file>

<file path=word/theme/theme1.xml><?xml version="1.0" encoding="utf-8"?>
<a:theme xmlns:a="http://schemas.openxmlformats.org/drawingml/2006/main" name="Office 主题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319</TotalTime>
  <Pages>8</Pages>
  <Words>2037</Words>
  <Characters>11613</Characters>
  <Application>Microsoft Office Word</Application>
  <DocSecurity>0</DocSecurity>
  <Lines>96</Lines>
  <Paragraphs>27</Paragraphs>
  <ScaleCrop>false</ScaleCrop>
  <Company/>
  <LinksUpToDate>false</LinksUpToDate>
  <CharactersWithSpaces>13623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杨虎</dc:creator>
  <cp:keywords/>
  <dc:description/>
  <cp:lastModifiedBy>杨虎</cp:lastModifiedBy>
  <cp:revision>42</cp:revision>
  <cp:lastPrinted>2024-06-13T08:31:00Z</cp:lastPrinted>
  <dcterms:created xsi:type="dcterms:W3CDTF">2023-11-28T15:05:00Z</dcterms:created>
  <dcterms:modified xsi:type="dcterms:W3CDTF">2024-06-13T08:34:00Z</dcterms:modified>
</cp:coreProperties>
</file>