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5AD2B" w14:textId="6812517F" w:rsidR="00FE4C2D" w:rsidRDefault="00561196">
      <w:pPr>
        <w:pStyle w:val="Heading1"/>
      </w:pPr>
      <w:bookmarkStart w:id="0" w:name="_hv2wkj51ep0" w:colFirst="0" w:colLast="0"/>
      <w:bookmarkEnd w:id="0"/>
      <w:r>
        <w:t xml:space="preserve">Supplemental </w:t>
      </w:r>
      <w:r w:rsidR="0010415F">
        <w:t>Method</w:t>
      </w:r>
      <w:r w:rsidR="008734CA">
        <w:t>s</w:t>
      </w:r>
    </w:p>
    <w:p w14:paraId="7AE10549" w14:textId="77777777" w:rsidR="00FE4C2D" w:rsidRDefault="00FE4C2D">
      <w:pPr>
        <w:rPr>
          <w:b/>
        </w:rPr>
      </w:pPr>
    </w:p>
    <w:p w14:paraId="2594CA57" w14:textId="77777777" w:rsidR="00FE4C2D" w:rsidRDefault="0010415F">
      <w:pPr>
        <w:pStyle w:val="Heading2"/>
      </w:pPr>
      <w:bookmarkStart w:id="1" w:name="_jhtdj45ahnno" w:colFirst="0" w:colLast="0"/>
      <w:bookmarkEnd w:id="1"/>
      <w:r>
        <w:t>Positive Symptom Tasks</w:t>
      </w:r>
    </w:p>
    <w:p w14:paraId="58233928" w14:textId="761C9503" w:rsidR="00FE4C2D" w:rsidRDefault="0010415F">
      <w:r>
        <w:tab/>
      </w:r>
      <w:r>
        <w:rPr>
          <w:i/>
        </w:rPr>
        <w:t>Kamin Blocking (KB)</w:t>
      </w:r>
      <w:r>
        <w:t xml:space="preserve">. The KB task assesses causal learning across three blocks, during which participants learn about foods and </w:t>
      </w:r>
      <w:proofErr w:type="gramStart"/>
      <w:r>
        <w:t>whether or not</w:t>
      </w:r>
      <w:proofErr w:type="gramEnd"/>
      <w:r>
        <w:t xml:space="preserve"> they cause an allergic reaction. The KB control score assesses overall causal learning, attained in the final block. The KB blocking score reflects inappropriate learning of blocked cues. Overall learning may be more generally decreased across psychosis symptoms and potentially particularly in paranoia, whereas a weakened blocking effect appears to be more specific to non-paranoid delusions</w:t>
      </w:r>
      <w:r w:rsidR="000F6C2B">
        <w:t xml:space="preserve"> </w:t>
      </w:r>
      <w:r>
        <w:fldChar w:fldCharType="begin"/>
      </w:r>
      <w:r w:rsidR="000F6C2B">
        <w:instrText xml:space="preserve"> ADDIN ZOTERO_ITEM CSL_CITATION {"citationID":"53Tcp8NN","properties":{"formattedCitation":"(1,2)","plainCitation":"(1,2)","noteIndex":0},"citationItems":[{"id":1157,"uris":["http://zotero.org/users/6639287/items/9TH23T8C"],"itemData":{"id":1157,"type":"article-journal","abstract":"Healthy people sometimes report experiences and beliefs that are strikingly similar to the symptoms of psychosis in their bizarreness and the apparent lack of evidence supporting them. An important question is whether this represents merely a superficial resemblance or whether there is a genuine and deep similarity indicating, as some have suggested, a continuum between odd but healthy beliefs and the symptoms of psychotic illness. We sought to shed light on this question by determining whether the neural marker for prediction error - previously shown to be altered in early psychosis – is comparably altered in healthy individuals reporting schizotypal experiences and beliefs. We showed that non-clinical schizotypal experiences were significantly correlated with aberrant frontal and striatal prediction error signal. This correlation related to the distress associated with the beliefs. Given our previous observations that patients with first episode psychosis show altered neural responses to prediction error and that this alteration, in turn, relates to the severity of their delusional ideation, our results provide novel evidence in support of the view that schizotypy relates to psychosis at more than just a superficial descriptive level. However, the picture is a complex one in which the experiences, though associated with altered striatal responding, may provoke distress but may nonetheless be explained away, while an additional alteration in frontal cortical responding may allow the beliefs to become more delusion-like: intrusive and distressing.","container-title":"Neuropsychologia","DOI":"10.1016/j.neuropsychologia.2012.09.045","ISSN":"0028-3932","issue":"14","journalAbbreviation":"Neuropsychologia","language":"en","page":"3612-3620","source":"ScienceDirect","title":"The neurobiology of schizotypy: Fronto-striatal prediction error signal correlates with delusion-like beliefs in healthy people","title-short":"The neurobiology of schizotypy","volume":"50","author":[{"family":"Corlett","given":"P. R."},{"family":"Fletcher","given":"P. C."}],"issued":{"date-parts":[["2012",12,1]]}}},{"id":982,"uris":["http://zotero.org/users/6639287/items/HIHYZ7SC"],"itemData":{"id":982,"type":"article-journal","container-title":"Brain","title":"Different learning aberrations relate to delusions with different contents","author":[{"family":"Rossi-Goldthorpe","given":"Rosa"},{"family":"Silverstein","given":"Steven M."},{"family":"Gold","given":"James M."},{"family":"Schiffman","given":"Jason E."},{"family":"Waltz","given":"James A."},{"family":"Williams","given":"Trevor F."},{"family":"Powers","given":"Albert R."},{"family":"Woods","given":"Scott W."},{"family":"Zinbarg","given":"Richard E."},{"family":"Mittal","given":"Vijay A."},{"family":"Ellman","given":"Lauren M."},{"family":"Strauss","given":"Gregory P."},{"family":"Walker","given":"Elaine F."},{"family":"Levin","given":"Jason A."},{"family":"Castiello","given":"S."},{"family":"Kenney","given":"Joshua"},{"family":"Corlett","given":"Philip R."}],"issued":{"literal":"in press"}}}],"schema":"https://github.com/citation-style-language/schema/raw/master/csl-citation.json"} </w:instrText>
      </w:r>
      <w:r>
        <w:fldChar w:fldCharType="separate"/>
      </w:r>
      <w:r w:rsidR="000F6C2B" w:rsidRPr="000F6C2B">
        <w:t>(1,2)</w:t>
      </w:r>
      <w:r>
        <w:fldChar w:fldCharType="end"/>
      </w:r>
      <w:r w:rsidR="000F6C2B">
        <w:t>.</w:t>
      </w:r>
    </w:p>
    <w:p w14:paraId="5A548D4B" w14:textId="39BFE7C8" w:rsidR="00FE4C2D" w:rsidRDefault="0010415F">
      <w:r>
        <w:tab/>
      </w:r>
      <w:r>
        <w:rPr>
          <w:i/>
        </w:rPr>
        <w:t>Probabilistic Reversal Learning (PRL)</w:t>
      </w:r>
      <w:r>
        <w:t xml:space="preserve">. The PRL assesses probabilistic learning under volatile conditions. Participants choose from three decks of cards, with differing probabilities of reward. Beyond learning the underlying value of each deck, participants must also learn that decks undergo shifts and transitions in their underlying value. The </w:t>
      </w:r>
      <w:proofErr w:type="spellStart"/>
      <w:r>
        <w:t>lose</w:t>
      </w:r>
      <w:proofErr w:type="spellEnd"/>
      <w:r>
        <w:t>-stay rate (LSR) reflects the tendency to choose a deck after it has resulted in a loss and the win-switch rate (WSR) reflects the tendency to switch decks after receiving a reward. The WSR in particular has been associated with increased perception of environmental volatility and paranoia</w:t>
      </w:r>
      <w:r w:rsidR="000F6C2B">
        <w:t xml:space="preserve"> </w:t>
      </w:r>
      <w:r>
        <w:fldChar w:fldCharType="begin"/>
      </w:r>
      <w:r w:rsidR="000F6C2B">
        <w:instrText xml:space="preserve"> ADDIN ZOTERO_ITEM CSL_CITATION {"citationID":"Ssy6phdr","properties":{"formattedCitation":"(3)","plainCitation":"(3)","noteIndex":0},"citationItems":[{"id":1160,"uris":["http://zotero.org/users/6639287/items/YJBTMGAS"],"itemData":{"id":1160,"type":"article-journal","abstract":"The COVID-19 pandemic has made the world seem less predictable. Such crises can lead people to feel that others are a threat. Here, we show that the initial phase of the pandemic in 2020 increased individuals’ paranoia and made their belief updating more erratic. A proactive lockdown made people’s belief updating less capricious. However, state-mandated mask-wearing increased paranoia and induced more erratic behaviour. This was most evident in states where adherence to mask-wearing rules was poor but where rule following is typically more common. Computational analyses of participant behaviour suggested that people with higher paranoia expected the task to be more unstable. People who were more paranoid endorsed conspiracies about mask-wearing and potential vaccines and the QAnon conspiracy theories. These beliefs were associated with erratic task behaviour and changed priors. Taken together, we found that real-world uncertainty increases paranoia and influences laboratory task behaviour.","container-title":"Nature Human Behaviour","DOI":"10.1038/s41562-021-01176-8","ISSN":"2397-3374","issue":"9","journalAbbreviation":"Nat Hum Behav","language":"en","license":"2021 The Author(s), under exclusive licence to Springer Nature Limited","note":"number: 9\npublisher: Nature Publishing Group","page":"1190-1202","source":"www.nature.com","title":"Paranoia and belief updating during the COVID-19 crisis","volume":"5","author":[{"family":"Suthaharan","given":"Praveen"},{"family":"Reed","given":"Erin J."},{"family":"Leptourgos","given":"Pantelis"},{"family":"Kenney","given":"Joshua G."},{"family":"Uddenberg","given":"Stefan"},{"family":"Mathys","given":"Christoph D."},{"family":"Litman","given":"Leib"},{"family":"Robinson","given":"Jonathan"},{"family":"Moss","given":"Aaron J."},{"family":"Taylor","given":"Jane R."},{"family":"Groman","given":"Stephanie M."},{"family":"Corlett","given":"Philip R."}],"issued":{"date-parts":[["2021",9]]}}}],"schema":"https://github.com/citation-style-language/schema/raw/master/csl-citation.json"} </w:instrText>
      </w:r>
      <w:r>
        <w:fldChar w:fldCharType="separate"/>
      </w:r>
      <w:r w:rsidR="000F6C2B" w:rsidRPr="000F6C2B">
        <w:t>(3)</w:t>
      </w:r>
      <w:r>
        <w:fldChar w:fldCharType="end"/>
      </w:r>
      <w:r w:rsidR="000F6C2B">
        <w:t>.</w:t>
      </w:r>
      <w:r>
        <w:t xml:space="preserve"> Consistent with previous research, the PRL WSR was logarithmically transformed</w:t>
      </w:r>
      <w:r w:rsidR="000F6C2B">
        <w:t xml:space="preserve"> </w:t>
      </w:r>
      <w:r>
        <w:fldChar w:fldCharType="begin"/>
      </w:r>
      <w:r w:rsidR="000F6C2B">
        <w:instrText xml:space="preserve"> ADDIN ZOTERO_ITEM CSL_CITATION {"citationID":"ExhJqejX","properties":{"formattedCitation":"(4)","plainCitation":"(4)","noteIndex":0},"citationItems":[{"id":1162,"uris":["http://zotero.org/users/6639287/items/NPCLGK6I"],"itemData":{"id":1162,"type":"article-journal","abstract":"Background\nPersecutory delusions are among the most common delusions in schizophrenia and represent the extreme end of the paranoia continuum. Paranoia is accompanied by significant worry and distress. Identifying cognitive mechanisms underlying paranoia is critical for advancing treatment. We hypothesized that aberrant belief updating, which is related to paranoia in human and animal models, would also contribute to persecutory beliefs in individuals with schizophrenia.\nMethods\nBelief updating was assessed in 42 participants with schizophrenia and 44 healthy control participants using a 3-option probabilistic reversal learning task. Hierarchical Gaussian Filter was used to estimate computational parameters of belief updating. Paranoia was measured using the Positive and Negative Syndrome Scale and the revised Green et al. Paranoid Thoughts Scale. Unusual thought content was measured with the Psychosis Symptom Rating Scale and the Peters et al. Delusions Inventory. Worry was measured using the Dunn Worry Questionnaire.\nResults\nParanoia was significantly associated with elevated win-switch rate and prior beliefs about volatility both in schizophrenia and across the whole sample. These relationships were specific to paranoia and did not extend to unusual thought content or measures of anxiety. We observed a significant indirect effect of paranoia on the relationship between prior beliefs about volatility and worry.\nConclusions\nThis work provides evidence that relationships between belief updating parameters and paranoia extend to schizophrenia, may be specific to persecutory beliefs, and contribute to theoretical models implicating worry in the maintenance of persecutory delusions.","container-title":"Biological Psychiatry: Cognitive Neuroscience and Neuroimaging","DOI":"10.1016/j.bpsc.2022.03.013","ISSN":"2451-9022","journalAbbreviation":"Biological Psychiatry: Cognitive Neuroscience and Neuroimaging","language":"en","source":"ScienceDirect","title":"Belief Updating and Paranoia in Individuals With Schizophrenia","URL":"https://www.sciencedirect.com/science/article/pii/S2451902222000799","author":[{"family":"Sheffield","given":"Julia M."},{"family":"Suthaharan","given":"Praveen"},{"family":"Leptourgos","given":"Pantelis"},{"family":"Corlett","given":"Philip R."}],"accessed":{"date-parts":[["2022",7,20]]},"issued":{"date-parts":[["2022",4,14]]}}}],"schema":"https://github.com/citation-style-language/schema/raw/master/csl-citation.json"} </w:instrText>
      </w:r>
      <w:r>
        <w:fldChar w:fldCharType="separate"/>
      </w:r>
      <w:r w:rsidR="000F6C2B" w:rsidRPr="000F6C2B">
        <w:t>(4)</w:t>
      </w:r>
      <w:r>
        <w:fldChar w:fldCharType="end"/>
      </w:r>
      <w:r w:rsidR="000F6C2B">
        <w:t>.</w:t>
      </w:r>
    </w:p>
    <w:p w14:paraId="78BD674F" w14:textId="346F0734" w:rsidR="00FE4C2D" w:rsidRDefault="0010415F">
      <w:pPr>
        <w:ind w:firstLine="720"/>
      </w:pPr>
      <w:r>
        <w:rPr>
          <w:i/>
        </w:rPr>
        <w:t xml:space="preserve">Sine Wave Speech (SWS). </w:t>
      </w:r>
      <w:r>
        <w:t xml:space="preserve">The SWS task assesses the influence of priors on auditory perception, with participants indicating </w:t>
      </w:r>
      <w:proofErr w:type="gramStart"/>
      <w:r>
        <w:t>whether or not</w:t>
      </w:r>
      <w:proofErr w:type="gramEnd"/>
      <w:r>
        <w:t xml:space="preserve"> they hear full sentences in degraded audio clips. Some of these audio clips contain nonsense and others contain actual sentences. After the first block, the actual sentences are played, modifying participant priors and leading to greater accuracy in the second block. SWS sensitivity change, </w:t>
      </w:r>
      <w:r>
        <w:rPr>
          <w:i/>
        </w:rPr>
        <w:t>d’</w:t>
      </w:r>
      <w:r>
        <w:t>, reflects change in sensitivity across the task blocks. SWS early bias, c, reflects a bias during the first block for identifying complete sentence, thus suggesting heightened pre-task priors for speech</w:t>
      </w:r>
      <w:r w:rsidR="000F6C2B">
        <w:t xml:space="preserve"> </w:t>
      </w:r>
      <w:r>
        <w:fldChar w:fldCharType="begin"/>
      </w:r>
      <w:r w:rsidR="000F6C2B">
        <w:instrText xml:space="preserve"> ADDIN ZOTERO_ITEM CSL_CITATION {"citationID":"UC3ap1c2","properties":{"formattedCitation":"(5)","plainCitation":"(5)","noteIndex":0},"citationItems":[{"id":5373,"uris":["http://zotero.org/groups/3806413/items/GEI2ZK2A"],"itemData":{"id":5373,"type":"article-journal","abstract":"Auditory verbal hallucinations (hearing voices) are typically associated with psychosis, but a minority of the general population also experience them frequently and without distress. Such ‘non-clinical’ experiences offer a rare and unique opportunity to study hallucinations apart from confounding clinical factors, thus allowing for the identification of symptom-specific mechanisms. Recent theories propose that hallucinations result from an imbalance of prior expectation and sensory information, but whether such an imbalance also influences auditory-perceptual processes remains unknown. We examine for the first time the cortical processing of ambiguous speech in people without psychosis who regularly hear voices. Twelve non-clinical voice-hearers and 17 matched controls completed a functional magnetic resonance imaging scan while passively listening to degraded speech (‘sine-wave’ speech), that was either potentially intelligible or unintelligible. Voice-hearers reported recognizing the presence of speech in the stimuli before controls, and before being explicitly informed of its intelligibility. Across both groups, intelligible sine-wave speech engaged a typical left-lateralized speech processing network. Notably, however, voice-hearers showed stronger intelligibility responses than controls in the dorsal anterior cingulate cortex and in the superior frontal gyrus. This suggests an enhanced involvement of attention and sensorimotor processes, selectively when speech was potentially intelligible. Altogether, these behavioural and neural findings indicate that people with hallucinatory experiences show distinct responses to meaningful auditory stimuli. A greater weighting towards prior knowledge and expectation might cause non-veridical auditory sensations in these individuals, but it might also spontaneously facilitate perceptual processing where such knowledge is required. This has implications for the understanding of hallucinations in clinical and non-clinical populations, and is consistent with current ‘predictive processing’ theories of psychosis.","container-title":"Brain","DOI":"10.1093/brain/awx206","ISSN":"0006-8950","issue":"9","journalAbbreviation":"Brain","page":"2475-2489","source":"Silverchair","title":"Distinct processing of ambiguous speech in people with non-clinical auditory verbal hallucinations","volume":"140","author":[{"family":"Alderson-Day","given":"Ben"},{"family":"Lima","given":"César F"},{"family":"Evans","given":"Samuel"},{"family":"Krishnan","given":"Saloni"},{"family":"Shanmugalingam","given":"Pradheep"},{"family":"Fernyhough","given":"Charles"},{"family":"Scott","given":"Sophie K"}],"issued":{"date-parts":[["2017",9,1]]}}}],"schema":"https://github.com/citation-style-language/schema/raw/master/csl-citation.json"} </w:instrText>
      </w:r>
      <w:r>
        <w:fldChar w:fldCharType="separate"/>
      </w:r>
      <w:r w:rsidR="000F6C2B" w:rsidRPr="000F6C2B">
        <w:t>(5)</w:t>
      </w:r>
      <w:r>
        <w:fldChar w:fldCharType="end"/>
      </w:r>
      <w:r w:rsidR="000F6C2B">
        <w:t>.</w:t>
      </w:r>
      <w:r>
        <w:t xml:space="preserve"> </w:t>
      </w:r>
    </w:p>
    <w:p w14:paraId="15314593" w14:textId="6C084EBD" w:rsidR="00FE4C2D" w:rsidRDefault="0010415F">
      <w:pPr>
        <w:ind w:firstLine="720"/>
      </w:pPr>
      <w:r>
        <w:rPr>
          <w:i/>
        </w:rPr>
        <w:t>Conditioned Hallucinations (CH)</w:t>
      </w:r>
      <w:r>
        <w:t>. The CH task involves conditioning participants to hear auditory tones, when they are not present, then examining how this conditioning degrades over time. The task is modeled with the hierarchical gaussian filter, producing a variety of parameters. The present study focused on nu, the tendency to more strongly weight priors relative to sensory information, and ɷ</w:t>
      </w:r>
      <w:r>
        <w:rPr>
          <w:vertAlign w:val="superscript"/>
        </w:rPr>
        <w:t>3</w:t>
      </w:r>
      <w:r>
        <w:t>, the representation of volatility for conditioned hallucinations</w:t>
      </w:r>
      <w:r w:rsidR="000F6C2B">
        <w:t xml:space="preserve"> </w:t>
      </w:r>
      <w:r>
        <w:fldChar w:fldCharType="begin"/>
      </w:r>
      <w:r w:rsidR="000F6C2B">
        <w:instrText xml:space="preserve"> ADDIN ZOTERO_ITEM CSL_CITATION {"citationID":"ZM8g0y36","properties":{"formattedCitation":"(6)","plainCitation":"(6)","noteIndex":0},"citationItems":[{"id":5372,"uris":["http://zotero.org/groups/3806413/items/FETAQQN9"],"itemData":{"id":5372,"type":"article-journal","abstract":"Neural mechanisms for hallucinations\nPairing a stimulus in one modality (vision) with a stimulus in another (sound) can lead to task-induced hallucinations in healthy individuals. After many trials, people eventually report perceiving a nonexistent stimulus contingent on the presence of the previously paired stimulus. Powers et al. investigated how different groups of volunteers and patients respond to this conditioning paradigm. They used behavior, neuroimaging, and computational modeling to dissect the effect of perceptual priors versus sensory evidence on such induced hallucinations. People who are more prone to hear voices were more susceptible to the induced auditory hallucinations. The network of brain regions that was active during the conditioned hallucinations resembled the network observed during clinical symptom capture in individuals who hallucinate while in a brain scanner.\nScience, this issue p. 596\nSome people hear voices that others do not, but only some of those people seek treatment. Using a Pavlovian learning task, we induced conditioned hallucinations in four groups of people who differed orthogonally in their voice-hearing and treatment-seeking statuses. People who hear voices were significantly more susceptible to the effect. Using functional neuroimaging and computational modeling of perception, we identified processes that differentiated voice-hearers from non–voice-hearers and treatment-seekers from non–treatment-seekers and characterized a brain circuit that mediated the conditioned hallucinations. These data demonstrate the profound and sometimes pathological impact of top-down cognitive processes on perception and may represent an objective means to discern people with a need for treatment from those without.\nPerceptual beliefs, stimulus associations, and belief volatility drive task-induced hallucinations in voice-hearers.\nPerceptual beliefs, stimulus associations, and belief volatility drive task-induced hallucinations in voice-hearers.","container-title":"Science","DOI":"10.1126/science.aan3458","ISSN":"0036-8075, 1095-9203","issue":"6351","language":"en","license":"Copyright © 2017 The Authors, some rights reserved; exclusive licensee American Association for the Advancement of Science. No claim to original U.S. Government Works. http://www.sciencemag.org/about/science-licenses-journal-article-reuseThis is an article distributed under the terms of the Science Journals Default License.","note":"publisher: American Association for the Advancement of Science\nsection: Report\nPMID: 28798131","page":"596-600","source":"science.sciencemag.org","title":"Pavlovian conditioning–induced hallucinations result from overweighting of perceptual priors","volume":"357","author":[{"family":"Powers","given":"A. R."},{"family":"Mathys","given":"C."},{"family":"Corlett","given":"P. R."}],"issued":{"date-parts":[["2017",8,11]]}}}],"schema":"https://github.com/citation-style-language/schema/raw/master/csl-citation.json"} </w:instrText>
      </w:r>
      <w:r>
        <w:fldChar w:fldCharType="separate"/>
      </w:r>
      <w:r w:rsidR="000F6C2B" w:rsidRPr="000F6C2B">
        <w:t>(6)</w:t>
      </w:r>
      <w:r>
        <w:fldChar w:fldCharType="end"/>
      </w:r>
      <w:r w:rsidR="000F6C2B">
        <w:t>.</w:t>
      </w:r>
    </w:p>
    <w:p w14:paraId="1E46E641" w14:textId="77777777" w:rsidR="00FE4C2D" w:rsidRDefault="00FE4C2D">
      <w:pPr>
        <w:ind w:firstLine="720"/>
      </w:pPr>
    </w:p>
    <w:p w14:paraId="20FC1AE4" w14:textId="77777777" w:rsidR="00FE4C2D" w:rsidRDefault="0010415F">
      <w:pPr>
        <w:pStyle w:val="Heading2"/>
      </w:pPr>
      <w:bookmarkStart w:id="2" w:name="_r5m5kfox5uou" w:colFirst="0" w:colLast="0"/>
      <w:bookmarkEnd w:id="2"/>
      <w:r>
        <w:t>Negative Symptom Tasks</w:t>
      </w:r>
    </w:p>
    <w:p w14:paraId="02A0570D" w14:textId="71BDF371" w:rsidR="00FE4C2D" w:rsidRDefault="0010415F">
      <w:r>
        <w:tab/>
      </w:r>
      <w:r>
        <w:rPr>
          <w:i/>
        </w:rPr>
        <w:t>Gain vs. Loss Avoidance Task (GLIAT)</w:t>
      </w:r>
      <w:r>
        <w:t>. The GLIAT</w:t>
      </w:r>
      <w:r>
        <w:rPr>
          <w:i/>
        </w:rPr>
        <w:t xml:space="preserve"> </w:t>
      </w:r>
      <w:r>
        <w:t>task measures the ability to learn from gains and losses, as well as mechanisms underlying those abilities (e.g., prediction error signaling, value representation). Participants learn how four different pairs of stimuli (landscape images) are associated with point gains (vs. misses) or point losses (vs. avoiding loss); correct choices are probabilistically reinforced with probabilities of either 80% or 90%. After this learning (“acquisition”) phase, participants are presented with novel pairings of stimuli from the learning phase that previously had not been presented together and asked to choose the best stimulus, without any feedback, testing how their previous learning transfers to novel comparisons. In both phases, the key variables contrast the extent to which learning about loss aversion is dominant relative to learning about gains. The GLIAT learning variable is the difference in accuracy for 90% probability gain/miss pairs relative to 90% lose/avoid loss pairs, during the final part of the learning phase. The GLIAT transfer variable reflects the tendency to choose a stimulus associated with gains relative to stimulus associated with losses, during the transfer phase. These variables have both been found to be associated with negative symptoms</w:t>
      </w:r>
      <w:r w:rsidR="000F6C2B">
        <w:t xml:space="preserve"> </w:t>
      </w:r>
      <w:r>
        <w:fldChar w:fldCharType="begin"/>
      </w:r>
      <w:r w:rsidR="000F6C2B">
        <w:instrText xml:space="preserve"> ADDIN ZOTERO_ITEM CSL_CITATION {"citationID":"i45ne3JW","properties":{"formattedCitation":"(7)","plainCitation":"(7)","noteIndex":0},"citationItems":[{"id":5347,"uris":["http://zotero.org/groups/3806413/items/I8NBG4MZ"],"itemData":{"id":5347,"type":"article-journal","abstract":"Negative symptoms are a core feature of schizophrenia, but their pathogenesis remains unclear. Negative symptoms are defined by the absence of normal function. However, there must be a productive mechanism that leads to this absence.To test a reinforcement learning account suggesting that negative symptoms result from a failure in the representation of the expected value of rewards coupled with preserved loss-avoidance learning.Participants performed a probabilistic reinforcement learning paradigm involving stimulus pairs in which choices resulted in reward or in loss avoidance. Following training, participants indicated their valuation of the stimuli in a transfer test phase. Computational modeling was used to distinguish between alternative accounts of the data.A tertiary care research outpatient clinic.In total, 47 clinically stable patients with a diagnosis of schizophrenia or schizoaffective disorder and 28 healthy volunteers participated in the study. Patients were divided into a high-negative symptom group and a low-negative symptom group.The number of choices leading to reward or loss avoidance, as well as performance in the transfer test phase. Quantitative fits from 3 different models were examined.Patients in the high-negative symptom group demonstrated impaired learning from rewards but intact loss-avoidance learning and failed to distinguish rewarding stimuli from loss-avoiding stimuli in the transfer test phase. Model fits revealed that patients in the high-negative symptom group were better characterized by an“actor-critic” model, learning stimulus-response associations, whereas control subjects and patients in the low-negative symptom group incorporated expected value of their actions (“Q learning”) into the selection process.Negative symptoms in schizophrenia are associated with a specific reinforcement learning abnormality: patients with high-negative symptoms do not represent the expected value of rewards when making decisions but learn to avoid punishments through the use of prediction errors. This computational framework offers the potential to understand negative symptoms at a mechanistic level.","container-title":"Archives of General Psychiatry","DOI":"10.1001/archgenpsychiatry.2011.1269","ISSN":"0003-990X","issue":"2","journalAbbreviation":"Archives of General Psychiatry","page":"129-138","source":"Silverchair","title":"Negative Symptoms and the Failure to Represent the Expected Reward Value of Actions: Behavioral and Computational Modeling Evidence","title-short":"Negative Symptoms and the Failure to Represent the Expected Reward Value of Actions","volume":"69","author":[{"family":"Gold","given":"James M."},{"family":"Waltz","given":"James A."},{"family":"Matveeva","given":"Tatyana M."},{"family":"Kasanova","given":"Zuzana"},{"family":"Strauss","given":"Gregory P."},{"family":"Herbener","given":"Ellen S."},{"family":"Collins","given":"Anne G. E."},{"family":"Frank","given":"Michael J."}],"issued":{"date-parts":[["2012",2,1]]}}}],"schema":"https://github.com/citation-style-language/schema/raw/master/csl-citation.json"} </w:instrText>
      </w:r>
      <w:r>
        <w:fldChar w:fldCharType="separate"/>
      </w:r>
      <w:r w:rsidR="000F6C2B" w:rsidRPr="000F6C2B">
        <w:t>(7)</w:t>
      </w:r>
      <w:r>
        <w:fldChar w:fldCharType="end"/>
      </w:r>
      <w:r w:rsidR="000F6C2B">
        <w:t>.</w:t>
      </w:r>
      <w:r>
        <w:t xml:space="preserve"> </w:t>
      </w:r>
    </w:p>
    <w:p w14:paraId="5C38465E" w14:textId="48629EB0" w:rsidR="00FE4C2D" w:rsidRDefault="0010415F">
      <w:pPr>
        <w:ind w:firstLine="720"/>
      </w:pPr>
      <w:r>
        <w:lastRenderedPageBreak/>
        <w:t xml:space="preserve">The </w:t>
      </w:r>
      <w:r>
        <w:rPr>
          <w:i/>
        </w:rPr>
        <w:t>Effort Expenditure for Rewards (EEFRT)</w:t>
      </w:r>
      <w:r>
        <w:t xml:space="preserve"> task assesses the willingness to work for rewards. It requires participants to choose between performing a low effort task (30 button presses within 7 seconds with the dominant hand index finger) for a lower reward value ($1) versus a high effort option (100 button presses within 21 seconds with the nondominant hand little finger) for higher reward values ($1.24-$4.30). Probability of reward receipt is manipulated across trials with cues at the start of each trial indicating a high (88%), medium (50%), or low (12%) probability of receiving money on that trial. Participants were told that they would receive a proportion of money earned as result of their decisions at the end of the task; all participants received $5 bonus for task completion. The task was performed for 20 minutes. The key dependent variable is the rate of selecting the high effort choice across probability and magnitude levels (EEFRT hard), which is associated with negative symptom severity</w:t>
      </w:r>
      <w:r w:rsidR="000F6C2B">
        <w:t xml:space="preserve"> </w:t>
      </w:r>
      <w:r>
        <w:fldChar w:fldCharType="begin"/>
      </w:r>
      <w:r w:rsidR="000F6C2B">
        <w:instrText xml:space="preserve"> ADDIN ZOTERO_ITEM CSL_CITATION {"citationID":"QXCWBWsT","properties":{"formattedCitation":"(8,9)","plainCitation":"(8,9)","noteIndex":0},"citationItems":[{"id":5535,"uris":["http://zotero.org/groups/3806413/items/66Z2THB4"],"itemData":{"id":5535,"type":"article-journal","container-title":"Schizophrenia research","issue":"1","note":"publisher: Elsevier","page":"198–204","source":"Google Scholar","title":"Avolition in schizophrenia is associated with reduced willingness to expend effort for reward on a Progressive Ratio task","volume":"170","author":[{"family":"Strauss","given":"Gregory P."},{"family":"Whearty","given":"Kayla M."},{"family":"Morra","given":"Lindsay F."},{"family":"Sullivan","given":"Sara K."},{"family":"Ossenfort","given":"Kathryn L."},{"family":"Frost","given":"Katherine H."}],"issued":{"date-parts":[["2016"]]}}},{"id":5341,"uris":["http://zotero.org/groups/3806413/items/TFRMD6VE"],"itemData":{"id":5341,"type":"article-journal","container-title":"PloS one","issue":"8","note":"publisher: Public Library of Science","page":"e6598","source":"Google Scholar","title":"Worth the ‘EEfRT’? The effort expenditure for rewards task as an objective measure of motivation and anhedonia","title-short":"Worth the ‘EEfRT’?","volume":"4","author":[{"family":"Treadway","given":"Michael T."},{"family":"Buckholtz","given":"Joshua W."},{"family":"Schwartzman","given":"Ashley N."},{"family":"Lambert","given":"Warren E."},{"family":"Zald","given":"David H."}],"issued":{"date-parts":[["2009"]]}}}],"schema":"https://github.com/citation-style-language/schema/raw/master/csl-citation.json"} </w:instrText>
      </w:r>
      <w:r>
        <w:fldChar w:fldCharType="separate"/>
      </w:r>
      <w:r w:rsidR="000F6C2B" w:rsidRPr="000F6C2B">
        <w:t>(8,9)</w:t>
      </w:r>
      <w:r>
        <w:fldChar w:fldCharType="end"/>
      </w:r>
      <w:r w:rsidR="000F6C2B">
        <w:t>.</w:t>
      </w:r>
    </w:p>
    <w:p w14:paraId="75F06A46" w14:textId="2347D545" w:rsidR="00FE4C2D" w:rsidRDefault="0010415F">
      <w:pPr>
        <w:ind w:firstLine="720"/>
      </w:pPr>
      <w:r>
        <w:t xml:space="preserve">The </w:t>
      </w:r>
      <w:r>
        <w:rPr>
          <w:i/>
        </w:rPr>
        <w:t xml:space="preserve">Delay Discounting (DD) </w:t>
      </w:r>
      <w:r>
        <w:t xml:space="preserve">task measures the valuation of future rewards. All participants completed a computerized version of the delay discounting task for hypothetical monetary rewards. Over the course of 27 trials, subjects were asked to choose between a smaller, immediate reward (SIR) and a larger, delayed reward (LDR) by responding via left and right button presses on a keyboard. SIRs included rewards of three sizes: small ($11-34), medium ($20-54), and large ($31-80). LDRs also included rewards of three sizes: small ($25-35), medium ($50-60), and large ($75-85). The central outcome was the performance on large reward trials (DD large) as indicated by the </w:t>
      </w:r>
      <w:r>
        <w:rPr>
          <w:i/>
        </w:rPr>
        <w:t>k</w:t>
      </w:r>
      <w:r>
        <w:t xml:space="preserve">-value which represents the hyperbolic discount parameter at indifference between choosing LDR and SIR values. Subjects’ </w:t>
      </w:r>
      <w:r>
        <w:rPr>
          <w:i/>
        </w:rPr>
        <w:t>k</w:t>
      </w:r>
      <w:r>
        <w:t xml:space="preserve">-values were estimated independently for each reward size by calculating the geometric mean of the largest </w:t>
      </w:r>
      <w:r>
        <w:rPr>
          <w:i/>
        </w:rPr>
        <w:t>k</w:t>
      </w:r>
      <w:r>
        <w:t xml:space="preserve">-value at which they chose the LDR and the smallest </w:t>
      </w:r>
      <w:r>
        <w:rPr>
          <w:i/>
        </w:rPr>
        <w:t>k</w:t>
      </w:r>
      <w:r>
        <w:t>-value at which they chose the SIR (DD large)</w:t>
      </w:r>
      <w:r w:rsidR="000F6C2B">
        <w:t xml:space="preserve"> </w:t>
      </w:r>
      <w:r>
        <w:fldChar w:fldCharType="begin"/>
      </w:r>
      <w:r w:rsidR="000F6C2B">
        <w:instrText xml:space="preserve"> ADDIN ZOTERO_ITEM CSL_CITATION {"citationID":"xvY5MeLA","properties":{"formattedCitation":"(10,11)","plainCitation":"(10,11)","noteIndex":0},"citationItems":[{"id":5533,"uris":["http://zotero.org/groups/3806413/items/BJ6MJ98A"],"itemData":{"id":5533,"type":"article-journal","container-title":"Journal of Experimental psychology: general","issue":"1","note":"publisher: American Psychological Association","page":"78","source":"Google Scholar","title":"Heroin addicts have higher discount rates for delayed rewards than non-drug-using controls.","volume":"128","author":[{"family":"Kirby","given":"Kris N."},{"family":"Petry","given":"Nancy M."},{"family":"Bickel","given":"Warren K."}],"issued":{"date-parts":[["1999"]]}}},{"id":5529,"uris":["http://zotero.org/groups/3806413/items/BPPJHFN9"],"itemData":{"id":5529,"type":"article-journal","container-title":"Journal of abnormal psychology","issue":"3","note":"publisher: American Psychological Association","page":"301","source":"Google Scholar","title":"Altered experiential, but not hypothetical, delay discounting in schizophrenia.","volume":"126","author":[{"family":"Horan","given":"William P."},{"family":"Johnson","given":"Matthew W."},{"family":"Green","given":"Michael F."}],"issued":{"date-parts":[["2017"]]}}}],"schema":"https://github.com/citation-style-language/schema/raw/master/csl-citation.json"} </w:instrText>
      </w:r>
      <w:r>
        <w:fldChar w:fldCharType="separate"/>
      </w:r>
      <w:r w:rsidR="000F6C2B" w:rsidRPr="000F6C2B">
        <w:t>(10,11)</w:t>
      </w:r>
      <w:r>
        <w:fldChar w:fldCharType="end"/>
      </w:r>
      <w:r w:rsidR="000F6C2B">
        <w:t>.</w:t>
      </w:r>
      <w:r>
        <w:t xml:space="preserve"> Consistent with previous research and the variable distribution in the present study, DD large was logarithmically transformed</w:t>
      </w:r>
      <w:r w:rsidR="000F6C2B">
        <w:t xml:space="preserve"> </w:t>
      </w:r>
      <w:r>
        <w:fldChar w:fldCharType="begin"/>
      </w:r>
      <w:r w:rsidR="000F6C2B">
        <w:instrText xml:space="preserve"> ADDIN ZOTERO_ITEM CSL_CITATION {"citationID":"YaSZ8He5","properties":{"formattedCitation":"(12)","plainCitation":"(12)","noteIndex":0},"citationItems":[{"id":985,"uris":["http://zotero.org/users/6639287/items/QJIGISLM"],"itemData":{"id":985,"type":"article-journal","abstract":"Delayed reward discounting (DRD) is a behavioral economic index of time preference, referring to how much an individual devalues a reward based on its delay in time, and has been linked to a wide array of health behaviors. It is commonly assessed using a task that asks participants to make dichotomous choices between two monetary rewards, one available immediately and the other after a delay. This study sought to shorten an extended iterative DRD assessment to increase its versatility and efficiency. Data were drawn from two young adult samples, an exploratory sample (N=130) and a confirmatory sample (N=247). In the exploratory sample, eight items were identified as predicting the majority of the variance in the full task area under the curve (AUC) (R2=.821; p&lt;.001). In the confirmatory sample, the same eight items similarly predicted the majority of variance in the full task AUC (R2=.844, p&lt;.001). These results provide initial support for the validity of a brief 8-item assessment of DRD. Priorities for further validation and potential applications are discussed.","container-title":"Behavioural Processes","DOI":"10.1016/j.beproc.2014.01.006","ISSN":"0376-6357","journalAbbreviation":"Behavioural Processes","page":"256-260","source":"ScienceDirect","title":"Item-based analysis of delayed reward discounting decision making","volume":"103","author":[{"family":"Gray","given":"Joshua C."},{"family":"Amlung","given":"Michael T."},{"family":"Acker","given":"John D."},{"family":"Sweet","given":"Lawrence H."},{"family":"MacKillop","given":"James"}],"issued":{"date-parts":[["2014",3,1]]}}}],"schema":"https://github.com/citation-style-language/schema/raw/master/csl-citation.json"} </w:instrText>
      </w:r>
      <w:r>
        <w:fldChar w:fldCharType="separate"/>
      </w:r>
      <w:r w:rsidR="000F6C2B" w:rsidRPr="000F6C2B">
        <w:t>(12)</w:t>
      </w:r>
      <w:r>
        <w:fldChar w:fldCharType="end"/>
      </w:r>
      <w:r w:rsidR="000F6C2B">
        <w:t>.</w:t>
      </w:r>
      <w:r>
        <w:t xml:space="preserve"> </w:t>
      </w:r>
    </w:p>
    <w:p w14:paraId="232A0661" w14:textId="33ABC83B" w:rsidR="00FE4C2D" w:rsidRDefault="0010415F">
      <w:pPr>
        <w:ind w:firstLine="720"/>
      </w:pPr>
      <w:r>
        <w:t xml:space="preserve">The </w:t>
      </w:r>
      <w:r>
        <w:rPr>
          <w:i/>
        </w:rPr>
        <w:t xml:space="preserve">Hedonic Reactivity (HR) </w:t>
      </w:r>
      <w:r>
        <w:t>task measures self-reported positive emotion experienced in relation to hedonic response to pleasant visual stimuli. Participants viewed 24 visual stimuli from the International Affective Picture System (IAPS) (8 pleasant, 8 unpleasant, 8 neutral). Three ratings were made for each stimulus: How positive the stimulus made them feel (1 not at all- 5 extremely), how negative the stimulus made them feel (1 not at all – 5 extremely), and arousal (1 extremely calm – 5 extremely excited). Each rating was separated by a 1 second interstimulus interval and participants had unlimited time to make each self-report. Stimuli differed in normative IAPS valence (unpleasant &lt; neutral &lt; pleasant) and arousal (pleasant, unpleasant &gt; neutral) as would be expected. The key dependent variable was self-reported positive emotion to pleasant stimuli (HR positive)</w:t>
      </w:r>
      <w:r w:rsidR="000F6C2B">
        <w:t xml:space="preserve"> </w:t>
      </w:r>
      <w:r>
        <w:fldChar w:fldCharType="begin"/>
      </w:r>
      <w:r w:rsidR="000F6C2B">
        <w:instrText xml:space="preserve"> ADDIN ZOTERO_ITEM CSL_CITATION {"citationID":"Hk3DNEzv","properties":{"formattedCitation":"(13)","plainCitation":"(13)","noteIndex":0},"citationItems":[{"id":5387,"uris":["http://zotero.org/groups/3806413/items/3KSGWZQX"],"itemData":{"id":5387,"type":"article-journal","container-title":"Schizophrenia Research: Cognition","note":"publisher: Elsevier","page":"1–7","source":"Google Scholar","title":"Diminished Hedonic response in neuroleptic-free youth at ultra high-risk for psychosis","volume":"12","author":[{"family":"Strauss","given":"Gregory P."},{"family":"Ruiz","given":"Ivan"},{"family":"Visser","given":"Katherine H."},{"family":"Crespo","given":"Laura P."},{"family":"Dickinson","given":"Elizabeth K."}],"issued":{"date-parts":[["2018"]]}}}],"schema":"https://github.com/citation-style-language/schema/raw/master/csl-citation.json"} </w:instrText>
      </w:r>
      <w:r>
        <w:fldChar w:fldCharType="separate"/>
      </w:r>
      <w:r w:rsidR="000F6C2B" w:rsidRPr="000F6C2B">
        <w:t>(13)</w:t>
      </w:r>
      <w:r>
        <w:fldChar w:fldCharType="end"/>
      </w:r>
      <w:r w:rsidR="000F6C2B">
        <w:t>.</w:t>
      </w:r>
    </w:p>
    <w:p w14:paraId="1E436FF6" w14:textId="3A3012E0" w:rsidR="00FE4C2D" w:rsidRDefault="0010415F">
      <w:pPr>
        <w:ind w:firstLine="720"/>
      </w:pPr>
      <w:r>
        <w:t xml:space="preserve">The </w:t>
      </w:r>
      <w:r>
        <w:rPr>
          <w:i/>
        </w:rPr>
        <w:t>Computerized Finger Tapping (CFT)</w:t>
      </w:r>
      <w:r>
        <w:t xml:space="preserve"> task assesses initiation of volitional movements. Participants are presented with a screen that either displays “Go!” and “Stop!”; when “Go!” is on the screen they are instructed to tap the spacebar and many times as they can, with their index finger, until “Stop!” appears, which occurs after 10 seconds. Trials alternate between dominant and non-dominant hand and participants are given instructions on proper hand placement. The primary variable from this task is from the speeded performance condition of the task, which takes 5 minutes to complete. The average taps using the dominant hand (CFT speed) in this condition has been linked to negative symptoms and was used in the present study</w:t>
      </w:r>
      <w:r w:rsidR="000F6C2B">
        <w:t xml:space="preserve"> </w:t>
      </w:r>
      <w:r>
        <w:fldChar w:fldCharType="begin"/>
      </w:r>
      <w:r w:rsidR="000F6C2B">
        <w:instrText xml:space="preserve"> ADDIN ZOTERO_ITEM CSL_CITATION {"citationID":"crPjS4Kf","properties":{"formattedCitation":"(14,15)","plainCitation":"(14,15)","noteIndex":0},"citationItems":[{"id":5528,"uris":["http://zotero.org/groups/3806413/items/HIZ45E9U"],"itemData":{"id":5528,"type":"article-journal","container-title":"Neuropsychology","issue":"2","note":"publisher: American Psychological Association","page":"235-246","source":"Google Scholar","title":"Psychometric properties of the Penn Computerized Neurocognitive Battery.","volume":"29","author":[{"family":"Moore","given":"Tyler M."},{"family":"Reise","given":"Steven P."},{"family":"Gur","given":"Raquel E."},{"family":"Hakonarson","given":"Hakon"},{"family":"Gur","given":"Ruben C."}],"issued":{"date-parts":[["2015"]]}}},{"id":944,"uris":["http://zotero.org/users/6639287/items/4WJJXDCX"],"itemData":{"id":944,"type":"article-journal","abstract":"Early detection and intervention with young people at clinical high risk (CHR) for psychosis is critical for prevention efforts focused on altering the trajectory of psychosis. Early CHR research largely focused on validating clinical interviews for detecting at-risk individuals; however, this approach has limitations related to: (1) specificity (i.e., only 20% of CHR individuals convert to psychosis) and (2) the expertise and training needed to administer these interviews is limited. The purpose of our study is to develop the computerized assessment of psychosis risk (CAPR) battery, consisting of behavioral tasks that require minimal training to administer, can be administered online, and are tied to the neurobiological systems and computational mechanisms implicated in psychosis. The aims of our study are as follows: (1A) to develop a psychosis-risk calculator through the application of machine learning (ML) methods to the measures from the CAPR battery, (1B) evaluate group differences on the risk calculator score and test the hypothesis that the risk calculator score of the CHR group will differ from help-seeking and healthy controls, (1C) evaluate how baseline CAPR battery performance relates to symptomatic outcome two years later (i.e., conversion and symptomatic worsening). These aims will be explored in 500 CHR participants, 500 help-seeking individuals, and 500 healthy controls across the study sites. This project will provide a next-generation CHR battery, tied to illness mechanisms and powered by cutting-edge computational methods that can be used to facilitate the earliest possible detection of psychosis risk.","container-title":"Journal of psychiatry and brain science","DOI":"10.20900/jpbs.20210011","ISSN":"2398-385X","issue":"3","journalAbbreviation":"J Psychiatr Brain Sci","note":"PMID: 34307899\nPMCID: PMC8302046","page":"e210011","source":"PubMed Central","title":"Computerized Assessment of Psychosis Risk","volume":"6","author":[{"family":"Mittal","given":"Vijay A."},{"family":"Ellman","given":"Lauren M."},{"family":"Strauss","given":"Gregory P."},{"family":"Walker","given":"Elaine F."},{"family":"Corlett","given":"Philip R."},{"family":"Schiffman","given":"Jason"},{"family":"Woods","given":"Scott W."},{"family":"Powers","given":"Albert R."},{"family":"Silverstein","given":"Steven M."},{"family":"Waltz","given":"James A."},{"family":"Zinbarg","given":"Richard"},{"family":"Chen","given":"Shuo"},{"family":"Williams","given":"Trevor"},{"family":"Kenney","given":"Joshua"},{"family":"Gold","given":"James M."}],"issued":{"date-parts":[["2021"]]}}}],"schema":"https://github.com/citation-style-language/schema/raw/master/csl-citation.json"} </w:instrText>
      </w:r>
      <w:r>
        <w:fldChar w:fldCharType="separate"/>
      </w:r>
      <w:r w:rsidR="000F6C2B" w:rsidRPr="000F6C2B">
        <w:t>(14,15)</w:t>
      </w:r>
      <w:r>
        <w:fldChar w:fldCharType="end"/>
      </w:r>
      <w:r w:rsidR="000F6C2B">
        <w:t>.</w:t>
      </w:r>
      <w:r>
        <w:t xml:space="preserve">  </w:t>
      </w:r>
    </w:p>
    <w:p w14:paraId="1C2AF71A" w14:textId="77777777" w:rsidR="00FE4C2D" w:rsidRDefault="00FE4C2D">
      <w:pPr>
        <w:ind w:firstLine="720"/>
      </w:pPr>
    </w:p>
    <w:p w14:paraId="375665E8" w14:textId="77777777" w:rsidR="00FE4C2D" w:rsidRDefault="0010415F">
      <w:pPr>
        <w:pStyle w:val="Heading2"/>
      </w:pPr>
      <w:bookmarkStart w:id="3" w:name="_7s7c0eqcfufe" w:colFirst="0" w:colLast="0"/>
      <w:bookmarkEnd w:id="3"/>
      <w:r>
        <w:t>Disorganization Symptom Tasks</w:t>
      </w:r>
    </w:p>
    <w:p w14:paraId="0890375F" w14:textId="7E91E33E" w:rsidR="00FE4C2D" w:rsidRDefault="0010415F">
      <w:r>
        <w:tab/>
        <w:t xml:space="preserve">The </w:t>
      </w:r>
      <w:r>
        <w:rPr>
          <w:i/>
        </w:rPr>
        <w:t xml:space="preserve">Ebbinghaus Illusion (EI) </w:t>
      </w:r>
      <w:r>
        <w:t xml:space="preserve">task presents participants with the classic Ebbinghaus </w:t>
      </w:r>
      <w:r>
        <w:lastRenderedPageBreak/>
        <w:t xml:space="preserve">illusion, which consists of two arrays of nine dots that are immediately next to one another. Participants are asked to focus on the center dot of each array and determine which of the two are largest. Across trials, the outer dots in each array vary in size, such that sometimes they will be smaller or larger. Importantly smaller outer dots </w:t>
      </w:r>
      <w:proofErr w:type="gramStart"/>
      <w:r>
        <w:t>creates</w:t>
      </w:r>
      <w:proofErr w:type="gramEnd"/>
      <w:r>
        <w:t xml:space="preserve"> the illusion that the center dot is larger; in some cases this will helpfully make the larger of the two target dots look even larger, but in other cases (e.g., larger outer dots) these outer dots will be misleading and make the larger target dot appear smaller than it is. Previous work indicates that disorganization is related to worse visual context processing and thus reduced susceptibility to the Ebbinghaus illusion, such that performance on the task is not improved by helpful outer dot context and is not negatively impacted by misleading outer dots</w:t>
      </w:r>
      <w:r w:rsidR="000F6C2B">
        <w:t xml:space="preserve"> </w:t>
      </w:r>
      <w:r>
        <w:fldChar w:fldCharType="begin"/>
      </w:r>
      <w:r w:rsidR="000F6C2B">
        <w:instrText xml:space="preserve"> ADDIN ZOTERO_ITEM CSL_CITATION {"citationID":"cIskalla","properties":{"formattedCitation":"(16,17)","plainCitation":"(16,17)","noteIndex":0},"citationItems":[{"id":5364,"uris":["http://zotero.org/groups/3806413/items/EBWMJ7RM"],"itemData":{"id":5364,"type":"article-journal","abstract":"Perceptual organization (PO) refers to the processes by which visual information is structured into coherent patterns such as groups, contours, perceptual wholes, and object representations. Impairments in PO have been demonstrated in schizophrenia since the 1960s and have been linked to several illness-related factors including poor premorbid functioning, poor prognosis, and disorganized symptoms. This literature was last reviewed in 2005. Since then, electrophysiological (electroencephalographic, event-related potential, and magnetoencephalographic) and fMRI studies in both patient and nonpatient samples have clarified brain mechanisms involved in the impairment, and additional behavioral studies in patients and nonpatients have clarified the computational mechanisms. In addition, data now exist on the functional consequences of PO impairments, in terms of secondary difficulties in face processing, selective attention, working memory, and social cognition. Preliminary data on drug effects on PO and on changes in response to treatment suggest that anomalies in PO may furnish a biomarker for the integrity of its associated biological mechanisms. All of this recent evidence allows for a clearer picture of the nature of the impairment and how it relates to broader aspects of brain and behavioral functioning in schizophrenia.","container-title":"Schizophrenia Bulletin","DOI":"10.1093/schbul/sbr052","ISSN":"0586-7614","issue":"4","journalAbbreviation":"Schizophrenia Bulletin","page":"690-699","source":"Silverchair","title":"Perceptual Organization Impairment in Schizophrenia and Associated Brain Mechanisms: Review of Research from 2005 to 2010","title-short":"Perceptual Organization Impairment in Schizophrenia and Associated Brain Mechanisms","volume":"37","author":[{"family":"Silverstein","given":"Steven M."},{"family":"Keane","given":"Brian P."}],"issued":{"date-parts":[["2011",7,1]]}}},{"id":5352,"uris":["http://zotero.org/groups/3806413/items/Z34SWV9N"],"itemData":{"id":5352,"type":"article-journal","abstract":"Impaired visual context processing is closely linked with expression of symptoms in people with psychosis. However, to date, there have been no investigations of this phenomenon in the critical ultra high-risk (UHR) period immediately preceding the onset of psychosis. In total, 73 participants (33 UHR, 40 control) were evaluated with clinical and global functioning interviews and with a computerized task that required comparing the size of 2 target circles. Targets could appear by themselves (no-context condition), or within a context that made size judgment easier (helpful condition) or more difficult (misleading condition). Susceptibility to illusion was measured as the accuracy differences between the no-context and the helpful (i.e., helpful-index) and the misleading (i.e., misleading-index) conditions. Both groups exhibited approximately the same percentage of accurate responses to the no-context condition. However, the UHR subjects exhibited significantly less susceptibility to the illusion, performing superior to controls on the misleading index. The UHR group also showed less susceptibility on the helpful index, but this was not significant. Lower susceptibility on the misleading index was associated with increased negative symptoms and role functioning at a trend level. Lower susceptibility on the helpful index was significantly associated with increased negative symptoms and both poor role and social functioning. These results indicate that visual context processing is impaired during the UHR period, and is related to core illness features, suggesting that this task may be a useful biomarker in studies of UHR participants. (PsycINFO Database Record (c) 2019 APA, all rights reserved)","container-title":"Journal of Abnormal Psychology","DOI":"10.1037/abn0000082","ISSN":"1939-1846(Electronic),0021-843X(Print)","issue":"4","note":"publisher-place: US\npublisher: American Psychological Association","page":"953-960","source":"APA PsycNET","title":"Visual context processing dysfunctions in youth at high risk for psychosis: Resistance to the Ebbinghaus illusion and its symptom and social and role functioning correlates","title-short":"Visual context processing dysfunctions in youth at high risk for psychosis","volume":"124","author":[{"family":"Mittal","given":"Vijay A."},{"family":"Gupta","given":"Tina"},{"family":"Keane","given":"Brian P."},{"family":"Silverstein","given":"Steven M."}],"issued":{"date-parts":[["2015"]]}}}],"schema":"https://github.com/citation-style-language/schema/raw/master/csl-citation.json"} </w:instrText>
      </w:r>
      <w:r>
        <w:fldChar w:fldCharType="separate"/>
      </w:r>
      <w:r w:rsidR="000F6C2B" w:rsidRPr="000F6C2B">
        <w:t>(16,17)</w:t>
      </w:r>
      <w:r>
        <w:fldChar w:fldCharType="end"/>
      </w:r>
      <w:r w:rsidR="000F6C2B">
        <w:t>.</w:t>
      </w:r>
      <w:r>
        <w:t xml:space="preserve"> The present study used a context sensitivity index (EI context), which combines helpful and misleading context trials to create and overall measure of the extent to which a participant’s performance is affected by the illusion in the typical direction.</w:t>
      </w:r>
    </w:p>
    <w:p w14:paraId="1FA8F2EF" w14:textId="58FBDD43" w:rsidR="00FE4C2D" w:rsidRDefault="0010415F">
      <w:pPr>
        <w:ind w:firstLine="720"/>
      </w:pPr>
      <w:r>
        <w:t xml:space="preserve">The </w:t>
      </w:r>
      <w:r>
        <w:rPr>
          <w:i/>
        </w:rPr>
        <w:t>Mooney Faces (MF)</w:t>
      </w:r>
      <w:r>
        <w:t xml:space="preserve"> task presents participants with ambiguous, black and white images and then requires them to indicate </w:t>
      </w:r>
      <w:proofErr w:type="gramStart"/>
      <w:r>
        <w:t>whether or not</w:t>
      </w:r>
      <w:proofErr w:type="gramEnd"/>
      <w:r>
        <w:t xml:space="preserve"> they see a face. In fact, these stimuli are degraded pictures of human faces, with all shades of gray removed. Faces are varyingly presented upright or inverted, across trials. Accurately perceiving faces on this task requires grouping the fragmentary visual information into a coherent how, based on the perceptual principle of closure. Considerable previous work indicates with psychosis, and disorganization symptoms in particular, show a reduced ability to identify these faces, particularly in the upright condition</w:t>
      </w:r>
      <w:r w:rsidR="000F6C2B">
        <w:t xml:space="preserve"> </w:t>
      </w:r>
      <w:r>
        <w:fldChar w:fldCharType="begin"/>
      </w:r>
      <w:r w:rsidR="000F6C2B">
        <w:instrText xml:space="preserve"> ADDIN ZOTERO_ITEM CSL_CITATION {"citationID":"wWyOmTgG","properties":{"formattedCitation":"(18\\uc0\\u8211{}20)","plainCitation":"(18–20)","noteIndex":0},"citationItems":[{"id":5365,"uris":["http://zotero.org/groups/3806413/items/KHKAALI6"],"itemData":{"id":5365,"type":"article-journal","abstract":"The research into perceptual organization in schizophrenia spectrum disorders has found evidence for and against a perceptual organization deficit and has interpreted the data from within several different theoretical frameworks. A synthesis of this evidence, however, reveals that this body of work has produced reliable evidence for deficits in schizophrenia, as well as for the clinical, stimulus, and task parameters associated with normal and abnormal performance. Recent models of cognition have also advanced understanding of the underlying pathophysiological processes of perceptual organization dysfunction in schizophrenia spectrum disorders. These suggest that deficits in perceptual organization may be one manifestation of a wider disturbance in the integration of contextually related information across space and time. (PsycINFO Database Record (c) 2019 APA, all rights reserved)","container-title":"Psychological Bulletin","DOI":"10.1037/0033-2909.131.4.618","ISSN":"1939-1455(Electronic),0033-2909(Print)","issue":"4","note":"publisher-place: US\npublisher: American Psychological Association","page":"618-632","source":"APA PsycNET","title":"Perceptual Organization in Schizophrenia Spectrum Disorders: Empirical Research and Theoretical Implications","title-short":"Perceptual Organization in Schizophrenia Spectrum Disorders","volume":"131","author":[{"family":"Uhlhaas","given":"Peter J."},{"family":"Silverstein","given":"Steven M."}],"issued":{"date-parts":[["2005"]]}}},{"id":5355,"uris":["http://zotero.org/groups/3806413/items/3XL8LN3K"],"itemData":{"id":5355,"type":"article-journal","abstract":"This study evaluated deficits in visual perceptual organization in schizophrenia over the course of inpatient treatment, in relation to the remission of particular psychotic symptoms. Disorganized (n=14) and non-disorganized (n=33) schizophrenia patients were tested upon admission to an inpatient psychiatric unit, and again after 3 weeks of treatment, on two measures of visual perceptual organization. Performance of schizophrenia patients was compared to groups of patients with psychotic disorders other than schizophrenia (n=19) and non-psychotic psychiatric disorders (n=25). Symptom ratings were collected at both assessment points. Deficits in visual perceptual organization were observed for both tasks in disorganized schizophrenia patients at index and these deficits improved during the course of treatment. Moreover, improvement in visual perceptual organization correlated significantly with reductions in disorganized symptoms in the schizophrenia group. We interpret these data as further support for the hypothesis that the disorganization syndrome in schizophrenia reflects a widespread deficit in the cognitive coordination of contextually related stimuli, leading to dysfunctional organization of stimulus features in vision, thought and language.","container-title":"Schizophrenia Research","DOI":"10.1016/j.schres.2004.11.005","ISSN":"0920-9964","issue":"2","journalAbbreviation":"Schizophrenia Research","language":"en","page":"183-192","source":"ScienceDirect","title":"The course and clinical correlates of dysfunctions in visual perceptual organization in schizophrenia during the remission of psychotic symptoms","volume":"75","author":[{"family":"Uhlhaas","given":"Peter J."},{"family":"Phillips","given":"William A."},{"family":"Silverstein","given":"Steven M."}],"issued":{"date-parts":[["2005",6,15]]}}},{"id":5350,"uris":["http://zotero.org/groups/3806413/items/DEEWMEKP"],"itemData":{"id":5350,"type":"article-journal","abstract":"Schizophrenia is characterized by dysfunctions in neural circuits that can be investigated with electrophysiological methods, such as EEG and MEG. In the present human study, we examined event-related fields (ERFs), in a sample of medication-naive, first-episode schizophrenia (FE-ScZ) patients (n = 14) and healthy control participants (n = 17) during perception of Mooney faces to investigate the integrity of neuromagnetic responses and their experience-dependent modification. ERF responses were analyzed for M100, M170, and M250 components at the sensor and source levels. In addition, we analyzed peak latency and adaptation effects due to stimulus repetition. FE-ScZ patients were characterized by significantly impaired sensory processing, as indicated by a reduced discrimination index (A′). At the sensor level, M100 and M170 responses in FE-ScZ were within the normal range, whereas the M250 response was impaired. However, source localization revealed widespread elevated activity for M100 and M170 in FE-ScZ and delayed peak latencies for the M100 and M250 responses. In addition, M170 source activity in FE-ScZ was not modulated by stimulus repetitions. The present findings suggest that neural circuits in FE-ScZ may be characterized by a disturbed balance between excitation and inhibition that could lead to a failure to gate information flow and abnormal spreading of activity, which is compatible with dysfunctional glutamatergic neurotransmission.","container-title":"Journal of Neuroscience","DOI":"10.1523/JNEUROSCI.3752-13.2014","ISSN":"0270-6474, 1529-2401","issue":"17","journalAbbreviation":"J. Neurosci.","language":"en","license":"Copyright © 2014 the authors 0270-6474/14/345909-09$15.00/0","note":"publisher: Society for Neuroscience\nsection: Articles\nPMID: 24760850","page":"5909-5917","source":"www.jneurosci.org","title":"Source-Reconstruction of Event-Related Fields Reveals Hyperfunction and Hypofunction of Cortical Circuits in Antipsychotic-Naive, First-Episode Schizophrenia Patients during Mooney Face Processing","volume":"34","author":[{"family":"Rivolta","given":"Davide"},{"family":"Castellanos","given":"Nazareth P."},{"family":"Stawowsky","given":"Cerisa"},{"family":"Helbling","given":"Saskia"},{"family":"Wibral","given":"Michael"},{"family":"Grützner","given":"Christine"},{"family":"Koethe","given":"Dagmar"},{"family":"Birkner","given":"Katharina"},{"family":"Kranaster","given":"Laura"},{"family":"Enning","given":"Frank"},{"family":"Singer","given":"Wolf"},{"family":"Leweke","given":"F. Markus"},{"family":"Uhlhaas","given":"Peter J."}],"issued":{"date-parts":[["2014",4,23]]}}}],"schema":"https://github.com/citation-style-language/schema/raw/master/csl-citation.json"} </w:instrText>
      </w:r>
      <w:r>
        <w:fldChar w:fldCharType="separate"/>
      </w:r>
      <w:r w:rsidR="000F6C2B" w:rsidRPr="000F6C2B">
        <w:t>(18–20)</w:t>
      </w:r>
      <w:r>
        <w:fldChar w:fldCharType="end"/>
      </w:r>
      <w:r w:rsidR="000F6C2B">
        <w:t>.</w:t>
      </w:r>
      <w:r>
        <w:t xml:space="preserve"> A recent small study of CHR-P individuals (</w:t>
      </w:r>
      <w:r>
        <w:rPr>
          <w:i/>
        </w:rPr>
        <w:t xml:space="preserve">N </w:t>
      </w:r>
      <w:r>
        <w:t>= 37) indicated a finding in the opposite direction, that CHR-P individuals were more likely to perceive faces in both the upright and inverted conditions</w:t>
      </w:r>
      <w:r w:rsidR="000F6C2B">
        <w:t xml:space="preserve"> </w:t>
      </w:r>
      <w:r>
        <w:fldChar w:fldCharType="begin"/>
      </w:r>
      <w:r w:rsidR="000F6C2B">
        <w:instrText xml:space="preserve"> ADDIN ZOTERO_ITEM CSL_CITATION {"citationID":"0dVZwZsW","properties":{"formattedCitation":"(21)","plainCitation":"(21)","noteIndex":0},"citationItems":[{"id":5458,"uris":["http://zotero.org/groups/3806413/items/F45MELIC"],"itemData":{"id":5458,"type":"article-journal","abstract":"Identifying state-sensitive measures of perceptual and cognitive processes implicated in psychosis may allow for objective, earlier, and better monitoring of changes in mental status that are predictive of an impending psychotic episode, relative to traditional self-report-based clinical measures. To determine whether a measure of visual perception that has demonstrated sensitivity to the clinical state of schizophrenia in multiple prior studies is sensitive to features of the at-risk mental state, we examined differences between young people identified as being at clinical high risk for psychosis (CHR; n = 37) and non-psychiatric matched controls (n = 29) on the Mooney Faces Test (MFT). On each trial of the MFT, participants report whether they perceive a face in a degraded face image. The CHR group reported perceiving a greater number of faces in both upright and inverted MFT stimuli. Consistent with prior work, males reported more faces on the MFT than females in both conditions. However, the finding of greater reported face perception among CHR subjects was robustly observed in the female CHR group relative to the female control group. Among male CHR participants, greater reported face perception was related to increased perceptual abnormalities. These preliminary results are consistent with a small but growing literature suggesting that heightened perceptual sensitivity may characterize individuals at increased clinical risk for psychosis. Further studies are needed to determine the contributions of specific perceptual, cognitive, and motivational mechanisms to the findings.","container-title":"npj Schizophrenia","DOI":"10.1038/s41537-021-00156-1","ISSN":"2334-265X","issue":"1","language":"en","license":"2021 The Author(s)","note":"number: 1\npublisher: Nature Publishing Group","page":"1-7","source":"www.nature.com","title":"Increased face detection responses on the mooney faces test in people at clinical high risk for psychosis","volume":"7","author":[{"family":"Silverstein","given":"Steven M."},{"family":"Thompson","given":"Judy L."},{"family":"Gold","given":"James M."},{"family":"Schiffman","given":"Jason"},{"family":"Waltz","given":"James A."},{"family":"Williams","given":"Trevor F."},{"family":"Zinbarg","given":"Richard E."},{"family":"Mittal","given":"Vijay A."},{"family":"Ellman","given":"Lauren M."},{"family":"Strauss","given":"Gregory P."},{"family":"Walker","given":"Elaine F."},{"family":"Woods","given":"Scott W."},{"family":"Levin","given":"Jason A."},{"family":"Kafadar","given":"Eren"},{"family":"Kenney","given":"Joshua"},{"family":"Smith","given":"Dillon"},{"family":"Powers","given":"Albert R."},{"family":"Corlett","given":"Philip R."}],"issued":{"date-parts":[["2021",5,17]]}}}],"schema":"https://github.com/citation-style-language/schema/raw/master/csl-citation.json"} </w:instrText>
      </w:r>
      <w:r>
        <w:fldChar w:fldCharType="separate"/>
      </w:r>
      <w:r w:rsidR="000F6C2B" w:rsidRPr="000F6C2B">
        <w:t>(21)</w:t>
      </w:r>
      <w:r>
        <w:fldChar w:fldCharType="end"/>
      </w:r>
      <w:r w:rsidR="000F6C2B">
        <w:t>.</w:t>
      </w:r>
      <w:r>
        <w:t xml:space="preserve"> The present study thus examined MF upright and MF inverted separately to capture the extent to which faces are observed in </w:t>
      </w:r>
      <w:proofErr w:type="gramStart"/>
      <w:r>
        <w:t>both of these</w:t>
      </w:r>
      <w:proofErr w:type="gramEnd"/>
      <w:r>
        <w:t xml:space="preserve"> conditions.</w:t>
      </w:r>
    </w:p>
    <w:p w14:paraId="2F7C6FE0" w14:textId="77777777" w:rsidR="00FE4C2D" w:rsidRDefault="0010415F">
      <w:r>
        <w:br w:type="page"/>
      </w:r>
    </w:p>
    <w:p w14:paraId="53DCAEEE" w14:textId="21CD768A" w:rsidR="00FE4C2D" w:rsidRDefault="00561196" w:rsidP="00561196">
      <w:pPr>
        <w:pStyle w:val="Heading1"/>
        <w:contextualSpacing/>
      </w:pPr>
      <w:bookmarkStart w:id="4" w:name="_4igv37gefmhx" w:colFirst="0" w:colLast="0"/>
      <w:bookmarkEnd w:id="4"/>
      <w:r>
        <w:lastRenderedPageBreak/>
        <w:t>Supplemental</w:t>
      </w:r>
      <w:r w:rsidR="00217F3E">
        <w:t xml:space="preserve"> </w:t>
      </w:r>
      <w:r w:rsidR="0010415F">
        <w:t>Results</w:t>
      </w:r>
    </w:p>
    <w:p w14:paraId="542FB009" w14:textId="77777777" w:rsidR="00FE4C2D" w:rsidRDefault="00FE4C2D" w:rsidP="00561196">
      <w:pPr>
        <w:contextualSpacing/>
      </w:pPr>
    </w:p>
    <w:p w14:paraId="54A53852" w14:textId="77777777" w:rsidR="00EA45BE" w:rsidRDefault="0010415F" w:rsidP="0049008B">
      <w:pPr>
        <w:sectPr w:rsidR="00EA45BE">
          <w:pgSz w:w="12240" w:h="15840"/>
          <w:pgMar w:top="1440" w:right="1440" w:bottom="1440" w:left="1440" w:header="720" w:footer="720" w:gutter="0"/>
          <w:pgNumType w:start="1"/>
          <w:cols w:space="720"/>
        </w:sectPr>
      </w:pPr>
      <w:r>
        <w:tab/>
        <w:t xml:space="preserve">A model without either of the </w:t>
      </w:r>
      <w:r w:rsidR="00561196">
        <w:t>M</w:t>
      </w:r>
      <w:r>
        <w:t xml:space="preserve">ooney </w:t>
      </w:r>
      <w:r w:rsidR="00561196">
        <w:t>F</w:t>
      </w:r>
      <w:r>
        <w:t xml:space="preserve">aces remained significantly better fitting than the intercept-only model (Wald test </w:t>
      </w:r>
      <w:r>
        <w:rPr>
          <w:i/>
        </w:rPr>
        <w:t>p</w:t>
      </w:r>
      <w:r>
        <w:t xml:space="preserve"> &lt; .01; AIC = 1596). Sensitivity remained similar (.86), but specificity decreased (.24), with relatedly somewhat smaller positive (.47) and negative predictive value (.69). Significant predictors largely mirrored the results for the model with Mooney Faces variables. For the CHR-P vs. HC equation, KB control (OR = .76, p = .028), PRL WSR (OR = 1.40, p = .010), and SWS c (OR = 1.46, p = .004) all remained significant predictors (</w:t>
      </w:r>
      <w:r>
        <w:rPr>
          <w:i/>
        </w:rPr>
        <w:t>p</w:t>
      </w:r>
      <w:r>
        <w:t xml:space="preserve"> &lt; .05); however, CFT speed was no longer a </w:t>
      </w:r>
      <w:r w:rsidR="00561196">
        <w:t>significant</w:t>
      </w:r>
      <w:r>
        <w:t xml:space="preserve"> predictor and instead HR positive emerged as a significant predictor (OR = 1.32, p = .025). For the CHR-P vs. CLN equation, in the absence of Mooney Faces variables, the SWS c became a significant predictor (OR = 1.46, p = .025). For the CHR-P vs. PLE equation, EI context remained a significant predictor (OR = .76, p = .020) and no others emerged.</w:t>
      </w:r>
      <w:r>
        <w:br w:type="page"/>
      </w:r>
    </w:p>
    <w:tbl>
      <w:tblPr>
        <w:tblW w:w="12282" w:type="dxa"/>
        <w:tblLook w:val="04A0" w:firstRow="1" w:lastRow="0" w:firstColumn="1" w:lastColumn="0" w:noHBand="0" w:noVBand="1"/>
      </w:tblPr>
      <w:tblGrid>
        <w:gridCol w:w="1800"/>
        <w:gridCol w:w="1106"/>
        <w:gridCol w:w="756"/>
        <w:gridCol w:w="800"/>
        <w:gridCol w:w="1000"/>
        <w:gridCol w:w="800"/>
        <w:gridCol w:w="805"/>
        <w:gridCol w:w="1005"/>
        <w:gridCol w:w="800"/>
        <w:gridCol w:w="800"/>
        <w:gridCol w:w="1010"/>
        <w:gridCol w:w="800"/>
        <w:gridCol w:w="800"/>
      </w:tblGrid>
      <w:tr w:rsidR="002040D4" w:rsidRPr="00EA45BE" w14:paraId="660F28A4" w14:textId="77777777" w:rsidTr="002040D4">
        <w:trPr>
          <w:trHeight w:val="310"/>
        </w:trPr>
        <w:tc>
          <w:tcPr>
            <w:tcW w:w="12278" w:type="dxa"/>
            <w:gridSpan w:val="13"/>
            <w:tcBorders>
              <w:top w:val="nil"/>
              <w:left w:val="nil"/>
              <w:bottom w:val="single" w:sz="4" w:space="0" w:color="auto"/>
              <w:right w:val="nil"/>
            </w:tcBorders>
            <w:shd w:val="clear" w:color="auto" w:fill="auto"/>
            <w:noWrap/>
            <w:vAlign w:val="bottom"/>
            <w:hideMark/>
          </w:tcPr>
          <w:p w14:paraId="3109F52A" w14:textId="0DAD9005" w:rsidR="002040D4" w:rsidRPr="00EA45BE" w:rsidRDefault="002040D4" w:rsidP="00EA45BE">
            <w:pPr>
              <w:widowControl/>
              <w:rPr>
                <w:sz w:val="20"/>
                <w:szCs w:val="20"/>
              </w:rPr>
            </w:pPr>
            <w:r w:rsidRPr="00EA45BE">
              <w:rPr>
                <w:color w:val="000000"/>
              </w:rPr>
              <w:lastRenderedPageBreak/>
              <w:t>Supplementa</w:t>
            </w:r>
            <w:r w:rsidR="000D5563">
              <w:rPr>
                <w:color w:val="000000"/>
              </w:rPr>
              <w:t>l</w:t>
            </w:r>
            <w:r w:rsidRPr="00EA45BE">
              <w:rPr>
                <w:color w:val="000000"/>
              </w:rPr>
              <w:t xml:space="preserve"> Table </w:t>
            </w:r>
            <w:r>
              <w:rPr>
                <w:color w:val="000000"/>
              </w:rPr>
              <w:t>1</w:t>
            </w:r>
            <w:r w:rsidRPr="00EA45BE">
              <w:rPr>
                <w:color w:val="000000"/>
              </w:rPr>
              <w:t>.</w:t>
            </w:r>
            <w:r>
              <w:rPr>
                <w:color w:val="000000"/>
              </w:rPr>
              <w:t xml:space="preserve"> </w:t>
            </w:r>
            <w:r>
              <w:t>Descriptive statistics for continuous predictors</w:t>
            </w:r>
          </w:p>
        </w:tc>
      </w:tr>
      <w:tr w:rsidR="009E69B2" w:rsidRPr="00EA45BE" w14:paraId="2BB7C50A" w14:textId="77777777" w:rsidTr="002040D4">
        <w:trPr>
          <w:trHeight w:val="310"/>
        </w:trPr>
        <w:tc>
          <w:tcPr>
            <w:tcW w:w="1800" w:type="dxa"/>
            <w:tcBorders>
              <w:top w:val="single" w:sz="4" w:space="0" w:color="auto"/>
              <w:left w:val="nil"/>
              <w:bottom w:val="nil"/>
              <w:right w:val="nil"/>
            </w:tcBorders>
            <w:shd w:val="clear" w:color="auto" w:fill="auto"/>
            <w:noWrap/>
            <w:vAlign w:val="bottom"/>
            <w:hideMark/>
          </w:tcPr>
          <w:p w14:paraId="6E971A5B" w14:textId="77777777" w:rsidR="009E69B2" w:rsidRPr="00EA45BE" w:rsidRDefault="009E69B2" w:rsidP="009E69B2">
            <w:pPr>
              <w:widowControl/>
              <w:jc w:val="center"/>
              <w:rPr>
                <w:sz w:val="20"/>
                <w:szCs w:val="20"/>
              </w:rPr>
            </w:pPr>
          </w:p>
        </w:tc>
        <w:tc>
          <w:tcPr>
            <w:tcW w:w="2662" w:type="dxa"/>
            <w:gridSpan w:val="3"/>
            <w:tcBorders>
              <w:top w:val="single" w:sz="4" w:space="0" w:color="auto"/>
              <w:left w:val="nil"/>
              <w:bottom w:val="nil"/>
              <w:right w:val="nil"/>
            </w:tcBorders>
            <w:shd w:val="clear" w:color="auto" w:fill="auto"/>
            <w:noWrap/>
            <w:vAlign w:val="bottom"/>
            <w:hideMark/>
          </w:tcPr>
          <w:p w14:paraId="1405F287" w14:textId="5F3298D1" w:rsidR="009E69B2" w:rsidRPr="00EA45BE" w:rsidRDefault="009E69B2" w:rsidP="009E69B2">
            <w:pPr>
              <w:widowControl/>
              <w:jc w:val="center"/>
              <w:rPr>
                <w:sz w:val="20"/>
                <w:szCs w:val="20"/>
              </w:rPr>
            </w:pPr>
            <w:r w:rsidRPr="00EA45BE">
              <w:rPr>
                <w:color w:val="000000"/>
              </w:rPr>
              <w:t>CHR</w:t>
            </w:r>
          </w:p>
        </w:tc>
        <w:tc>
          <w:tcPr>
            <w:tcW w:w="2605" w:type="dxa"/>
            <w:gridSpan w:val="3"/>
            <w:tcBorders>
              <w:top w:val="single" w:sz="4" w:space="0" w:color="auto"/>
              <w:left w:val="nil"/>
              <w:bottom w:val="nil"/>
              <w:right w:val="nil"/>
            </w:tcBorders>
            <w:shd w:val="clear" w:color="auto" w:fill="auto"/>
            <w:noWrap/>
            <w:vAlign w:val="bottom"/>
            <w:hideMark/>
          </w:tcPr>
          <w:p w14:paraId="7225D335" w14:textId="2D83A3C5" w:rsidR="009E69B2" w:rsidRPr="00EA45BE" w:rsidRDefault="009E69B2" w:rsidP="009E69B2">
            <w:pPr>
              <w:widowControl/>
              <w:jc w:val="center"/>
              <w:rPr>
                <w:sz w:val="20"/>
                <w:szCs w:val="20"/>
              </w:rPr>
            </w:pPr>
            <w:r w:rsidRPr="00EA45BE">
              <w:rPr>
                <w:color w:val="000000"/>
              </w:rPr>
              <w:t>PLE</w:t>
            </w:r>
          </w:p>
        </w:tc>
        <w:tc>
          <w:tcPr>
            <w:tcW w:w="2605" w:type="dxa"/>
            <w:gridSpan w:val="3"/>
            <w:tcBorders>
              <w:top w:val="single" w:sz="4" w:space="0" w:color="auto"/>
              <w:left w:val="nil"/>
              <w:bottom w:val="nil"/>
              <w:right w:val="nil"/>
            </w:tcBorders>
            <w:shd w:val="clear" w:color="auto" w:fill="auto"/>
            <w:noWrap/>
            <w:vAlign w:val="bottom"/>
            <w:hideMark/>
          </w:tcPr>
          <w:p w14:paraId="17C2E4F7" w14:textId="187EBC67" w:rsidR="009E69B2" w:rsidRPr="00EA45BE" w:rsidRDefault="009E69B2" w:rsidP="009E69B2">
            <w:pPr>
              <w:widowControl/>
              <w:jc w:val="center"/>
              <w:rPr>
                <w:sz w:val="20"/>
                <w:szCs w:val="20"/>
              </w:rPr>
            </w:pPr>
            <w:r w:rsidRPr="00EA45BE">
              <w:rPr>
                <w:color w:val="000000"/>
              </w:rPr>
              <w:t>CLN</w:t>
            </w:r>
          </w:p>
        </w:tc>
        <w:tc>
          <w:tcPr>
            <w:tcW w:w="2610" w:type="dxa"/>
            <w:gridSpan w:val="3"/>
            <w:tcBorders>
              <w:top w:val="single" w:sz="4" w:space="0" w:color="auto"/>
              <w:left w:val="nil"/>
              <w:bottom w:val="nil"/>
              <w:right w:val="nil"/>
            </w:tcBorders>
            <w:shd w:val="clear" w:color="auto" w:fill="auto"/>
            <w:noWrap/>
            <w:vAlign w:val="bottom"/>
            <w:hideMark/>
          </w:tcPr>
          <w:p w14:paraId="322AB6E9" w14:textId="69406CF8" w:rsidR="009E69B2" w:rsidRPr="00EA45BE" w:rsidRDefault="009E69B2" w:rsidP="009E69B2">
            <w:pPr>
              <w:widowControl/>
              <w:jc w:val="center"/>
              <w:rPr>
                <w:sz w:val="20"/>
                <w:szCs w:val="20"/>
              </w:rPr>
            </w:pPr>
            <w:r w:rsidRPr="00EA45BE">
              <w:rPr>
                <w:color w:val="000000"/>
              </w:rPr>
              <w:t>HC</w:t>
            </w:r>
          </w:p>
        </w:tc>
      </w:tr>
      <w:tr w:rsidR="00EA45BE" w:rsidRPr="00EA45BE" w14:paraId="1233D8E8" w14:textId="77777777" w:rsidTr="002040D4">
        <w:trPr>
          <w:trHeight w:val="310"/>
        </w:trPr>
        <w:tc>
          <w:tcPr>
            <w:tcW w:w="1800" w:type="dxa"/>
            <w:tcBorders>
              <w:top w:val="nil"/>
              <w:left w:val="nil"/>
              <w:bottom w:val="single" w:sz="4" w:space="0" w:color="auto"/>
              <w:right w:val="nil"/>
            </w:tcBorders>
            <w:shd w:val="clear" w:color="auto" w:fill="auto"/>
            <w:noWrap/>
            <w:vAlign w:val="bottom"/>
            <w:hideMark/>
          </w:tcPr>
          <w:p w14:paraId="440ED38B" w14:textId="77777777" w:rsidR="00EA45BE" w:rsidRPr="00EA45BE" w:rsidRDefault="00EA45BE" w:rsidP="009E69B2">
            <w:pPr>
              <w:widowControl/>
              <w:jc w:val="center"/>
              <w:rPr>
                <w:sz w:val="20"/>
                <w:szCs w:val="20"/>
              </w:rPr>
            </w:pPr>
          </w:p>
        </w:tc>
        <w:tc>
          <w:tcPr>
            <w:tcW w:w="1106" w:type="dxa"/>
            <w:tcBorders>
              <w:top w:val="nil"/>
              <w:left w:val="nil"/>
              <w:bottom w:val="single" w:sz="4" w:space="0" w:color="auto"/>
              <w:right w:val="nil"/>
            </w:tcBorders>
            <w:shd w:val="clear" w:color="auto" w:fill="auto"/>
            <w:noWrap/>
            <w:vAlign w:val="bottom"/>
            <w:hideMark/>
          </w:tcPr>
          <w:p w14:paraId="07D65D35" w14:textId="77777777" w:rsidR="00EA45BE" w:rsidRPr="00EA45BE" w:rsidRDefault="00EA45BE" w:rsidP="009E69B2">
            <w:pPr>
              <w:widowControl/>
              <w:jc w:val="center"/>
              <w:rPr>
                <w:color w:val="000000"/>
              </w:rPr>
            </w:pPr>
            <w:r w:rsidRPr="00EA45BE">
              <w:rPr>
                <w:color w:val="000000"/>
              </w:rPr>
              <w:t>N</w:t>
            </w:r>
          </w:p>
        </w:tc>
        <w:tc>
          <w:tcPr>
            <w:tcW w:w="756" w:type="dxa"/>
            <w:tcBorders>
              <w:top w:val="nil"/>
              <w:left w:val="nil"/>
              <w:bottom w:val="single" w:sz="4" w:space="0" w:color="auto"/>
              <w:right w:val="nil"/>
            </w:tcBorders>
            <w:shd w:val="clear" w:color="auto" w:fill="auto"/>
            <w:noWrap/>
            <w:vAlign w:val="bottom"/>
            <w:hideMark/>
          </w:tcPr>
          <w:p w14:paraId="45C26856" w14:textId="77777777" w:rsidR="00EA45BE" w:rsidRPr="00EA45BE" w:rsidRDefault="00EA45BE" w:rsidP="009E69B2">
            <w:pPr>
              <w:widowControl/>
              <w:jc w:val="center"/>
              <w:rPr>
                <w:color w:val="000000"/>
              </w:rPr>
            </w:pPr>
            <w:r w:rsidRPr="00EA45BE">
              <w:rPr>
                <w:color w:val="000000"/>
              </w:rPr>
              <w:t>M</w:t>
            </w:r>
          </w:p>
        </w:tc>
        <w:tc>
          <w:tcPr>
            <w:tcW w:w="800" w:type="dxa"/>
            <w:tcBorders>
              <w:top w:val="nil"/>
              <w:left w:val="nil"/>
              <w:bottom w:val="single" w:sz="4" w:space="0" w:color="auto"/>
              <w:right w:val="nil"/>
            </w:tcBorders>
            <w:shd w:val="clear" w:color="auto" w:fill="auto"/>
            <w:noWrap/>
            <w:vAlign w:val="bottom"/>
            <w:hideMark/>
          </w:tcPr>
          <w:p w14:paraId="4E2979EB" w14:textId="77777777" w:rsidR="00EA45BE" w:rsidRPr="00EA45BE" w:rsidRDefault="00EA45BE" w:rsidP="009E69B2">
            <w:pPr>
              <w:widowControl/>
              <w:jc w:val="center"/>
              <w:rPr>
                <w:color w:val="000000"/>
              </w:rPr>
            </w:pPr>
            <w:r w:rsidRPr="00EA45BE">
              <w:rPr>
                <w:color w:val="000000"/>
              </w:rPr>
              <w:t>SD</w:t>
            </w:r>
          </w:p>
        </w:tc>
        <w:tc>
          <w:tcPr>
            <w:tcW w:w="1000" w:type="dxa"/>
            <w:tcBorders>
              <w:top w:val="nil"/>
              <w:left w:val="nil"/>
              <w:bottom w:val="single" w:sz="4" w:space="0" w:color="auto"/>
              <w:right w:val="nil"/>
            </w:tcBorders>
            <w:shd w:val="clear" w:color="auto" w:fill="auto"/>
            <w:noWrap/>
            <w:vAlign w:val="bottom"/>
            <w:hideMark/>
          </w:tcPr>
          <w:p w14:paraId="2836FB92" w14:textId="77777777" w:rsidR="00EA45BE" w:rsidRPr="00EA45BE" w:rsidRDefault="00EA45BE" w:rsidP="009E69B2">
            <w:pPr>
              <w:widowControl/>
              <w:jc w:val="center"/>
              <w:rPr>
                <w:color w:val="000000"/>
              </w:rPr>
            </w:pPr>
            <w:r w:rsidRPr="00EA45BE">
              <w:rPr>
                <w:color w:val="000000"/>
              </w:rPr>
              <w:t>N</w:t>
            </w:r>
          </w:p>
        </w:tc>
        <w:tc>
          <w:tcPr>
            <w:tcW w:w="800" w:type="dxa"/>
            <w:tcBorders>
              <w:top w:val="nil"/>
              <w:left w:val="nil"/>
              <w:bottom w:val="single" w:sz="4" w:space="0" w:color="auto"/>
              <w:right w:val="nil"/>
            </w:tcBorders>
            <w:shd w:val="clear" w:color="auto" w:fill="auto"/>
            <w:noWrap/>
            <w:vAlign w:val="bottom"/>
            <w:hideMark/>
          </w:tcPr>
          <w:p w14:paraId="605DE9A7" w14:textId="77777777" w:rsidR="00EA45BE" w:rsidRPr="00EA45BE" w:rsidRDefault="00EA45BE" w:rsidP="009E69B2">
            <w:pPr>
              <w:widowControl/>
              <w:jc w:val="center"/>
              <w:rPr>
                <w:color w:val="000000"/>
              </w:rPr>
            </w:pPr>
            <w:r w:rsidRPr="00EA45BE">
              <w:rPr>
                <w:color w:val="000000"/>
              </w:rPr>
              <w:t>M</w:t>
            </w:r>
          </w:p>
        </w:tc>
        <w:tc>
          <w:tcPr>
            <w:tcW w:w="805" w:type="dxa"/>
            <w:tcBorders>
              <w:top w:val="nil"/>
              <w:left w:val="nil"/>
              <w:bottom w:val="single" w:sz="4" w:space="0" w:color="auto"/>
              <w:right w:val="nil"/>
            </w:tcBorders>
            <w:shd w:val="clear" w:color="auto" w:fill="auto"/>
            <w:noWrap/>
            <w:vAlign w:val="bottom"/>
            <w:hideMark/>
          </w:tcPr>
          <w:p w14:paraId="0DD98ECD" w14:textId="77777777" w:rsidR="00EA45BE" w:rsidRPr="00EA45BE" w:rsidRDefault="00EA45BE" w:rsidP="009E69B2">
            <w:pPr>
              <w:widowControl/>
              <w:jc w:val="center"/>
              <w:rPr>
                <w:color w:val="000000"/>
              </w:rPr>
            </w:pPr>
            <w:r w:rsidRPr="00EA45BE">
              <w:rPr>
                <w:color w:val="000000"/>
              </w:rPr>
              <w:t>SD</w:t>
            </w:r>
          </w:p>
        </w:tc>
        <w:tc>
          <w:tcPr>
            <w:tcW w:w="1005" w:type="dxa"/>
            <w:tcBorders>
              <w:top w:val="nil"/>
              <w:left w:val="nil"/>
              <w:bottom w:val="single" w:sz="4" w:space="0" w:color="auto"/>
              <w:right w:val="nil"/>
            </w:tcBorders>
            <w:shd w:val="clear" w:color="auto" w:fill="auto"/>
            <w:noWrap/>
            <w:vAlign w:val="bottom"/>
            <w:hideMark/>
          </w:tcPr>
          <w:p w14:paraId="6E480DDC" w14:textId="77777777" w:rsidR="00EA45BE" w:rsidRPr="00EA45BE" w:rsidRDefault="00EA45BE" w:rsidP="009E69B2">
            <w:pPr>
              <w:widowControl/>
              <w:jc w:val="center"/>
              <w:rPr>
                <w:color w:val="000000"/>
              </w:rPr>
            </w:pPr>
            <w:r w:rsidRPr="00EA45BE">
              <w:rPr>
                <w:color w:val="000000"/>
              </w:rPr>
              <w:t>N</w:t>
            </w:r>
          </w:p>
        </w:tc>
        <w:tc>
          <w:tcPr>
            <w:tcW w:w="800" w:type="dxa"/>
            <w:tcBorders>
              <w:top w:val="nil"/>
              <w:left w:val="nil"/>
              <w:bottom w:val="single" w:sz="4" w:space="0" w:color="auto"/>
              <w:right w:val="nil"/>
            </w:tcBorders>
            <w:shd w:val="clear" w:color="auto" w:fill="auto"/>
            <w:noWrap/>
            <w:vAlign w:val="bottom"/>
            <w:hideMark/>
          </w:tcPr>
          <w:p w14:paraId="5D48A463" w14:textId="77777777" w:rsidR="00EA45BE" w:rsidRPr="00EA45BE" w:rsidRDefault="00EA45BE" w:rsidP="009E69B2">
            <w:pPr>
              <w:widowControl/>
              <w:jc w:val="center"/>
              <w:rPr>
                <w:color w:val="000000"/>
              </w:rPr>
            </w:pPr>
            <w:r w:rsidRPr="00EA45BE">
              <w:rPr>
                <w:color w:val="000000"/>
              </w:rPr>
              <w:t>M</w:t>
            </w:r>
          </w:p>
        </w:tc>
        <w:tc>
          <w:tcPr>
            <w:tcW w:w="800" w:type="dxa"/>
            <w:tcBorders>
              <w:top w:val="nil"/>
              <w:left w:val="nil"/>
              <w:bottom w:val="single" w:sz="4" w:space="0" w:color="auto"/>
              <w:right w:val="nil"/>
            </w:tcBorders>
            <w:shd w:val="clear" w:color="auto" w:fill="auto"/>
            <w:noWrap/>
            <w:vAlign w:val="bottom"/>
            <w:hideMark/>
          </w:tcPr>
          <w:p w14:paraId="46D7405B" w14:textId="77777777" w:rsidR="00EA45BE" w:rsidRPr="00EA45BE" w:rsidRDefault="00EA45BE" w:rsidP="009E69B2">
            <w:pPr>
              <w:widowControl/>
              <w:jc w:val="center"/>
              <w:rPr>
                <w:color w:val="000000"/>
              </w:rPr>
            </w:pPr>
            <w:r w:rsidRPr="00EA45BE">
              <w:rPr>
                <w:color w:val="000000"/>
              </w:rPr>
              <w:t>SD</w:t>
            </w:r>
          </w:p>
        </w:tc>
        <w:tc>
          <w:tcPr>
            <w:tcW w:w="1010" w:type="dxa"/>
            <w:tcBorders>
              <w:top w:val="nil"/>
              <w:left w:val="nil"/>
              <w:bottom w:val="single" w:sz="4" w:space="0" w:color="auto"/>
              <w:right w:val="nil"/>
            </w:tcBorders>
            <w:shd w:val="clear" w:color="auto" w:fill="auto"/>
            <w:noWrap/>
            <w:vAlign w:val="bottom"/>
            <w:hideMark/>
          </w:tcPr>
          <w:p w14:paraId="4ACCCD75" w14:textId="77777777" w:rsidR="00EA45BE" w:rsidRPr="00EA45BE" w:rsidRDefault="00EA45BE" w:rsidP="009E69B2">
            <w:pPr>
              <w:widowControl/>
              <w:jc w:val="center"/>
              <w:rPr>
                <w:color w:val="000000"/>
              </w:rPr>
            </w:pPr>
            <w:r w:rsidRPr="00EA45BE">
              <w:rPr>
                <w:color w:val="000000"/>
              </w:rPr>
              <w:t>N</w:t>
            </w:r>
          </w:p>
        </w:tc>
        <w:tc>
          <w:tcPr>
            <w:tcW w:w="800" w:type="dxa"/>
            <w:tcBorders>
              <w:top w:val="nil"/>
              <w:left w:val="nil"/>
              <w:bottom w:val="single" w:sz="4" w:space="0" w:color="auto"/>
              <w:right w:val="nil"/>
            </w:tcBorders>
            <w:shd w:val="clear" w:color="auto" w:fill="auto"/>
            <w:noWrap/>
            <w:vAlign w:val="bottom"/>
            <w:hideMark/>
          </w:tcPr>
          <w:p w14:paraId="2DF2D8A6" w14:textId="77777777" w:rsidR="00EA45BE" w:rsidRPr="00EA45BE" w:rsidRDefault="00EA45BE" w:rsidP="009E69B2">
            <w:pPr>
              <w:widowControl/>
              <w:jc w:val="center"/>
              <w:rPr>
                <w:color w:val="000000"/>
              </w:rPr>
            </w:pPr>
            <w:r w:rsidRPr="00EA45BE">
              <w:rPr>
                <w:color w:val="000000"/>
              </w:rPr>
              <w:t>M</w:t>
            </w:r>
          </w:p>
        </w:tc>
        <w:tc>
          <w:tcPr>
            <w:tcW w:w="800" w:type="dxa"/>
            <w:tcBorders>
              <w:top w:val="nil"/>
              <w:left w:val="nil"/>
              <w:bottom w:val="single" w:sz="4" w:space="0" w:color="auto"/>
              <w:right w:val="nil"/>
            </w:tcBorders>
            <w:shd w:val="clear" w:color="auto" w:fill="auto"/>
            <w:noWrap/>
            <w:vAlign w:val="bottom"/>
            <w:hideMark/>
          </w:tcPr>
          <w:p w14:paraId="586E154C" w14:textId="77777777" w:rsidR="00EA45BE" w:rsidRPr="00EA45BE" w:rsidRDefault="00EA45BE" w:rsidP="009E69B2">
            <w:pPr>
              <w:widowControl/>
              <w:jc w:val="center"/>
              <w:rPr>
                <w:color w:val="000000"/>
              </w:rPr>
            </w:pPr>
            <w:r w:rsidRPr="00EA45BE">
              <w:rPr>
                <w:color w:val="000000"/>
              </w:rPr>
              <w:t>SD</w:t>
            </w:r>
          </w:p>
        </w:tc>
      </w:tr>
      <w:tr w:rsidR="00EA45BE" w:rsidRPr="00EA45BE" w14:paraId="3F2EA0E9" w14:textId="77777777" w:rsidTr="002040D4">
        <w:trPr>
          <w:trHeight w:val="310"/>
        </w:trPr>
        <w:tc>
          <w:tcPr>
            <w:tcW w:w="1800" w:type="dxa"/>
            <w:tcBorders>
              <w:top w:val="single" w:sz="4" w:space="0" w:color="auto"/>
              <w:left w:val="nil"/>
              <w:bottom w:val="nil"/>
              <w:right w:val="nil"/>
            </w:tcBorders>
            <w:shd w:val="clear" w:color="auto" w:fill="auto"/>
            <w:noWrap/>
            <w:vAlign w:val="bottom"/>
            <w:hideMark/>
          </w:tcPr>
          <w:p w14:paraId="6A14FD04" w14:textId="77777777" w:rsidR="00EA45BE" w:rsidRPr="00EA45BE" w:rsidRDefault="00EA45BE" w:rsidP="00EA45BE">
            <w:pPr>
              <w:widowControl/>
              <w:rPr>
                <w:color w:val="000000"/>
              </w:rPr>
            </w:pPr>
            <w:r w:rsidRPr="00EA45BE">
              <w:rPr>
                <w:color w:val="000000"/>
              </w:rPr>
              <w:t>KB Blocking</w:t>
            </w:r>
          </w:p>
        </w:tc>
        <w:tc>
          <w:tcPr>
            <w:tcW w:w="1106" w:type="dxa"/>
            <w:tcBorders>
              <w:top w:val="single" w:sz="4" w:space="0" w:color="auto"/>
              <w:left w:val="nil"/>
              <w:bottom w:val="nil"/>
              <w:right w:val="nil"/>
            </w:tcBorders>
            <w:shd w:val="clear" w:color="auto" w:fill="auto"/>
            <w:noWrap/>
            <w:vAlign w:val="bottom"/>
            <w:hideMark/>
          </w:tcPr>
          <w:p w14:paraId="423B8042" w14:textId="77777777" w:rsidR="00EA45BE" w:rsidRPr="00EA45BE" w:rsidRDefault="00EA45BE" w:rsidP="00EA45BE">
            <w:pPr>
              <w:widowControl/>
              <w:jc w:val="right"/>
              <w:rPr>
                <w:color w:val="000000"/>
              </w:rPr>
            </w:pPr>
            <w:r w:rsidRPr="00EA45BE">
              <w:rPr>
                <w:color w:val="000000"/>
              </w:rPr>
              <w:t>199</w:t>
            </w:r>
          </w:p>
        </w:tc>
        <w:tc>
          <w:tcPr>
            <w:tcW w:w="756" w:type="dxa"/>
            <w:tcBorders>
              <w:top w:val="single" w:sz="4" w:space="0" w:color="auto"/>
              <w:left w:val="nil"/>
              <w:bottom w:val="nil"/>
              <w:right w:val="nil"/>
            </w:tcBorders>
            <w:shd w:val="clear" w:color="auto" w:fill="auto"/>
            <w:noWrap/>
            <w:vAlign w:val="bottom"/>
            <w:hideMark/>
          </w:tcPr>
          <w:p w14:paraId="7FB43CD7" w14:textId="77777777" w:rsidR="00EA45BE" w:rsidRPr="00EA45BE" w:rsidRDefault="00EA45BE" w:rsidP="00EA45BE">
            <w:pPr>
              <w:widowControl/>
              <w:jc w:val="right"/>
              <w:rPr>
                <w:color w:val="000000"/>
              </w:rPr>
            </w:pPr>
            <w:r w:rsidRPr="00EA45BE">
              <w:rPr>
                <w:color w:val="000000"/>
              </w:rPr>
              <w:t>0.00</w:t>
            </w:r>
          </w:p>
        </w:tc>
        <w:tc>
          <w:tcPr>
            <w:tcW w:w="800" w:type="dxa"/>
            <w:tcBorders>
              <w:top w:val="single" w:sz="4" w:space="0" w:color="auto"/>
              <w:left w:val="nil"/>
              <w:bottom w:val="nil"/>
              <w:right w:val="nil"/>
            </w:tcBorders>
            <w:shd w:val="clear" w:color="auto" w:fill="auto"/>
            <w:noWrap/>
            <w:vAlign w:val="bottom"/>
            <w:hideMark/>
          </w:tcPr>
          <w:p w14:paraId="408EEE47" w14:textId="77777777" w:rsidR="00EA45BE" w:rsidRPr="00EA45BE" w:rsidRDefault="00EA45BE" w:rsidP="00EA45BE">
            <w:pPr>
              <w:widowControl/>
              <w:jc w:val="right"/>
              <w:rPr>
                <w:color w:val="000000"/>
              </w:rPr>
            </w:pPr>
            <w:r w:rsidRPr="00EA45BE">
              <w:rPr>
                <w:color w:val="000000"/>
              </w:rPr>
              <w:t>0.75</w:t>
            </w:r>
          </w:p>
        </w:tc>
        <w:tc>
          <w:tcPr>
            <w:tcW w:w="1000" w:type="dxa"/>
            <w:tcBorders>
              <w:top w:val="single" w:sz="4" w:space="0" w:color="auto"/>
              <w:left w:val="nil"/>
              <w:bottom w:val="nil"/>
              <w:right w:val="nil"/>
            </w:tcBorders>
            <w:shd w:val="clear" w:color="auto" w:fill="auto"/>
            <w:noWrap/>
            <w:vAlign w:val="bottom"/>
            <w:hideMark/>
          </w:tcPr>
          <w:p w14:paraId="46580278" w14:textId="77777777" w:rsidR="00EA45BE" w:rsidRPr="00EA45BE" w:rsidRDefault="00EA45BE" w:rsidP="00EA45BE">
            <w:pPr>
              <w:widowControl/>
              <w:jc w:val="right"/>
              <w:rPr>
                <w:color w:val="000000"/>
              </w:rPr>
            </w:pPr>
            <w:r w:rsidRPr="00EA45BE">
              <w:rPr>
                <w:color w:val="000000"/>
              </w:rPr>
              <w:t>95</w:t>
            </w:r>
          </w:p>
        </w:tc>
        <w:tc>
          <w:tcPr>
            <w:tcW w:w="800" w:type="dxa"/>
            <w:tcBorders>
              <w:top w:val="single" w:sz="4" w:space="0" w:color="auto"/>
              <w:left w:val="nil"/>
              <w:bottom w:val="nil"/>
              <w:right w:val="nil"/>
            </w:tcBorders>
            <w:shd w:val="clear" w:color="auto" w:fill="auto"/>
            <w:noWrap/>
            <w:vAlign w:val="bottom"/>
            <w:hideMark/>
          </w:tcPr>
          <w:p w14:paraId="396385EB" w14:textId="77777777" w:rsidR="00EA45BE" w:rsidRPr="00EA45BE" w:rsidRDefault="00EA45BE" w:rsidP="00EA45BE">
            <w:pPr>
              <w:widowControl/>
              <w:jc w:val="right"/>
              <w:rPr>
                <w:color w:val="000000"/>
              </w:rPr>
            </w:pPr>
            <w:r w:rsidRPr="00EA45BE">
              <w:rPr>
                <w:color w:val="000000"/>
              </w:rPr>
              <w:t>-0.05</w:t>
            </w:r>
          </w:p>
        </w:tc>
        <w:tc>
          <w:tcPr>
            <w:tcW w:w="805" w:type="dxa"/>
            <w:tcBorders>
              <w:top w:val="single" w:sz="4" w:space="0" w:color="auto"/>
              <w:left w:val="nil"/>
              <w:bottom w:val="nil"/>
              <w:right w:val="nil"/>
            </w:tcBorders>
            <w:shd w:val="clear" w:color="auto" w:fill="auto"/>
            <w:noWrap/>
            <w:vAlign w:val="bottom"/>
            <w:hideMark/>
          </w:tcPr>
          <w:p w14:paraId="3A15576C" w14:textId="77777777" w:rsidR="00EA45BE" w:rsidRPr="00EA45BE" w:rsidRDefault="00EA45BE" w:rsidP="00EA45BE">
            <w:pPr>
              <w:widowControl/>
              <w:jc w:val="right"/>
              <w:rPr>
                <w:color w:val="000000"/>
              </w:rPr>
            </w:pPr>
            <w:r w:rsidRPr="00EA45BE">
              <w:rPr>
                <w:color w:val="000000"/>
              </w:rPr>
              <w:t>0.73</w:t>
            </w:r>
          </w:p>
        </w:tc>
        <w:tc>
          <w:tcPr>
            <w:tcW w:w="1005" w:type="dxa"/>
            <w:tcBorders>
              <w:top w:val="single" w:sz="4" w:space="0" w:color="auto"/>
              <w:left w:val="nil"/>
              <w:bottom w:val="nil"/>
              <w:right w:val="nil"/>
            </w:tcBorders>
            <w:shd w:val="clear" w:color="auto" w:fill="auto"/>
            <w:noWrap/>
            <w:vAlign w:val="bottom"/>
            <w:hideMark/>
          </w:tcPr>
          <w:p w14:paraId="5FC795E9" w14:textId="77777777" w:rsidR="00EA45BE" w:rsidRPr="00EA45BE" w:rsidRDefault="00EA45BE" w:rsidP="00EA45BE">
            <w:pPr>
              <w:widowControl/>
              <w:jc w:val="right"/>
              <w:rPr>
                <w:color w:val="000000"/>
              </w:rPr>
            </w:pPr>
            <w:r w:rsidRPr="00EA45BE">
              <w:rPr>
                <w:color w:val="000000"/>
              </w:rPr>
              <w:t>71</w:t>
            </w:r>
          </w:p>
        </w:tc>
        <w:tc>
          <w:tcPr>
            <w:tcW w:w="800" w:type="dxa"/>
            <w:tcBorders>
              <w:top w:val="single" w:sz="4" w:space="0" w:color="auto"/>
              <w:left w:val="nil"/>
              <w:bottom w:val="nil"/>
              <w:right w:val="nil"/>
            </w:tcBorders>
            <w:shd w:val="clear" w:color="auto" w:fill="auto"/>
            <w:noWrap/>
            <w:vAlign w:val="bottom"/>
            <w:hideMark/>
          </w:tcPr>
          <w:p w14:paraId="06CEF705" w14:textId="77777777" w:rsidR="00EA45BE" w:rsidRPr="00EA45BE" w:rsidRDefault="00EA45BE" w:rsidP="00EA45BE">
            <w:pPr>
              <w:widowControl/>
              <w:jc w:val="right"/>
              <w:rPr>
                <w:color w:val="000000"/>
              </w:rPr>
            </w:pPr>
            <w:r w:rsidRPr="00EA45BE">
              <w:rPr>
                <w:color w:val="000000"/>
              </w:rPr>
              <w:t>-0.18</w:t>
            </w:r>
          </w:p>
        </w:tc>
        <w:tc>
          <w:tcPr>
            <w:tcW w:w="800" w:type="dxa"/>
            <w:tcBorders>
              <w:top w:val="single" w:sz="4" w:space="0" w:color="auto"/>
              <w:left w:val="nil"/>
              <w:bottom w:val="nil"/>
              <w:right w:val="nil"/>
            </w:tcBorders>
            <w:shd w:val="clear" w:color="auto" w:fill="auto"/>
            <w:noWrap/>
            <w:vAlign w:val="bottom"/>
            <w:hideMark/>
          </w:tcPr>
          <w:p w14:paraId="4CE73975" w14:textId="77777777" w:rsidR="00EA45BE" w:rsidRPr="00EA45BE" w:rsidRDefault="00EA45BE" w:rsidP="00EA45BE">
            <w:pPr>
              <w:widowControl/>
              <w:jc w:val="right"/>
              <w:rPr>
                <w:color w:val="000000"/>
              </w:rPr>
            </w:pPr>
            <w:r w:rsidRPr="00EA45BE">
              <w:rPr>
                <w:color w:val="000000"/>
              </w:rPr>
              <w:t>0.72</w:t>
            </w:r>
          </w:p>
        </w:tc>
        <w:tc>
          <w:tcPr>
            <w:tcW w:w="1010" w:type="dxa"/>
            <w:tcBorders>
              <w:top w:val="single" w:sz="4" w:space="0" w:color="auto"/>
              <w:left w:val="nil"/>
              <w:bottom w:val="nil"/>
              <w:right w:val="nil"/>
            </w:tcBorders>
            <w:shd w:val="clear" w:color="auto" w:fill="auto"/>
            <w:noWrap/>
            <w:vAlign w:val="bottom"/>
            <w:hideMark/>
          </w:tcPr>
          <w:p w14:paraId="5D9411A6" w14:textId="77777777" w:rsidR="00EA45BE" w:rsidRPr="00EA45BE" w:rsidRDefault="00EA45BE" w:rsidP="00EA45BE">
            <w:pPr>
              <w:widowControl/>
              <w:jc w:val="right"/>
              <w:rPr>
                <w:color w:val="000000"/>
              </w:rPr>
            </w:pPr>
            <w:r w:rsidRPr="00EA45BE">
              <w:rPr>
                <w:color w:val="000000"/>
              </w:rPr>
              <w:t>119</w:t>
            </w:r>
          </w:p>
        </w:tc>
        <w:tc>
          <w:tcPr>
            <w:tcW w:w="800" w:type="dxa"/>
            <w:tcBorders>
              <w:top w:val="single" w:sz="4" w:space="0" w:color="auto"/>
              <w:left w:val="nil"/>
              <w:bottom w:val="nil"/>
              <w:right w:val="nil"/>
            </w:tcBorders>
            <w:shd w:val="clear" w:color="auto" w:fill="auto"/>
            <w:noWrap/>
            <w:vAlign w:val="bottom"/>
            <w:hideMark/>
          </w:tcPr>
          <w:p w14:paraId="1475E679" w14:textId="77777777" w:rsidR="00EA45BE" w:rsidRPr="00EA45BE" w:rsidRDefault="00EA45BE" w:rsidP="00EA45BE">
            <w:pPr>
              <w:widowControl/>
              <w:jc w:val="right"/>
              <w:rPr>
                <w:color w:val="000000"/>
              </w:rPr>
            </w:pPr>
            <w:r w:rsidRPr="00EA45BE">
              <w:rPr>
                <w:color w:val="000000"/>
              </w:rPr>
              <w:t>-0.06</w:t>
            </w:r>
          </w:p>
        </w:tc>
        <w:tc>
          <w:tcPr>
            <w:tcW w:w="800" w:type="dxa"/>
            <w:tcBorders>
              <w:top w:val="single" w:sz="4" w:space="0" w:color="auto"/>
              <w:left w:val="nil"/>
              <w:bottom w:val="nil"/>
              <w:right w:val="nil"/>
            </w:tcBorders>
            <w:shd w:val="clear" w:color="auto" w:fill="auto"/>
            <w:noWrap/>
            <w:vAlign w:val="bottom"/>
            <w:hideMark/>
          </w:tcPr>
          <w:p w14:paraId="0A176948" w14:textId="77777777" w:rsidR="00EA45BE" w:rsidRPr="00EA45BE" w:rsidRDefault="00EA45BE" w:rsidP="00EA45BE">
            <w:pPr>
              <w:widowControl/>
              <w:jc w:val="right"/>
              <w:rPr>
                <w:color w:val="000000"/>
              </w:rPr>
            </w:pPr>
            <w:r w:rsidRPr="00EA45BE">
              <w:rPr>
                <w:color w:val="000000"/>
              </w:rPr>
              <w:t>0.75</w:t>
            </w:r>
          </w:p>
        </w:tc>
      </w:tr>
      <w:tr w:rsidR="00EA45BE" w:rsidRPr="00EA45BE" w14:paraId="5E92DEA8" w14:textId="77777777" w:rsidTr="002040D4">
        <w:trPr>
          <w:trHeight w:val="310"/>
        </w:trPr>
        <w:tc>
          <w:tcPr>
            <w:tcW w:w="1800" w:type="dxa"/>
            <w:tcBorders>
              <w:top w:val="nil"/>
              <w:left w:val="nil"/>
              <w:bottom w:val="nil"/>
              <w:right w:val="nil"/>
            </w:tcBorders>
            <w:shd w:val="clear" w:color="auto" w:fill="auto"/>
            <w:noWrap/>
            <w:vAlign w:val="bottom"/>
            <w:hideMark/>
          </w:tcPr>
          <w:p w14:paraId="7ADFD57F" w14:textId="77777777" w:rsidR="00EA45BE" w:rsidRPr="00EA45BE" w:rsidRDefault="00EA45BE" w:rsidP="00EA45BE">
            <w:pPr>
              <w:widowControl/>
              <w:rPr>
                <w:color w:val="000000"/>
              </w:rPr>
            </w:pPr>
            <w:r w:rsidRPr="00EA45BE">
              <w:rPr>
                <w:color w:val="000000"/>
              </w:rPr>
              <w:t>KB Control</w:t>
            </w:r>
          </w:p>
        </w:tc>
        <w:tc>
          <w:tcPr>
            <w:tcW w:w="1106" w:type="dxa"/>
            <w:tcBorders>
              <w:top w:val="nil"/>
              <w:left w:val="nil"/>
              <w:bottom w:val="nil"/>
              <w:right w:val="nil"/>
            </w:tcBorders>
            <w:shd w:val="clear" w:color="auto" w:fill="auto"/>
            <w:noWrap/>
            <w:vAlign w:val="bottom"/>
            <w:hideMark/>
          </w:tcPr>
          <w:p w14:paraId="780E5495" w14:textId="77777777" w:rsidR="00EA45BE" w:rsidRPr="00EA45BE" w:rsidRDefault="00EA45BE" w:rsidP="00EA45BE">
            <w:pPr>
              <w:widowControl/>
              <w:jc w:val="right"/>
              <w:rPr>
                <w:color w:val="000000"/>
              </w:rPr>
            </w:pPr>
            <w:r w:rsidRPr="00EA45BE">
              <w:rPr>
                <w:color w:val="000000"/>
              </w:rPr>
              <w:t>197</w:t>
            </w:r>
          </w:p>
        </w:tc>
        <w:tc>
          <w:tcPr>
            <w:tcW w:w="756" w:type="dxa"/>
            <w:tcBorders>
              <w:top w:val="nil"/>
              <w:left w:val="nil"/>
              <w:bottom w:val="nil"/>
              <w:right w:val="nil"/>
            </w:tcBorders>
            <w:shd w:val="clear" w:color="auto" w:fill="auto"/>
            <w:noWrap/>
            <w:vAlign w:val="bottom"/>
            <w:hideMark/>
          </w:tcPr>
          <w:p w14:paraId="58CFC440" w14:textId="77777777" w:rsidR="00EA45BE" w:rsidRPr="00EA45BE" w:rsidRDefault="00EA45BE" w:rsidP="00EA45BE">
            <w:pPr>
              <w:widowControl/>
              <w:jc w:val="right"/>
              <w:rPr>
                <w:color w:val="000000"/>
              </w:rPr>
            </w:pPr>
            <w:r w:rsidRPr="00EA45BE">
              <w:rPr>
                <w:color w:val="000000"/>
              </w:rPr>
              <w:t>0.60</w:t>
            </w:r>
          </w:p>
        </w:tc>
        <w:tc>
          <w:tcPr>
            <w:tcW w:w="800" w:type="dxa"/>
            <w:tcBorders>
              <w:top w:val="nil"/>
              <w:left w:val="nil"/>
              <w:bottom w:val="nil"/>
              <w:right w:val="nil"/>
            </w:tcBorders>
            <w:shd w:val="clear" w:color="auto" w:fill="auto"/>
            <w:noWrap/>
            <w:vAlign w:val="bottom"/>
            <w:hideMark/>
          </w:tcPr>
          <w:p w14:paraId="35A8A949" w14:textId="77777777" w:rsidR="00EA45BE" w:rsidRPr="00EA45BE" w:rsidRDefault="00EA45BE" w:rsidP="00EA45BE">
            <w:pPr>
              <w:widowControl/>
              <w:jc w:val="right"/>
              <w:rPr>
                <w:color w:val="000000"/>
              </w:rPr>
            </w:pPr>
            <w:r w:rsidRPr="00EA45BE">
              <w:rPr>
                <w:color w:val="000000"/>
              </w:rPr>
              <w:t>0.57</w:t>
            </w:r>
          </w:p>
        </w:tc>
        <w:tc>
          <w:tcPr>
            <w:tcW w:w="1000" w:type="dxa"/>
            <w:tcBorders>
              <w:top w:val="nil"/>
              <w:left w:val="nil"/>
              <w:bottom w:val="nil"/>
              <w:right w:val="nil"/>
            </w:tcBorders>
            <w:shd w:val="clear" w:color="auto" w:fill="auto"/>
            <w:noWrap/>
            <w:vAlign w:val="bottom"/>
            <w:hideMark/>
          </w:tcPr>
          <w:p w14:paraId="22732DCA" w14:textId="77777777" w:rsidR="00EA45BE" w:rsidRPr="00EA45BE" w:rsidRDefault="00EA45BE" w:rsidP="00EA45BE">
            <w:pPr>
              <w:widowControl/>
              <w:jc w:val="right"/>
              <w:rPr>
                <w:color w:val="000000"/>
              </w:rPr>
            </w:pPr>
            <w:r w:rsidRPr="00EA45BE">
              <w:rPr>
                <w:color w:val="000000"/>
              </w:rPr>
              <w:t>94</w:t>
            </w:r>
          </w:p>
        </w:tc>
        <w:tc>
          <w:tcPr>
            <w:tcW w:w="800" w:type="dxa"/>
            <w:tcBorders>
              <w:top w:val="nil"/>
              <w:left w:val="nil"/>
              <w:bottom w:val="nil"/>
              <w:right w:val="nil"/>
            </w:tcBorders>
            <w:shd w:val="clear" w:color="auto" w:fill="auto"/>
            <w:noWrap/>
            <w:vAlign w:val="bottom"/>
            <w:hideMark/>
          </w:tcPr>
          <w:p w14:paraId="37B050CF" w14:textId="77777777" w:rsidR="00EA45BE" w:rsidRPr="00EA45BE" w:rsidRDefault="00EA45BE" w:rsidP="00EA45BE">
            <w:pPr>
              <w:widowControl/>
              <w:jc w:val="right"/>
              <w:rPr>
                <w:color w:val="000000"/>
              </w:rPr>
            </w:pPr>
            <w:r w:rsidRPr="00EA45BE">
              <w:rPr>
                <w:color w:val="000000"/>
              </w:rPr>
              <w:t>0.63</w:t>
            </w:r>
          </w:p>
        </w:tc>
        <w:tc>
          <w:tcPr>
            <w:tcW w:w="805" w:type="dxa"/>
            <w:tcBorders>
              <w:top w:val="nil"/>
              <w:left w:val="nil"/>
              <w:bottom w:val="nil"/>
              <w:right w:val="nil"/>
            </w:tcBorders>
            <w:shd w:val="clear" w:color="auto" w:fill="auto"/>
            <w:noWrap/>
            <w:vAlign w:val="bottom"/>
            <w:hideMark/>
          </w:tcPr>
          <w:p w14:paraId="0218F869" w14:textId="77777777" w:rsidR="00EA45BE" w:rsidRPr="00EA45BE" w:rsidRDefault="00EA45BE" w:rsidP="00EA45BE">
            <w:pPr>
              <w:widowControl/>
              <w:jc w:val="right"/>
              <w:rPr>
                <w:color w:val="000000"/>
              </w:rPr>
            </w:pPr>
            <w:r w:rsidRPr="00EA45BE">
              <w:rPr>
                <w:color w:val="000000"/>
              </w:rPr>
              <w:t>0.51</w:t>
            </w:r>
          </w:p>
        </w:tc>
        <w:tc>
          <w:tcPr>
            <w:tcW w:w="1005" w:type="dxa"/>
            <w:tcBorders>
              <w:top w:val="nil"/>
              <w:left w:val="nil"/>
              <w:bottom w:val="nil"/>
              <w:right w:val="nil"/>
            </w:tcBorders>
            <w:shd w:val="clear" w:color="auto" w:fill="auto"/>
            <w:noWrap/>
            <w:vAlign w:val="bottom"/>
            <w:hideMark/>
          </w:tcPr>
          <w:p w14:paraId="12FE7424" w14:textId="77777777" w:rsidR="00EA45BE" w:rsidRPr="00EA45BE" w:rsidRDefault="00EA45BE" w:rsidP="00EA45BE">
            <w:pPr>
              <w:widowControl/>
              <w:jc w:val="right"/>
              <w:rPr>
                <w:color w:val="000000"/>
              </w:rPr>
            </w:pPr>
            <w:r w:rsidRPr="00EA45BE">
              <w:rPr>
                <w:color w:val="000000"/>
              </w:rPr>
              <w:t>72</w:t>
            </w:r>
          </w:p>
        </w:tc>
        <w:tc>
          <w:tcPr>
            <w:tcW w:w="800" w:type="dxa"/>
            <w:tcBorders>
              <w:top w:val="nil"/>
              <w:left w:val="nil"/>
              <w:bottom w:val="nil"/>
              <w:right w:val="nil"/>
            </w:tcBorders>
            <w:shd w:val="clear" w:color="auto" w:fill="auto"/>
            <w:noWrap/>
            <w:vAlign w:val="bottom"/>
            <w:hideMark/>
          </w:tcPr>
          <w:p w14:paraId="46BA520F" w14:textId="77777777" w:rsidR="00EA45BE" w:rsidRPr="00EA45BE" w:rsidRDefault="00EA45BE" w:rsidP="00EA45BE">
            <w:pPr>
              <w:widowControl/>
              <w:jc w:val="right"/>
              <w:rPr>
                <w:color w:val="000000"/>
              </w:rPr>
            </w:pPr>
            <w:r w:rsidRPr="00EA45BE">
              <w:rPr>
                <w:color w:val="000000"/>
              </w:rPr>
              <w:t>0.70</w:t>
            </w:r>
          </w:p>
        </w:tc>
        <w:tc>
          <w:tcPr>
            <w:tcW w:w="800" w:type="dxa"/>
            <w:tcBorders>
              <w:top w:val="nil"/>
              <w:left w:val="nil"/>
              <w:bottom w:val="nil"/>
              <w:right w:val="nil"/>
            </w:tcBorders>
            <w:shd w:val="clear" w:color="auto" w:fill="auto"/>
            <w:noWrap/>
            <w:vAlign w:val="bottom"/>
            <w:hideMark/>
          </w:tcPr>
          <w:p w14:paraId="74EAF724" w14:textId="77777777" w:rsidR="00EA45BE" w:rsidRPr="00EA45BE" w:rsidRDefault="00EA45BE" w:rsidP="00EA45BE">
            <w:pPr>
              <w:widowControl/>
              <w:jc w:val="right"/>
              <w:rPr>
                <w:color w:val="000000"/>
              </w:rPr>
            </w:pPr>
            <w:r w:rsidRPr="00EA45BE">
              <w:rPr>
                <w:color w:val="000000"/>
              </w:rPr>
              <w:t>0.43</w:t>
            </w:r>
          </w:p>
        </w:tc>
        <w:tc>
          <w:tcPr>
            <w:tcW w:w="1010" w:type="dxa"/>
            <w:tcBorders>
              <w:top w:val="nil"/>
              <w:left w:val="nil"/>
              <w:bottom w:val="nil"/>
              <w:right w:val="nil"/>
            </w:tcBorders>
            <w:shd w:val="clear" w:color="auto" w:fill="auto"/>
            <w:noWrap/>
            <w:vAlign w:val="bottom"/>
            <w:hideMark/>
          </w:tcPr>
          <w:p w14:paraId="75181D48" w14:textId="77777777" w:rsidR="00EA45BE" w:rsidRPr="00EA45BE" w:rsidRDefault="00EA45BE" w:rsidP="00EA45BE">
            <w:pPr>
              <w:widowControl/>
              <w:jc w:val="right"/>
              <w:rPr>
                <w:color w:val="000000"/>
              </w:rPr>
            </w:pPr>
            <w:r w:rsidRPr="00EA45BE">
              <w:rPr>
                <w:color w:val="000000"/>
              </w:rPr>
              <w:t>120</w:t>
            </w:r>
          </w:p>
        </w:tc>
        <w:tc>
          <w:tcPr>
            <w:tcW w:w="800" w:type="dxa"/>
            <w:tcBorders>
              <w:top w:val="nil"/>
              <w:left w:val="nil"/>
              <w:bottom w:val="nil"/>
              <w:right w:val="nil"/>
            </w:tcBorders>
            <w:shd w:val="clear" w:color="auto" w:fill="auto"/>
            <w:noWrap/>
            <w:vAlign w:val="bottom"/>
            <w:hideMark/>
          </w:tcPr>
          <w:p w14:paraId="39284114" w14:textId="77777777" w:rsidR="00EA45BE" w:rsidRPr="00EA45BE" w:rsidRDefault="00EA45BE" w:rsidP="00EA45BE">
            <w:pPr>
              <w:widowControl/>
              <w:jc w:val="right"/>
              <w:rPr>
                <w:color w:val="000000"/>
              </w:rPr>
            </w:pPr>
            <w:r w:rsidRPr="00EA45BE">
              <w:rPr>
                <w:color w:val="000000"/>
              </w:rPr>
              <w:t>0.50</w:t>
            </w:r>
          </w:p>
        </w:tc>
        <w:tc>
          <w:tcPr>
            <w:tcW w:w="800" w:type="dxa"/>
            <w:tcBorders>
              <w:top w:val="nil"/>
              <w:left w:val="nil"/>
              <w:bottom w:val="nil"/>
              <w:right w:val="nil"/>
            </w:tcBorders>
            <w:shd w:val="clear" w:color="auto" w:fill="auto"/>
            <w:noWrap/>
            <w:vAlign w:val="bottom"/>
            <w:hideMark/>
          </w:tcPr>
          <w:p w14:paraId="585561B9" w14:textId="77777777" w:rsidR="00EA45BE" w:rsidRPr="00EA45BE" w:rsidRDefault="00EA45BE" w:rsidP="00EA45BE">
            <w:pPr>
              <w:widowControl/>
              <w:jc w:val="right"/>
              <w:rPr>
                <w:color w:val="000000"/>
              </w:rPr>
            </w:pPr>
            <w:r w:rsidRPr="00EA45BE">
              <w:rPr>
                <w:color w:val="000000"/>
              </w:rPr>
              <w:t>0.68</w:t>
            </w:r>
          </w:p>
        </w:tc>
      </w:tr>
      <w:tr w:rsidR="00EA45BE" w:rsidRPr="00EA45BE" w14:paraId="632F9989" w14:textId="77777777" w:rsidTr="002040D4">
        <w:trPr>
          <w:trHeight w:val="310"/>
        </w:trPr>
        <w:tc>
          <w:tcPr>
            <w:tcW w:w="1800" w:type="dxa"/>
            <w:tcBorders>
              <w:top w:val="nil"/>
              <w:left w:val="nil"/>
              <w:bottom w:val="nil"/>
              <w:right w:val="nil"/>
            </w:tcBorders>
            <w:shd w:val="clear" w:color="auto" w:fill="auto"/>
            <w:noWrap/>
            <w:vAlign w:val="bottom"/>
            <w:hideMark/>
          </w:tcPr>
          <w:p w14:paraId="4374B4D0" w14:textId="77777777" w:rsidR="00EA45BE" w:rsidRPr="00EA45BE" w:rsidRDefault="00EA45BE" w:rsidP="00EA45BE">
            <w:pPr>
              <w:widowControl/>
              <w:rPr>
                <w:color w:val="000000"/>
              </w:rPr>
            </w:pPr>
            <w:r w:rsidRPr="00EA45BE">
              <w:rPr>
                <w:color w:val="000000"/>
              </w:rPr>
              <w:t>PRL WSR</w:t>
            </w:r>
          </w:p>
        </w:tc>
        <w:tc>
          <w:tcPr>
            <w:tcW w:w="1106" w:type="dxa"/>
            <w:tcBorders>
              <w:top w:val="nil"/>
              <w:left w:val="nil"/>
              <w:bottom w:val="nil"/>
              <w:right w:val="nil"/>
            </w:tcBorders>
            <w:shd w:val="clear" w:color="auto" w:fill="auto"/>
            <w:noWrap/>
            <w:vAlign w:val="bottom"/>
            <w:hideMark/>
          </w:tcPr>
          <w:p w14:paraId="6F496AF9" w14:textId="77777777" w:rsidR="00EA45BE" w:rsidRPr="00EA45BE" w:rsidRDefault="00EA45BE" w:rsidP="00EA45BE">
            <w:pPr>
              <w:widowControl/>
              <w:jc w:val="right"/>
              <w:rPr>
                <w:color w:val="000000"/>
              </w:rPr>
            </w:pPr>
            <w:r w:rsidRPr="00EA45BE">
              <w:rPr>
                <w:color w:val="000000"/>
              </w:rPr>
              <w:t>216</w:t>
            </w:r>
          </w:p>
        </w:tc>
        <w:tc>
          <w:tcPr>
            <w:tcW w:w="756" w:type="dxa"/>
            <w:tcBorders>
              <w:top w:val="nil"/>
              <w:left w:val="nil"/>
              <w:bottom w:val="nil"/>
              <w:right w:val="nil"/>
            </w:tcBorders>
            <w:shd w:val="clear" w:color="auto" w:fill="auto"/>
            <w:noWrap/>
            <w:vAlign w:val="bottom"/>
            <w:hideMark/>
          </w:tcPr>
          <w:p w14:paraId="6E99C35F" w14:textId="77777777" w:rsidR="00EA45BE" w:rsidRPr="00EA45BE" w:rsidRDefault="00EA45BE" w:rsidP="00EA45BE">
            <w:pPr>
              <w:widowControl/>
              <w:jc w:val="right"/>
              <w:rPr>
                <w:color w:val="000000"/>
              </w:rPr>
            </w:pPr>
            <w:r w:rsidRPr="00EA45BE">
              <w:rPr>
                <w:color w:val="000000"/>
              </w:rPr>
              <w:t>-1.20</w:t>
            </w:r>
          </w:p>
        </w:tc>
        <w:tc>
          <w:tcPr>
            <w:tcW w:w="800" w:type="dxa"/>
            <w:tcBorders>
              <w:top w:val="nil"/>
              <w:left w:val="nil"/>
              <w:bottom w:val="nil"/>
              <w:right w:val="nil"/>
            </w:tcBorders>
            <w:shd w:val="clear" w:color="auto" w:fill="auto"/>
            <w:noWrap/>
            <w:vAlign w:val="bottom"/>
            <w:hideMark/>
          </w:tcPr>
          <w:p w14:paraId="1BE90987" w14:textId="77777777" w:rsidR="00EA45BE" w:rsidRPr="00EA45BE" w:rsidRDefault="00EA45BE" w:rsidP="00EA45BE">
            <w:pPr>
              <w:widowControl/>
              <w:jc w:val="right"/>
              <w:rPr>
                <w:color w:val="000000"/>
              </w:rPr>
            </w:pPr>
            <w:r w:rsidRPr="00EA45BE">
              <w:rPr>
                <w:color w:val="000000"/>
              </w:rPr>
              <w:t>0.56</w:t>
            </w:r>
          </w:p>
        </w:tc>
        <w:tc>
          <w:tcPr>
            <w:tcW w:w="1000" w:type="dxa"/>
            <w:tcBorders>
              <w:top w:val="nil"/>
              <w:left w:val="nil"/>
              <w:bottom w:val="nil"/>
              <w:right w:val="nil"/>
            </w:tcBorders>
            <w:shd w:val="clear" w:color="auto" w:fill="auto"/>
            <w:noWrap/>
            <w:vAlign w:val="bottom"/>
            <w:hideMark/>
          </w:tcPr>
          <w:p w14:paraId="561F36D1" w14:textId="77777777" w:rsidR="00EA45BE" w:rsidRPr="00EA45BE" w:rsidRDefault="00EA45BE" w:rsidP="00EA45BE">
            <w:pPr>
              <w:widowControl/>
              <w:jc w:val="right"/>
              <w:rPr>
                <w:color w:val="000000"/>
              </w:rPr>
            </w:pPr>
            <w:r w:rsidRPr="00EA45BE">
              <w:rPr>
                <w:color w:val="000000"/>
              </w:rPr>
              <w:t>106</w:t>
            </w:r>
          </w:p>
        </w:tc>
        <w:tc>
          <w:tcPr>
            <w:tcW w:w="800" w:type="dxa"/>
            <w:tcBorders>
              <w:top w:val="nil"/>
              <w:left w:val="nil"/>
              <w:bottom w:val="nil"/>
              <w:right w:val="nil"/>
            </w:tcBorders>
            <w:shd w:val="clear" w:color="auto" w:fill="auto"/>
            <w:noWrap/>
            <w:vAlign w:val="bottom"/>
            <w:hideMark/>
          </w:tcPr>
          <w:p w14:paraId="0686C14D" w14:textId="77777777" w:rsidR="00EA45BE" w:rsidRPr="00EA45BE" w:rsidRDefault="00EA45BE" w:rsidP="00EA45BE">
            <w:pPr>
              <w:widowControl/>
              <w:jc w:val="right"/>
              <w:rPr>
                <w:color w:val="000000"/>
              </w:rPr>
            </w:pPr>
            <w:r w:rsidRPr="00EA45BE">
              <w:rPr>
                <w:color w:val="000000"/>
              </w:rPr>
              <w:t>-1.12</w:t>
            </w:r>
          </w:p>
        </w:tc>
        <w:tc>
          <w:tcPr>
            <w:tcW w:w="805" w:type="dxa"/>
            <w:tcBorders>
              <w:top w:val="nil"/>
              <w:left w:val="nil"/>
              <w:bottom w:val="nil"/>
              <w:right w:val="nil"/>
            </w:tcBorders>
            <w:shd w:val="clear" w:color="auto" w:fill="auto"/>
            <w:noWrap/>
            <w:vAlign w:val="bottom"/>
            <w:hideMark/>
          </w:tcPr>
          <w:p w14:paraId="7AB2647C" w14:textId="77777777" w:rsidR="00EA45BE" w:rsidRPr="00EA45BE" w:rsidRDefault="00EA45BE" w:rsidP="00EA45BE">
            <w:pPr>
              <w:widowControl/>
              <w:jc w:val="right"/>
              <w:rPr>
                <w:color w:val="000000"/>
              </w:rPr>
            </w:pPr>
            <w:r w:rsidRPr="00EA45BE">
              <w:rPr>
                <w:color w:val="000000"/>
              </w:rPr>
              <w:t>0.52</w:t>
            </w:r>
          </w:p>
        </w:tc>
        <w:tc>
          <w:tcPr>
            <w:tcW w:w="1005" w:type="dxa"/>
            <w:tcBorders>
              <w:top w:val="nil"/>
              <w:left w:val="nil"/>
              <w:bottom w:val="nil"/>
              <w:right w:val="nil"/>
            </w:tcBorders>
            <w:shd w:val="clear" w:color="auto" w:fill="auto"/>
            <w:noWrap/>
            <w:vAlign w:val="bottom"/>
            <w:hideMark/>
          </w:tcPr>
          <w:p w14:paraId="28C5EE1F" w14:textId="77777777" w:rsidR="00EA45BE" w:rsidRPr="00EA45BE" w:rsidRDefault="00EA45BE" w:rsidP="00EA45BE">
            <w:pPr>
              <w:widowControl/>
              <w:jc w:val="right"/>
              <w:rPr>
                <w:color w:val="000000"/>
              </w:rPr>
            </w:pPr>
            <w:r w:rsidRPr="00EA45BE">
              <w:rPr>
                <w:color w:val="000000"/>
              </w:rPr>
              <w:t>73</w:t>
            </w:r>
          </w:p>
        </w:tc>
        <w:tc>
          <w:tcPr>
            <w:tcW w:w="800" w:type="dxa"/>
            <w:tcBorders>
              <w:top w:val="nil"/>
              <w:left w:val="nil"/>
              <w:bottom w:val="nil"/>
              <w:right w:val="nil"/>
            </w:tcBorders>
            <w:shd w:val="clear" w:color="auto" w:fill="auto"/>
            <w:noWrap/>
            <w:vAlign w:val="bottom"/>
            <w:hideMark/>
          </w:tcPr>
          <w:p w14:paraId="4C4CE584" w14:textId="77777777" w:rsidR="00EA45BE" w:rsidRPr="00EA45BE" w:rsidRDefault="00EA45BE" w:rsidP="00EA45BE">
            <w:pPr>
              <w:widowControl/>
              <w:jc w:val="right"/>
              <w:rPr>
                <w:color w:val="000000"/>
              </w:rPr>
            </w:pPr>
            <w:r w:rsidRPr="00EA45BE">
              <w:rPr>
                <w:color w:val="000000"/>
              </w:rPr>
              <w:t>-1.36</w:t>
            </w:r>
          </w:p>
        </w:tc>
        <w:tc>
          <w:tcPr>
            <w:tcW w:w="800" w:type="dxa"/>
            <w:tcBorders>
              <w:top w:val="nil"/>
              <w:left w:val="nil"/>
              <w:bottom w:val="nil"/>
              <w:right w:val="nil"/>
            </w:tcBorders>
            <w:shd w:val="clear" w:color="auto" w:fill="auto"/>
            <w:noWrap/>
            <w:vAlign w:val="bottom"/>
            <w:hideMark/>
          </w:tcPr>
          <w:p w14:paraId="3D0DD304" w14:textId="77777777" w:rsidR="00EA45BE" w:rsidRPr="00EA45BE" w:rsidRDefault="00EA45BE" w:rsidP="00EA45BE">
            <w:pPr>
              <w:widowControl/>
              <w:jc w:val="right"/>
              <w:rPr>
                <w:color w:val="000000"/>
              </w:rPr>
            </w:pPr>
            <w:r w:rsidRPr="00EA45BE">
              <w:rPr>
                <w:color w:val="000000"/>
              </w:rPr>
              <w:t>0.50</w:t>
            </w:r>
          </w:p>
        </w:tc>
        <w:tc>
          <w:tcPr>
            <w:tcW w:w="1010" w:type="dxa"/>
            <w:tcBorders>
              <w:top w:val="nil"/>
              <w:left w:val="nil"/>
              <w:bottom w:val="nil"/>
              <w:right w:val="nil"/>
            </w:tcBorders>
            <w:shd w:val="clear" w:color="auto" w:fill="auto"/>
            <w:noWrap/>
            <w:vAlign w:val="bottom"/>
            <w:hideMark/>
          </w:tcPr>
          <w:p w14:paraId="56652707" w14:textId="77777777" w:rsidR="00EA45BE" w:rsidRPr="00EA45BE" w:rsidRDefault="00EA45BE" w:rsidP="00EA45BE">
            <w:pPr>
              <w:widowControl/>
              <w:jc w:val="right"/>
              <w:rPr>
                <w:color w:val="000000"/>
              </w:rPr>
            </w:pPr>
            <w:r w:rsidRPr="00EA45BE">
              <w:rPr>
                <w:color w:val="000000"/>
              </w:rPr>
              <w:t>129</w:t>
            </w:r>
          </w:p>
        </w:tc>
        <w:tc>
          <w:tcPr>
            <w:tcW w:w="800" w:type="dxa"/>
            <w:tcBorders>
              <w:top w:val="nil"/>
              <w:left w:val="nil"/>
              <w:bottom w:val="nil"/>
              <w:right w:val="nil"/>
            </w:tcBorders>
            <w:shd w:val="clear" w:color="auto" w:fill="auto"/>
            <w:noWrap/>
            <w:vAlign w:val="bottom"/>
            <w:hideMark/>
          </w:tcPr>
          <w:p w14:paraId="01972AF0" w14:textId="77777777" w:rsidR="00EA45BE" w:rsidRPr="00EA45BE" w:rsidRDefault="00EA45BE" w:rsidP="00EA45BE">
            <w:pPr>
              <w:widowControl/>
              <w:jc w:val="right"/>
              <w:rPr>
                <w:color w:val="000000"/>
              </w:rPr>
            </w:pPr>
            <w:r w:rsidRPr="00EA45BE">
              <w:rPr>
                <w:color w:val="000000"/>
              </w:rPr>
              <w:t>-1.37</w:t>
            </w:r>
          </w:p>
        </w:tc>
        <w:tc>
          <w:tcPr>
            <w:tcW w:w="800" w:type="dxa"/>
            <w:tcBorders>
              <w:top w:val="nil"/>
              <w:left w:val="nil"/>
              <w:bottom w:val="nil"/>
              <w:right w:val="nil"/>
            </w:tcBorders>
            <w:shd w:val="clear" w:color="auto" w:fill="auto"/>
            <w:noWrap/>
            <w:vAlign w:val="bottom"/>
            <w:hideMark/>
          </w:tcPr>
          <w:p w14:paraId="1F56E22D" w14:textId="77777777" w:rsidR="00EA45BE" w:rsidRPr="00EA45BE" w:rsidRDefault="00EA45BE" w:rsidP="00EA45BE">
            <w:pPr>
              <w:widowControl/>
              <w:jc w:val="right"/>
              <w:rPr>
                <w:color w:val="000000"/>
              </w:rPr>
            </w:pPr>
            <w:r w:rsidRPr="00EA45BE">
              <w:rPr>
                <w:color w:val="000000"/>
              </w:rPr>
              <w:t>0.53</w:t>
            </w:r>
          </w:p>
        </w:tc>
      </w:tr>
      <w:tr w:rsidR="00EA45BE" w:rsidRPr="00EA45BE" w14:paraId="559CA659" w14:textId="77777777" w:rsidTr="002040D4">
        <w:trPr>
          <w:trHeight w:val="310"/>
        </w:trPr>
        <w:tc>
          <w:tcPr>
            <w:tcW w:w="1800" w:type="dxa"/>
            <w:tcBorders>
              <w:top w:val="nil"/>
              <w:left w:val="nil"/>
              <w:bottom w:val="nil"/>
              <w:right w:val="nil"/>
            </w:tcBorders>
            <w:shd w:val="clear" w:color="auto" w:fill="auto"/>
            <w:noWrap/>
            <w:vAlign w:val="bottom"/>
            <w:hideMark/>
          </w:tcPr>
          <w:p w14:paraId="34220329" w14:textId="77777777" w:rsidR="00EA45BE" w:rsidRPr="00EA45BE" w:rsidRDefault="00EA45BE" w:rsidP="00EA45BE">
            <w:pPr>
              <w:widowControl/>
              <w:rPr>
                <w:color w:val="000000"/>
              </w:rPr>
            </w:pPr>
            <w:r w:rsidRPr="00EA45BE">
              <w:rPr>
                <w:color w:val="000000"/>
              </w:rPr>
              <w:t>PRL LSR</w:t>
            </w:r>
          </w:p>
        </w:tc>
        <w:tc>
          <w:tcPr>
            <w:tcW w:w="1106" w:type="dxa"/>
            <w:tcBorders>
              <w:top w:val="nil"/>
              <w:left w:val="nil"/>
              <w:bottom w:val="nil"/>
              <w:right w:val="nil"/>
            </w:tcBorders>
            <w:shd w:val="clear" w:color="auto" w:fill="auto"/>
            <w:noWrap/>
            <w:vAlign w:val="bottom"/>
            <w:hideMark/>
          </w:tcPr>
          <w:p w14:paraId="17E00AB9" w14:textId="77777777" w:rsidR="00EA45BE" w:rsidRPr="00EA45BE" w:rsidRDefault="00EA45BE" w:rsidP="00EA45BE">
            <w:pPr>
              <w:widowControl/>
              <w:jc w:val="right"/>
              <w:rPr>
                <w:color w:val="000000"/>
              </w:rPr>
            </w:pPr>
            <w:r w:rsidRPr="00EA45BE">
              <w:rPr>
                <w:color w:val="000000"/>
              </w:rPr>
              <w:t>216</w:t>
            </w:r>
          </w:p>
        </w:tc>
        <w:tc>
          <w:tcPr>
            <w:tcW w:w="756" w:type="dxa"/>
            <w:tcBorders>
              <w:top w:val="nil"/>
              <w:left w:val="nil"/>
              <w:bottom w:val="nil"/>
              <w:right w:val="nil"/>
            </w:tcBorders>
            <w:shd w:val="clear" w:color="auto" w:fill="auto"/>
            <w:noWrap/>
            <w:vAlign w:val="bottom"/>
            <w:hideMark/>
          </w:tcPr>
          <w:p w14:paraId="090811FC" w14:textId="77777777" w:rsidR="00EA45BE" w:rsidRPr="00EA45BE" w:rsidRDefault="00EA45BE" w:rsidP="00EA45BE">
            <w:pPr>
              <w:widowControl/>
              <w:jc w:val="right"/>
              <w:rPr>
                <w:color w:val="000000"/>
              </w:rPr>
            </w:pPr>
            <w:r w:rsidRPr="00EA45BE">
              <w:rPr>
                <w:color w:val="000000"/>
              </w:rPr>
              <w:t>0.23</w:t>
            </w:r>
          </w:p>
        </w:tc>
        <w:tc>
          <w:tcPr>
            <w:tcW w:w="800" w:type="dxa"/>
            <w:tcBorders>
              <w:top w:val="nil"/>
              <w:left w:val="nil"/>
              <w:bottom w:val="nil"/>
              <w:right w:val="nil"/>
            </w:tcBorders>
            <w:shd w:val="clear" w:color="auto" w:fill="auto"/>
            <w:noWrap/>
            <w:vAlign w:val="bottom"/>
            <w:hideMark/>
          </w:tcPr>
          <w:p w14:paraId="15A69B8F" w14:textId="77777777" w:rsidR="00EA45BE" w:rsidRPr="00EA45BE" w:rsidRDefault="00EA45BE" w:rsidP="00EA45BE">
            <w:pPr>
              <w:widowControl/>
              <w:jc w:val="right"/>
              <w:rPr>
                <w:color w:val="000000"/>
              </w:rPr>
            </w:pPr>
            <w:r w:rsidRPr="00EA45BE">
              <w:rPr>
                <w:color w:val="000000"/>
              </w:rPr>
              <w:t>0.20</w:t>
            </w:r>
          </w:p>
        </w:tc>
        <w:tc>
          <w:tcPr>
            <w:tcW w:w="1000" w:type="dxa"/>
            <w:tcBorders>
              <w:top w:val="nil"/>
              <w:left w:val="nil"/>
              <w:bottom w:val="nil"/>
              <w:right w:val="nil"/>
            </w:tcBorders>
            <w:shd w:val="clear" w:color="auto" w:fill="auto"/>
            <w:noWrap/>
            <w:vAlign w:val="bottom"/>
            <w:hideMark/>
          </w:tcPr>
          <w:p w14:paraId="33AA7A77" w14:textId="77777777" w:rsidR="00EA45BE" w:rsidRPr="00EA45BE" w:rsidRDefault="00EA45BE" w:rsidP="00EA45BE">
            <w:pPr>
              <w:widowControl/>
              <w:jc w:val="right"/>
              <w:rPr>
                <w:color w:val="000000"/>
              </w:rPr>
            </w:pPr>
            <w:r w:rsidRPr="00EA45BE">
              <w:rPr>
                <w:color w:val="000000"/>
              </w:rPr>
              <w:t>106</w:t>
            </w:r>
          </w:p>
        </w:tc>
        <w:tc>
          <w:tcPr>
            <w:tcW w:w="800" w:type="dxa"/>
            <w:tcBorders>
              <w:top w:val="nil"/>
              <w:left w:val="nil"/>
              <w:bottom w:val="nil"/>
              <w:right w:val="nil"/>
            </w:tcBorders>
            <w:shd w:val="clear" w:color="auto" w:fill="auto"/>
            <w:noWrap/>
            <w:vAlign w:val="bottom"/>
            <w:hideMark/>
          </w:tcPr>
          <w:p w14:paraId="2E2905F1" w14:textId="77777777" w:rsidR="00EA45BE" w:rsidRPr="00EA45BE" w:rsidRDefault="00EA45BE" w:rsidP="00EA45BE">
            <w:pPr>
              <w:widowControl/>
              <w:jc w:val="right"/>
              <w:rPr>
                <w:color w:val="000000"/>
              </w:rPr>
            </w:pPr>
            <w:r w:rsidRPr="00EA45BE">
              <w:rPr>
                <w:color w:val="000000"/>
              </w:rPr>
              <w:t>0.23</w:t>
            </w:r>
          </w:p>
        </w:tc>
        <w:tc>
          <w:tcPr>
            <w:tcW w:w="805" w:type="dxa"/>
            <w:tcBorders>
              <w:top w:val="nil"/>
              <w:left w:val="nil"/>
              <w:bottom w:val="nil"/>
              <w:right w:val="nil"/>
            </w:tcBorders>
            <w:shd w:val="clear" w:color="auto" w:fill="auto"/>
            <w:noWrap/>
            <w:vAlign w:val="bottom"/>
            <w:hideMark/>
          </w:tcPr>
          <w:p w14:paraId="76D5B8CD" w14:textId="77777777" w:rsidR="00EA45BE" w:rsidRPr="00EA45BE" w:rsidRDefault="00EA45BE" w:rsidP="00EA45BE">
            <w:pPr>
              <w:widowControl/>
              <w:jc w:val="right"/>
              <w:rPr>
                <w:color w:val="000000"/>
              </w:rPr>
            </w:pPr>
            <w:r w:rsidRPr="00EA45BE">
              <w:rPr>
                <w:color w:val="000000"/>
              </w:rPr>
              <w:t>0.19</w:t>
            </w:r>
          </w:p>
        </w:tc>
        <w:tc>
          <w:tcPr>
            <w:tcW w:w="1005" w:type="dxa"/>
            <w:tcBorders>
              <w:top w:val="nil"/>
              <w:left w:val="nil"/>
              <w:bottom w:val="nil"/>
              <w:right w:val="nil"/>
            </w:tcBorders>
            <w:shd w:val="clear" w:color="auto" w:fill="auto"/>
            <w:noWrap/>
            <w:vAlign w:val="bottom"/>
            <w:hideMark/>
          </w:tcPr>
          <w:p w14:paraId="001F90E7" w14:textId="77777777" w:rsidR="00EA45BE" w:rsidRPr="00EA45BE" w:rsidRDefault="00EA45BE" w:rsidP="00EA45BE">
            <w:pPr>
              <w:widowControl/>
              <w:jc w:val="right"/>
              <w:rPr>
                <w:color w:val="000000"/>
              </w:rPr>
            </w:pPr>
            <w:r w:rsidRPr="00EA45BE">
              <w:rPr>
                <w:color w:val="000000"/>
              </w:rPr>
              <w:t>73</w:t>
            </w:r>
          </w:p>
        </w:tc>
        <w:tc>
          <w:tcPr>
            <w:tcW w:w="800" w:type="dxa"/>
            <w:tcBorders>
              <w:top w:val="nil"/>
              <w:left w:val="nil"/>
              <w:bottom w:val="nil"/>
              <w:right w:val="nil"/>
            </w:tcBorders>
            <w:shd w:val="clear" w:color="auto" w:fill="auto"/>
            <w:noWrap/>
            <w:vAlign w:val="bottom"/>
            <w:hideMark/>
          </w:tcPr>
          <w:p w14:paraId="5606AE48" w14:textId="77777777" w:rsidR="00EA45BE" w:rsidRPr="00EA45BE" w:rsidRDefault="00EA45BE" w:rsidP="00EA45BE">
            <w:pPr>
              <w:widowControl/>
              <w:jc w:val="right"/>
              <w:rPr>
                <w:color w:val="000000"/>
              </w:rPr>
            </w:pPr>
            <w:r w:rsidRPr="00EA45BE">
              <w:rPr>
                <w:color w:val="000000"/>
              </w:rPr>
              <w:t>0.27</w:t>
            </w:r>
          </w:p>
        </w:tc>
        <w:tc>
          <w:tcPr>
            <w:tcW w:w="800" w:type="dxa"/>
            <w:tcBorders>
              <w:top w:val="nil"/>
              <w:left w:val="nil"/>
              <w:bottom w:val="nil"/>
              <w:right w:val="nil"/>
            </w:tcBorders>
            <w:shd w:val="clear" w:color="auto" w:fill="auto"/>
            <w:noWrap/>
            <w:vAlign w:val="bottom"/>
            <w:hideMark/>
          </w:tcPr>
          <w:p w14:paraId="5958DB1F" w14:textId="77777777" w:rsidR="00EA45BE" w:rsidRPr="00EA45BE" w:rsidRDefault="00EA45BE" w:rsidP="00EA45BE">
            <w:pPr>
              <w:widowControl/>
              <w:jc w:val="right"/>
              <w:rPr>
                <w:color w:val="000000"/>
              </w:rPr>
            </w:pPr>
            <w:r w:rsidRPr="00EA45BE">
              <w:rPr>
                <w:color w:val="000000"/>
              </w:rPr>
              <w:t>0.22</w:t>
            </w:r>
          </w:p>
        </w:tc>
        <w:tc>
          <w:tcPr>
            <w:tcW w:w="1010" w:type="dxa"/>
            <w:tcBorders>
              <w:top w:val="nil"/>
              <w:left w:val="nil"/>
              <w:bottom w:val="nil"/>
              <w:right w:val="nil"/>
            </w:tcBorders>
            <w:shd w:val="clear" w:color="auto" w:fill="auto"/>
            <w:noWrap/>
            <w:vAlign w:val="bottom"/>
            <w:hideMark/>
          </w:tcPr>
          <w:p w14:paraId="40DB09C1" w14:textId="77777777" w:rsidR="00EA45BE" w:rsidRPr="00EA45BE" w:rsidRDefault="00EA45BE" w:rsidP="00EA45BE">
            <w:pPr>
              <w:widowControl/>
              <w:jc w:val="right"/>
              <w:rPr>
                <w:color w:val="000000"/>
              </w:rPr>
            </w:pPr>
            <w:r w:rsidRPr="00EA45BE">
              <w:rPr>
                <w:color w:val="000000"/>
              </w:rPr>
              <w:t>129</w:t>
            </w:r>
          </w:p>
        </w:tc>
        <w:tc>
          <w:tcPr>
            <w:tcW w:w="800" w:type="dxa"/>
            <w:tcBorders>
              <w:top w:val="nil"/>
              <w:left w:val="nil"/>
              <w:bottom w:val="nil"/>
              <w:right w:val="nil"/>
            </w:tcBorders>
            <w:shd w:val="clear" w:color="auto" w:fill="auto"/>
            <w:noWrap/>
            <w:vAlign w:val="bottom"/>
            <w:hideMark/>
          </w:tcPr>
          <w:p w14:paraId="2E12149F" w14:textId="77777777" w:rsidR="00EA45BE" w:rsidRPr="00EA45BE" w:rsidRDefault="00EA45BE" w:rsidP="00EA45BE">
            <w:pPr>
              <w:widowControl/>
              <w:jc w:val="right"/>
              <w:rPr>
                <w:color w:val="000000"/>
              </w:rPr>
            </w:pPr>
            <w:r w:rsidRPr="00EA45BE">
              <w:rPr>
                <w:color w:val="000000"/>
              </w:rPr>
              <w:t>0.26</w:t>
            </w:r>
          </w:p>
        </w:tc>
        <w:tc>
          <w:tcPr>
            <w:tcW w:w="800" w:type="dxa"/>
            <w:tcBorders>
              <w:top w:val="nil"/>
              <w:left w:val="nil"/>
              <w:bottom w:val="nil"/>
              <w:right w:val="nil"/>
            </w:tcBorders>
            <w:shd w:val="clear" w:color="auto" w:fill="auto"/>
            <w:noWrap/>
            <w:vAlign w:val="bottom"/>
            <w:hideMark/>
          </w:tcPr>
          <w:p w14:paraId="06ADD3A2" w14:textId="77777777" w:rsidR="00EA45BE" w:rsidRPr="00EA45BE" w:rsidRDefault="00EA45BE" w:rsidP="00EA45BE">
            <w:pPr>
              <w:widowControl/>
              <w:jc w:val="right"/>
              <w:rPr>
                <w:color w:val="000000"/>
              </w:rPr>
            </w:pPr>
            <w:r w:rsidRPr="00EA45BE">
              <w:rPr>
                <w:color w:val="000000"/>
              </w:rPr>
              <w:t>0.22</w:t>
            </w:r>
          </w:p>
        </w:tc>
      </w:tr>
      <w:tr w:rsidR="00EA45BE" w:rsidRPr="00EA45BE" w14:paraId="77340889" w14:textId="77777777" w:rsidTr="002040D4">
        <w:trPr>
          <w:trHeight w:val="310"/>
        </w:trPr>
        <w:tc>
          <w:tcPr>
            <w:tcW w:w="1800" w:type="dxa"/>
            <w:tcBorders>
              <w:top w:val="nil"/>
              <w:left w:val="nil"/>
              <w:bottom w:val="nil"/>
              <w:right w:val="nil"/>
            </w:tcBorders>
            <w:shd w:val="clear" w:color="auto" w:fill="auto"/>
            <w:noWrap/>
            <w:vAlign w:val="bottom"/>
            <w:hideMark/>
          </w:tcPr>
          <w:p w14:paraId="75A67C85" w14:textId="77777777" w:rsidR="00EA45BE" w:rsidRPr="00EA45BE" w:rsidRDefault="00EA45BE" w:rsidP="00EA45BE">
            <w:pPr>
              <w:widowControl/>
              <w:rPr>
                <w:color w:val="000000"/>
              </w:rPr>
            </w:pPr>
            <w:r w:rsidRPr="00EA45BE">
              <w:rPr>
                <w:color w:val="000000"/>
              </w:rPr>
              <w:t>SWS d'</w:t>
            </w:r>
          </w:p>
        </w:tc>
        <w:tc>
          <w:tcPr>
            <w:tcW w:w="1106" w:type="dxa"/>
            <w:tcBorders>
              <w:top w:val="nil"/>
              <w:left w:val="nil"/>
              <w:bottom w:val="nil"/>
              <w:right w:val="nil"/>
            </w:tcBorders>
            <w:shd w:val="clear" w:color="auto" w:fill="auto"/>
            <w:noWrap/>
            <w:vAlign w:val="bottom"/>
            <w:hideMark/>
          </w:tcPr>
          <w:p w14:paraId="0F03F281" w14:textId="77777777" w:rsidR="00EA45BE" w:rsidRPr="00EA45BE" w:rsidRDefault="00EA45BE" w:rsidP="00EA45BE">
            <w:pPr>
              <w:widowControl/>
              <w:jc w:val="right"/>
              <w:rPr>
                <w:color w:val="000000"/>
              </w:rPr>
            </w:pPr>
            <w:r w:rsidRPr="00EA45BE">
              <w:rPr>
                <w:color w:val="000000"/>
              </w:rPr>
              <w:t>212</w:t>
            </w:r>
          </w:p>
        </w:tc>
        <w:tc>
          <w:tcPr>
            <w:tcW w:w="756" w:type="dxa"/>
            <w:tcBorders>
              <w:top w:val="nil"/>
              <w:left w:val="nil"/>
              <w:bottom w:val="nil"/>
              <w:right w:val="nil"/>
            </w:tcBorders>
            <w:shd w:val="clear" w:color="auto" w:fill="auto"/>
            <w:noWrap/>
            <w:vAlign w:val="bottom"/>
            <w:hideMark/>
          </w:tcPr>
          <w:p w14:paraId="257AFFD4" w14:textId="77777777" w:rsidR="00EA45BE" w:rsidRPr="00EA45BE" w:rsidRDefault="00EA45BE" w:rsidP="00EA45BE">
            <w:pPr>
              <w:widowControl/>
              <w:jc w:val="right"/>
              <w:rPr>
                <w:color w:val="000000"/>
              </w:rPr>
            </w:pPr>
            <w:r w:rsidRPr="00EA45BE">
              <w:rPr>
                <w:color w:val="000000"/>
              </w:rPr>
              <w:t>-0.08</w:t>
            </w:r>
          </w:p>
        </w:tc>
        <w:tc>
          <w:tcPr>
            <w:tcW w:w="800" w:type="dxa"/>
            <w:tcBorders>
              <w:top w:val="nil"/>
              <w:left w:val="nil"/>
              <w:bottom w:val="nil"/>
              <w:right w:val="nil"/>
            </w:tcBorders>
            <w:shd w:val="clear" w:color="auto" w:fill="auto"/>
            <w:noWrap/>
            <w:vAlign w:val="bottom"/>
            <w:hideMark/>
          </w:tcPr>
          <w:p w14:paraId="7AB52DFF" w14:textId="77777777" w:rsidR="00EA45BE" w:rsidRPr="00EA45BE" w:rsidRDefault="00EA45BE" w:rsidP="00EA45BE">
            <w:pPr>
              <w:widowControl/>
              <w:jc w:val="right"/>
              <w:rPr>
                <w:color w:val="000000"/>
              </w:rPr>
            </w:pPr>
            <w:r w:rsidRPr="00EA45BE">
              <w:rPr>
                <w:color w:val="000000"/>
              </w:rPr>
              <w:t>0.82</w:t>
            </w:r>
          </w:p>
        </w:tc>
        <w:tc>
          <w:tcPr>
            <w:tcW w:w="1000" w:type="dxa"/>
            <w:tcBorders>
              <w:top w:val="nil"/>
              <w:left w:val="nil"/>
              <w:bottom w:val="nil"/>
              <w:right w:val="nil"/>
            </w:tcBorders>
            <w:shd w:val="clear" w:color="auto" w:fill="auto"/>
            <w:noWrap/>
            <w:vAlign w:val="bottom"/>
            <w:hideMark/>
          </w:tcPr>
          <w:p w14:paraId="13B28281" w14:textId="77777777" w:rsidR="00EA45BE" w:rsidRPr="00EA45BE" w:rsidRDefault="00EA45BE" w:rsidP="00EA45BE">
            <w:pPr>
              <w:widowControl/>
              <w:jc w:val="right"/>
              <w:rPr>
                <w:color w:val="000000"/>
              </w:rPr>
            </w:pPr>
            <w:r w:rsidRPr="00EA45BE">
              <w:rPr>
                <w:color w:val="000000"/>
              </w:rPr>
              <w:t>106</w:t>
            </w:r>
          </w:p>
        </w:tc>
        <w:tc>
          <w:tcPr>
            <w:tcW w:w="800" w:type="dxa"/>
            <w:tcBorders>
              <w:top w:val="nil"/>
              <w:left w:val="nil"/>
              <w:bottom w:val="nil"/>
              <w:right w:val="nil"/>
            </w:tcBorders>
            <w:shd w:val="clear" w:color="auto" w:fill="auto"/>
            <w:noWrap/>
            <w:vAlign w:val="bottom"/>
            <w:hideMark/>
          </w:tcPr>
          <w:p w14:paraId="424553DF" w14:textId="77777777" w:rsidR="00EA45BE" w:rsidRPr="00EA45BE" w:rsidRDefault="00EA45BE" w:rsidP="00EA45BE">
            <w:pPr>
              <w:widowControl/>
              <w:jc w:val="right"/>
              <w:rPr>
                <w:color w:val="000000"/>
              </w:rPr>
            </w:pPr>
            <w:r w:rsidRPr="00EA45BE">
              <w:rPr>
                <w:color w:val="000000"/>
              </w:rPr>
              <w:t>-0.10</w:t>
            </w:r>
          </w:p>
        </w:tc>
        <w:tc>
          <w:tcPr>
            <w:tcW w:w="805" w:type="dxa"/>
            <w:tcBorders>
              <w:top w:val="nil"/>
              <w:left w:val="nil"/>
              <w:bottom w:val="nil"/>
              <w:right w:val="nil"/>
            </w:tcBorders>
            <w:shd w:val="clear" w:color="auto" w:fill="auto"/>
            <w:noWrap/>
            <w:vAlign w:val="bottom"/>
            <w:hideMark/>
          </w:tcPr>
          <w:p w14:paraId="78AF7703" w14:textId="77777777" w:rsidR="00EA45BE" w:rsidRPr="00EA45BE" w:rsidRDefault="00EA45BE" w:rsidP="00EA45BE">
            <w:pPr>
              <w:widowControl/>
              <w:jc w:val="right"/>
              <w:rPr>
                <w:color w:val="000000"/>
              </w:rPr>
            </w:pPr>
            <w:r w:rsidRPr="00EA45BE">
              <w:rPr>
                <w:color w:val="000000"/>
              </w:rPr>
              <w:t>0.93</w:t>
            </w:r>
          </w:p>
        </w:tc>
        <w:tc>
          <w:tcPr>
            <w:tcW w:w="1005" w:type="dxa"/>
            <w:tcBorders>
              <w:top w:val="nil"/>
              <w:left w:val="nil"/>
              <w:bottom w:val="nil"/>
              <w:right w:val="nil"/>
            </w:tcBorders>
            <w:shd w:val="clear" w:color="auto" w:fill="auto"/>
            <w:noWrap/>
            <w:vAlign w:val="bottom"/>
            <w:hideMark/>
          </w:tcPr>
          <w:p w14:paraId="7E75A898" w14:textId="77777777" w:rsidR="00EA45BE" w:rsidRPr="00EA45BE" w:rsidRDefault="00EA45BE" w:rsidP="00EA45BE">
            <w:pPr>
              <w:widowControl/>
              <w:jc w:val="right"/>
              <w:rPr>
                <w:color w:val="000000"/>
              </w:rPr>
            </w:pPr>
            <w:r w:rsidRPr="00EA45BE">
              <w:rPr>
                <w:color w:val="000000"/>
              </w:rPr>
              <w:t>73</w:t>
            </w:r>
          </w:p>
        </w:tc>
        <w:tc>
          <w:tcPr>
            <w:tcW w:w="800" w:type="dxa"/>
            <w:tcBorders>
              <w:top w:val="nil"/>
              <w:left w:val="nil"/>
              <w:bottom w:val="nil"/>
              <w:right w:val="nil"/>
            </w:tcBorders>
            <w:shd w:val="clear" w:color="auto" w:fill="auto"/>
            <w:noWrap/>
            <w:vAlign w:val="bottom"/>
            <w:hideMark/>
          </w:tcPr>
          <w:p w14:paraId="02D1CED3" w14:textId="77777777" w:rsidR="00EA45BE" w:rsidRPr="00EA45BE" w:rsidRDefault="00EA45BE" w:rsidP="00EA45BE">
            <w:pPr>
              <w:widowControl/>
              <w:jc w:val="right"/>
              <w:rPr>
                <w:color w:val="000000"/>
              </w:rPr>
            </w:pPr>
            <w:r w:rsidRPr="00EA45BE">
              <w:rPr>
                <w:color w:val="000000"/>
              </w:rPr>
              <w:t>0.01</w:t>
            </w:r>
          </w:p>
        </w:tc>
        <w:tc>
          <w:tcPr>
            <w:tcW w:w="800" w:type="dxa"/>
            <w:tcBorders>
              <w:top w:val="nil"/>
              <w:left w:val="nil"/>
              <w:bottom w:val="nil"/>
              <w:right w:val="nil"/>
            </w:tcBorders>
            <w:shd w:val="clear" w:color="auto" w:fill="auto"/>
            <w:noWrap/>
            <w:vAlign w:val="bottom"/>
            <w:hideMark/>
          </w:tcPr>
          <w:p w14:paraId="45F83504" w14:textId="77777777" w:rsidR="00EA45BE" w:rsidRPr="00EA45BE" w:rsidRDefault="00EA45BE" w:rsidP="00EA45BE">
            <w:pPr>
              <w:widowControl/>
              <w:jc w:val="right"/>
              <w:rPr>
                <w:color w:val="000000"/>
              </w:rPr>
            </w:pPr>
            <w:r w:rsidRPr="00EA45BE">
              <w:rPr>
                <w:color w:val="000000"/>
              </w:rPr>
              <w:t>0.86</w:t>
            </w:r>
          </w:p>
        </w:tc>
        <w:tc>
          <w:tcPr>
            <w:tcW w:w="1010" w:type="dxa"/>
            <w:tcBorders>
              <w:top w:val="nil"/>
              <w:left w:val="nil"/>
              <w:bottom w:val="nil"/>
              <w:right w:val="nil"/>
            </w:tcBorders>
            <w:shd w:val="clear" w:color="auto" w:fill="auto"/>
            <w:noWrap/>
            <w:vAlign w:val="bottom"/>
            <w:hideMark/>
          </w:tcPr>
          <w:p w14:paraId="5E16B56B" w14:textId="77777777" w:rsidR="00EA45BE" w:rsidRPr="00EA45BE" w:rsidRDefault="00EA45BE" w:rsidP="00EA45BE">
            <w:pPr>
              <w:widowControl/>
              <w:jc w:val="right"/>
              <w:rPr>
                <w:color w:val="000000"/>
              </w:rPr>
            </w:pPr>
            <w:r w:rsidRPr="00EA45BE">
              <w:rPr>
                <w:color w:val="000000"/>
              </w:rPr>
              <w:t>130</w:t>
            </w:r>
          </w:p>
        </w:tc>
        <w:tc>
          <w:tcPr>
            <w:tcW w:w="800" w:type="dxa"/>
            <w:tcBorders>
              <w:top w:val="nil"/>
              <w:left w:val="nil"/>
              <w:bottom w:val="nil"/>
              <w:right w:val="nil"/>
            </w:tcBorders>
            <w:shd w:val="clear" w:color="auto" w:fill="auto"/>
            <w:noWrap/>
            <w:vAlign w:val="bottom"/>
            <w:hideMark/>
          </w:tcPr>
          <w:p w14:paraId="283AA7FC" w14:textId="77777777" w:rsidR="00EA45BE" w:rsidRPr="00EA45BE" w:rsidRDefault="00EA45BE" w:rsidP="00EA45BE">
            <w:pPr>
              <w:widowControl/>
              <w:jc w:val="right"/>
              <w:rPr>
                <w:color w:val="000000"/>
              </w:rPr>
            </w:pPr>
            <w:r w:rsidRPr="00EA45BE">
              <w:rPr>
                <w:color w:val="000000"/>
              </w:rPr>
              <w:t>-0.12</w:t>
            </w:r>
          </w:p>
        </w:tc>
        <w:tc>
          <w:tcPr>
            <w:tcW w:w="800" w:type="dxa"/>
            <w:tcBorders>
              <w:top w:val="nil"/>
              <w:left w:val="nil"/>
              <w:bottom w:val="nil"/>
              <w:right w:val="nil"/>
            </w:tcBorders>
            <w:shd w:val="clear" w:color="auto" w:fill="auto"/>
            <w:noWrap/>
            <w:vAlign w:val="bottom"/>
            <w:hideMark/>
          </w:tcPr>
          <w:p w14:paraId="6D4B276A" w14:textId="77777777" w:rsidR="00EA45BE" w:rsidRPr="00EA45BE" w:rsidRDefault="00EA45BE" w:rsidP="00EA45BE">
            <w:pPr>
              <w:widowControl/>
              <w:jc w:val="right"/>
              <w:rPr>
                <w:color w:val="000000"/>
              </w:rPr>
            </w:pPr>
            <w:r w:rsidRPr="00EA45BE">
              <w:rPr>
                <w:color w:val="000000"/>
              </w:rPr>
              <w:t>0.86</w:t>
            </w:r>
          </w:p>
        </w:tc>
      </w:tr>
      <w:tr w:rsidR="00EA45BE" w:rsidRPr="00EA45BE" w14:paraId="1471E6DD" w14:textId="77777777" w:rsidTr="002040D4">
        <w:trPr>
          <w:trHeight w:val="310"/>
        </w:trPr>
        <w:tc>
          <w:tcPr>
            <w:tcW w:w="1800" w:type="dxa"/>
            <w:tcBorders>
              <w:top w:val="nil"/>
              <w:left w:val="nil"/>
              <w:bottom w:val="nil"/>
              <w:right w:val="nil"/>
            </w:tcBorders>
            <w:shd w:val="clear" w:color="auto" w:fill="auto"/>
            <w:noWrap/>
            <w:vAlign w:val="bottom"/>
            <w:hideMark/>
          </w:tcPr>
          <w:p w14:paraId="223879DD" w14:textId="77777777" w:rsidR="00EA45BE" w:rsidRPr="00EA45BE" w:rsidRDefault="00EA45BE" w:rsidP="00EA45BE">
            <w:pPr>
              <w:widowControl/>
              <w:rPr>
                <w:color w:val="000000"/>
              </w:rPr>
            </w:pPr>
            <w:r w:rsidRPr="00EA45BE">
              <w:rPr>
                <w:color w:val="000000"/>
              </w:rPr>
              <w:t>SWS c</w:t>
            </w:r>
          </w:p>
        </w:tc>
        <w:tc>
          <w:tcPr>
            <w:tcW w:w="1106" w:type="dxa"/>
            <w:tcBorders>
              <w:top w:val="nil"/>
              <w:left w:val="nil"/>
              <w:bottom w:val="nil"/>
              <w:right w:val="nil"/>
            </w:tcBorders>
            <w:shd w:val="clear" w:color="auto" w:fill="auto"/>
            <w:noWrap/>
            <w:vAlign w:val="bottom"/>
            <w:hideMark/>
          </w:tcPr>
          <w:p w14:paraId="6BA7E421" w14:textId="77777777" w:rsidR="00EA45BE" w:rsidRPr="00EA45BE" w:rsidRDefault="00EA45BE" w:rsidP="00EA45BE">
            <w:pPr>
              <w:widowControl/>
              <w:jc w:val="right"/>
              <w:rPr>
                <w:color w:val="000000"/>
              </w:rPr>
            </w:pPr>
            <w:r w:rsidRPr="00EA45BE">
              <w:rPr>
                <w:color w:val="000000"/>
              </w:rPr>
              <w:t>212</w:t>
            </w:r>
          </w:p>
        </w:tc>
        <w:tc>
          <w:tcPr>
            <w:tcW w:w="756" w:type="dxa"/>
            <w:tcBorders>
              <w:top w:val="nil"/>
              <w:left w:val="nil"/>
              <w:bottom w:val="nil"/>
              <w:right w:val="nil"/>
            </w:tcBorders>
            <w:shd w:val="clear" w:color="auto" w:fill="auto"/>
            <w:noWrap/>
            <w:vAlign w:val="bottom"/>
            <w:hideMark/>
          </w:tcPr>
          <w:p w14:paraId="22E7C5D1" w14:textId="77777777" w:rsidR="00EA45BE" w:rsidRPr="00EA45BE" w:rsidRDefault="00EA45BE" w:rsidP="00EA45BE">
            <w:pPr>
              <w:widowControl/>
              <w:jc w:val="right"/>
              <w:rPr>
                <w:color w:val="000000"/>
              </w:rPr>
            </w:pPr>
            <w:r w:rsidRPr="00EA45BE">
              <w:rPr>
                <w:color w:val="000000"/>
              </w:rPr>
              <w:t>-0.19</w:t>
            </w:r>
          </w:p>
        </w:tc>
        <w:tc>
          <w:tcPr>
            <w:tcW w:w="800" w:type="dxa"/>
            <w:tcBorders>
              <w:top w:val="nil"/>
              <w:left w:val="nil"/>
              <w:bottom w:val="nil"/>
              <w:right w:val="nil"/>
            </w:tcBorders>
            <w:shd w:val="clear" w:color="auto" w:fill="auto"/>
            <w:noWrap/>
            <w:vAlign w:val="bottom"/>
            <w:hideMark/>
          </w:tcPr>
          <w:p w14:paraId="309CB845" w14:textId="77777777" w:rsidR="00EA45BE" w:rsidRPr="00EA45BE" w:rsidRDefault="00EA45BE" w:rsidP="00EA45BE">
            <w:pPr>
              <w:widowControl/>
              <w:jc w:val="right"/>
              <w:rPr>
                <w:color w:val="000000"/>
              </w:rPr>
            </w:pPr>
            <w:r w:rsidRPr="00EA45BE">
              <w:rPr>
                <w:color w:val="000000"/>
              </w:rPr>
              <w:t>0.67</w:t>
            </w:r>
          </w:p>
        </w:tc>
        <w:tc>
          <w:tcPr>
            <w:tcW w:w="1000" w:type="dxa"/>
            <w:tcBorders>
              <w:top w:val="nil"/>
              <w:left w:val="nil"/>
              <w:bottom w:val="nil"/>
              <w:right w:val="nil"/>
            </w:tcBorders>
            <w:shd w:val="clear" w:color="auto" w:fill="auto"/>
            <w:noWrap/>
            <w:vAlign w:val="bottom"/>
            <w:hideMark/>
          </w:tcPr>
          <w:p w14:paraId="075604A3" w14:textId="77777777" w:rsidR="00EA45BE" w:rsidRPr="00EA45BE" w:rsidRDefault="00EA45BE" w:rsidP="00EA45BE">
            <w:pPr>
              <w:widowControl/>
              <w:jc w:val="right"/>
              <w:rPr>
                <w:color w:val="000000"/>
              </w:rPr>
            </w:pPr>
            <w:r w:rsidRPr="00EA45BE">
              <w:rPr>
                <w:color w:val="000000"/>
              </w:rPr>
              <w:t>106</w:t>
            </w:r>
          </w:p>
        </w:tc>
        <w:tc>
          <w:tcPr>
            <w:tcW w:w="800" w:type="dxa"/>
            <w:tcBorders>
              <w:top w:val="nil"/>
              <w:left w:val="nil"/>
              <w:bottom w:val="nil"/>
              <w:right w:val="nil"/>
            </w:tcBorders>
            <w:shd w:val="clear" w:color="auto" w:fill="auto"/>
            <w:noWrap/>
            <w:vAlign w:val="bottom"/>
            <w:hideMark/>
          </w:tcPr>
          <w:p w14:paraId="09FCA554" w14:textId="77777777" w:rsidR="00EA45BE" w:rsidRPr="00EA45BE" w:rsidRDefault="00EA45BE" w:rsidP="00EA45BE">
            <w:pPr>
              <w:widowControl/>
              <w:jc w:val="right"/>
              <w:rPr>
                <w:color w:val="000000"/>
              </w:rPr>
            </w:pPr>
            <w:r w:rsidRPr="00EA45BE">
              <w:rPr>
                <w:color w:val="000000"/>
              </w:rPr>
              <w:t>-0.27</w:t>
            </w:r>
          </w:p>
        </w:tc>
        <w:tc>
          <w:tcPr>
            <w:tcW w:w="805" w:type="dxa"/>
            <w:tcBorders>
              <w:top w:val="nil"/>
              <w:left w:val="nil"/>
              <w:bottom w:val="nil"/>
              <w:right w:val="nil"/>
            </w:tcBorders>
            <w:shd w:val="clear" w:color="auto" w:fill="auto"/>
            <w:noWrap/>
            <w:vAlign w:val="bottom"/>
            <w:hideMark/>
          </w:tcPr>
          <w:p w14:paraId="3C5F3F43" w14:textId="77777777" w:rsidR="00EA45BE" w:rsidRPr="00EA45BE" w:rsidRDefault="00EA45BE" w:rsidP="00EA45BE">
            <w:pPr>
              <w:widowControl/>
              <w:jc w:val="right"/>
              <w:rPr>
                <w:color w:val="000000"/>
              </w:rPr>
            </w:pPr>
            <w:r w:rsidRPr="00EA45BE">
              <w:rPr>
                <w:color w:val="000000"/>
              </w:rPr>
              <w:t>0.57</w:t>
            </w:r>
          </w:p>
        </w:tc>
        <w:tc>
          <w:tcPr>
            <w:tcW w:w="1005" w:type="dxa"/>
            <w:tcBorders>
              <w:top w:val="nil"/>
              <w:left w:val="nil"/>
              <w:bottom w:val="nil"/>
              <w:right w:val="nil"/>
            </w:tcBorders>
            <w:shd w:val="clear" w:color="auto" w:fill="auto"/>
            <w:noWrap/>
            <w:vAlign w:val="bottom"/>
            <w:hideMark/>
          </w:tcPr>
          <w:p w14:paraId="2D0ACC93" w14:textId="77777777" w:rsidR="00EA45BE" w:rsidRPr="00EA45BE" w:rsidRDefault="00EA45BE" w:rsidP="00EA45BE">
            <w:pPr>
              <w:widowControl/>
              <w:jc w:val="right"/>
              <w:rPr>
                <w:color w:val="000000"/>
              </w:rPr>
            </w:pPr>
            <w:r w:rsidRPr="00EA45BE">
              <w:rPr>
                <w:color w:val="000000"/>
              </w:rPr>
              <w:t>73</w:t>
            </w:r>
          </w:p>
        </w:tc>
        <w:tc>
          <w:tcPr>
            <w:tcW w:w="800" w:type="dxa"/>
            <w:tcBorders>
              <w:top w:val="nil"/>
              <w:left w:val="nil"/>
              <w:bottom w:val="nil"/>
              <w:right w:val="nil"/>
            </w:tcBorders>
            <w:shd w:val="clear" w:color="auto" w:fill="auto"/>
            <w:noWrap/>
            <w:vAlign w:val="bottom"/>
            <w:hideMark/>
          </w:tcPr>
          <w:p w14:paraId="1256F813" w14:textId="77777777" w:rsidR="00EA45BE" w:rsidRPr="00EA45BE" w:rsidRDefault="00EA45BE" w:rsidP="00EA45BE">
            <w:pPr>
              <w:widowControl/>
              <w:jc w:val="right"/>
              <w:rPr>
                <w:color w:val="000000"/>
              </w:rPr>
            </w:pPr>
            <w:r w:rsidRPr="00EA45BE">
              <w:rPr>
                <w:color w:val="000000"/>
              </w:rPr>
              <w:t>-0.41</w:t>
            </w:r>
          </w:p>
        </w:tc>
        <w:tc>
          <w:tcPr>
            <w:tcW w:w="800" w:type="dxa"/>
            <w:tcBorders>
              <w:top w:val="nil"/>
              <w:left w:val="nil"/>
              <w:bottom w:val="nil"/>
              <w:right w:val="nil"/>
            </w:tcBorders>
            <w:shd w:val="clear" w:color="auto" w:fill="auto"/>
            <w:noWrap/>
            <w:vAlign w:val="bottom"/>
            <w:hideMark/>
          </w:tcPr>
          <w:p w14:paraId="2D77AE1F" w14:textId="77777777" w:rsidR="00EA45BE" w:rsidRPr="00EA45BE" w:rsidRDefault="00EA45BE" w:rsidP="00EA45BE">
            <w:pPr>
              <w:widowControl/>
              <w:jc w:val="right"/>
              <w:rPr>
                <w:color w:val="000000"/>
              </w:rPr>
            </w:pPr>
            <w:r w:rsidRPr="00EA45BE">
              <w:rPr>
                <w:color w:val="000000"/>
              </w:rPr>
              <w:t>0.46</w:t>
            </w:r>
          </w:p>
        </w:tc>
        <w:tc>
          <w:tcPr>
            <w:tcW w:w="1010" w:type="dxa"/>
            <w:tcBorders>
              <w:top w:val="nil"/>
              <w:left w:val="nil"/>
              <w:bottom w:val="nil"/>
              <w:right w:val="nil"/>
            </w:tcBorders>
            <w:shd w:val="clear" w:color="auto" w:fill="auto"/>
            <w:noWrap/>
            <w:vAlign w:val="bottom"/>
            <w:hideMark/>
          </w:tcPr>
          <w:p w14:paraId="635F9E19" w14:textId="77777777" w:rsidR="00EA45BE" w:rsidRPr="00EA45BE" w:rsidRDefault="00EA45BE" w:rsidP="00EA45BE">
            <w:pPr>
              <w:widowControl/>
              <w:jc w:val="right"/>
              <w:rPr>
                <w:color w:val="000000"/>
              </w:rPr>
            </w:pPr>
            <w:r w:rsidRPr="00EA45BE">
              <w:rPr>
                <w:color w:val="000000"/>
              </w:rPr>
              <w:t>130</w:t>
            </w:r>
          </w:p>
        </w:tc>
        <w:tc>
          <w:tcPr>
            <w:tcW w:w="800" w:type="dxa"/>
            <w:tcBorders>
              <w:top w:val="nil"/>
              <w:left w:val="nil"/>
              <w:bottom w:val="nil"/>
              <w:right w:val="nil"/>
            </w:tcBorders>
            <w:shd w:val="clear" w:color="auto" w:fill="auto"/>
            <w:noWrap/>
            <w:vAlign w:val="bottom"/>
            <w:hideMark/>
          </w:tcPr>
          <w:p w14:paraId="6640FFD1" w14:textId="77777777" w:rsidR="00EA45BE" w:rsidRPr="00EA45BE" w:rsidRDefault="00EA45BE" w:rsidP="00EA45BE">
            <w:pPr>
              <w:widowControl/>
              <w:jc w:val="right"/>
              <w:rPr>
                <w:color w:val="000000"/>
              </w:rPr>
            </w:pPr>
            <w:r w:rsidRPr="00EA45BE">
              <w:rPr>
                <w:color w:val="000000"/>
              </w:rPr>
              <w:t>-0.39</w:t>
            </w:r>
          </w:p>
        </w:tc>
        <w:tc>
          <w:tcPr>
            <w:tcW w:w="800" w:type="dxa"/>
            <w:tcBorders>
              <w:top w:val="nil"/>
              <w:left w:val="nil"/>
              <w:bottom w:val="nil"/>
              <w:right w:val="nil"/>
            </w:tcBorders>
            <w:shd w:val="clear" w:color="auto" w:fill="auto"/>
            <w:noWrap/>
            <w:vAlign w:val="bottom"/>
            <w:hideMark/>
          </w:tcPr>
          <w:p w14:paraId="66A2F3DA" w14:textId="77777777" w:rsidR="00EA45BE" w:rsidRPr="00EA45BE" w:rsidRDefault="00EA45BE" w:rsidP="00EA45BE">
            <w:pPr>
              <w:widowControl/>
              <w:jc w:val="right"/>
              <w:rPr>
                <w:color w:val="000000"/>
              </w:rPr>
            </w:pPr>
            <w:r w:rsidRPr="00EA45BE">
              <w:rPr>
                <w:color w:val="000000"/>
              </w:rPr>
              <w:t>0.62</w:t>
            </w:r>
          </w:p>
        </w:tc>
      </w:tr>
      <w:tr w:rsidR="00EA45BE" w:rsidRPr="00EA45BE" w14:paraId="0D6ECB25" w14:textId="77777777" w:rsidTr="002040D4">
        <w:trPr>
          <w:trHeight w:val="310"/>
        </w:trPr>
        <w:tc>
          <w:tcPr>
            <w:tcW w:w="1800" w:type="dxa"/>
            <w:tcBorders>
              <w:top w:val="nil"/>
              <w:left w:val="nil"/>
              <w:bottom w:val="nil"/>
              <w:right w:val="nil"/>
            </w:tcBorders>
            <w:shd w:val="clear" w:color="auto" w:fill="auto"/>
            <w:noWrap/>
            <w:vAlign w:val="bottom"/>
            <w:hideMark/>
          </w:tcPr>
          <w:p w14:paraId="70B258A4" w14:textId="77777777" w:rsidR="00EA45BE" w:rsidRPr="00EA45BE" w:rsidRDefault="00EA45BE" w:rsidP="00EA45BE">
            <w:pPr>
              <w:widowControl/>
              <w:rPr>
                <w:color w:val="000000"/>
              </w:rPr>
            </w:pPr>
            <w:r w:rsidRPr="00EA45BE">
              <w:rPr>
                <w:color w:val="000000"/>
              </w:rPr>
              <w:t>CH nu (prior)</w:t>
            </w:r>
          </w:p>
        </w:tc>
        <w:tc>
          <w:tcPr>
            <w:tcW w:w="1106" w:type="dxa"/>
            <w:tcBorders>
              <w:top w:val="nil"/>
              <w:left w:val="nil"/>
              <w:bottom w:val="nil"/>
              <w:right w:val="nil"/>
            </w:tcBorders>
            <w:shd w:val="clear" w:color="auto" w:fill="auto"/>
            <w:noWrap/>
            <w:vAlign w:val="bottom"/>
            <w:hideMark/>
          </w:tcPr>
          <w:p w14:paraId="04FF79CD" w14:textId="77777777" w:rsidR="00EA45BE" w:rsidRPr="00EA45BE" w:rsidRDefault="00EA45BE" w:rsidP="00EA45BE">
            <w:pPr>
              <w:widowControl/>
              <w:jc w:val="right"/>
              <w:rPr>
                <w:color w:val="000000"/>
              </w:rPr>
            </w:pPr>
            <w:r w:rsidRPr="00EA45BE">
              <w:rPr>
                <w:color w:val="000000"/>
              </w:rPr>
              <w:t>207</w:t>
            </w:r>
          </w:p>
        </w:tc>
        <w:tc>
          <w:tcPr>
            <w:tcW w:w="756" w:type="dxa"/>
            <w:tcBorders>
              <w:top w:val="nil"/>
              <w:left w:val="nil"/>
              <w:bottom w:val="nil"/>
              <w:right w:val="nil"/>
            </w:tcBorders>
            <w:shd w:val="clear" w:color="auto" w:fill="auto"/>
            <w:noWrap/>
            <w:vAlign w:val="bottom"/>
            <w:hideMark/>
          </w:tcPr>
          <w:p w14:paraId="57F06871" w14:textId="77777777" w:rsidR="00EA45BE" w:rsidRPr="00EA45BE" w:rsidRDefault="00EA45BE" w:rsidP="00EA45BE">
            <w:pPr>
              <w:widowControl/>
              <w:jc w:val="right"/>
              <w:rPr>
                <w:color w:val="000000"/>
              </w:rPr>
            </w:pPr>
            <w:r w:rsidRPr="00EA45BE">
              <w:rPr>
                <w:color w:val="000000"/>
              </w:rPr>
              <w:t>0.68</w:t>
            </w:r>
          </w:p>
        </w:tc>
        <w:tc>
          <w:tcPr>
            <w:tcW w:w="800" w:type="dxa"/>
            <w:tcBorders>
              <w:top w:val="nil"/>
              <w:left w:val="nil"/>
              <w:bottom w:val="nil"/>
              <w:right w:val="nil"/>
            </w:tcBorders>
            <w:shd w:val="clear" w:color="auto" w:fill="auto"/>
            <w:noWrap/>
            <w:vAlign w:val="bottom"/>
            <w:hideMark/>
          </w:tcPr>
          <w:p w14:paraId="3CE38F04" w14:textId="77777777" w:rsidR="00EA45BE" w:rsidRPr="00EA45BE" w:rsidRDefault="00EA45BE" w:rsidP="00EA45BE">
            <w:pPr>
              <w:widowControl/>
              <w:jc w:val="right"/>
              <w:rPr>
                <w:color w:val="000000"/>
              </w:rPr>
            </w:pPr>
            <w:r w:rsidRPr="00EA45BE">
              <w:rPr>
                <w:color w:val="000000"/>
              </w:rPr>
              <w:t>0.70</w:t>
            </w:r>
          </w:p>
        </w:tc>
        <w:tc>
          <w:tcPr>
            <w:tcW w:w="1000" w:type="dxa"/>
            <w:tcBorders>
              <w:top w:val="nil"/>
              <w:left w:val="nil"/>
              <w:bottom w:val="nil"/>
              <w:right w:val="nil"/>
            </w:tcBorders>
            <w:shd w:val="clear" w:color="auto" w:fill="auto"/>
            <w:noWrap/>
            <w:vAlign w:val="bottom"/>
            <w:hideMark/>
          </w:tcPr>
          <w:p w14:paraId="00F26FBD" w14:textId="77777777" w:rsidR="00EA45BE" w:rsidRPr="00EA45BE" w:rsidRDefault="00EA45BE" w:rsidP="00EA45BE">
            <w:pPr>
              <w:widowControl/>
              <w:jc w:val="right"/>
              <w:rPr>
                <w:color w:val="000000"/>
              </w:rPr>
            </w:pPr>
            <w:r w:rsidRPr="00EA45BE">
              <w:rPr>
                <w:color w:val="000000"/>
              </w:rPr>
              <w:t>99</w:t>
            </w:r>
          </w:p>
        </w:tc>
        <w:tc>
          <w:tcPr>
            <w:tcW w:w="800" w:type="dxa"/>
            <w:tcBorders>
              <w:top w:val="nil"/>
              <w:left w:val="nil"/>
              <w:bottom w:val="nil"/>
              <w:right w:val="nil"/>
            </w:tcBorders>
            <w:shd w:val="clear" w:color="auto" w:fill="auto"/>
            <w:noWrap/>
            <w:vAlign w:val="bottom"/>
            <w:hideMark/>
          </w:tcPr>
          <w:p w14:paraId="6FB54C9F" w14:textId="77777777" w:rsidR="00EA45BE" w:rsidRPr="00EA45BE" w:rsidRDefault="00EA45BE" w:rsidP="00EA45BE">
            <w:pPr>
              <w:widowControl/>
              <w:jc w:val="right"/>
              <w:rPr>
                <w:color w:val="000000"/>
              </w:rPr>
            </w:pPr>
            <w:r w:rsidRPr="00EA45BE">
              <w:rPr>
                <w:color w:val="000000"/>
              </w:rPr>
              <w:t>0.66</w:t>
            </w:r>
          </w:p>
        </w:tc>
        <w:tc>
          <w:tcPr>
            <w:tcW w:w="805" w:type="dxa"/>
            <w:tcBorders>
              <w:top w:val="nil"/>
              <w:left w:val="nil"/>
              <w:bottom w:val="nil"/>
              <w:right w:val="nil"/>
            </w:tcBorders>
            <w:shd w:val="clear" w:color="auto" w:fill="auto"/>
            <w:noWrap/>
            <w:vAlign w:val="bottom"/>
            <w:hideMark/>
          </w:tcPr>
          <w:p w14:paraId="19495AFD" w14:textId="77777777" w:rsidR="00EA45BE" w:rsidRPr="00EA45BE" w:rsidRDefault="00EA45BE" w:rsidP="00EA45BE">
            <w:pPr>
              <w:widowControl/>
              <w:jc w:val="right"/>
              <w:rPr>
                <w:color w:val="000000"/>
              </w:rPr>
            </w:pPr>
            <w:r w:rsidRPr="00EA45BE">
              <w:rPr>
                <w:color w:val="000000"/>
              </w:rPr>
              <w:t>0.50</w:t>
            </w:r>
          </w:p>
        </w:tc>
        <w:tc>
          <w:tcPr>
            <w:tcW w:w="1005" w:type="dxa"/>
            <w:tcBorders>
              <w:top w:val="nil"/>
              <w:left w:val="nil"/>
              <w:bottom w:val="nil"/>
              <w:right w:val="nil"/>
            </w:tcBorders>
            <w:shd w:val="clear" w:color="auto" w:fill="auto"/>
            <w:noWrap/>
            <w:vAlign w:val="bottom"/>
            <w:hideMark/>
          </w:tcPr>
          <w:p w14:paraId="2E34583B" w14:textId="77777777" w:rsidR="00EA45BE" w:rsidRPr="00EA45BE" w:rsidRDefault="00EA45BE" w:rsidP="00EA45BE">
            <w:pPr>
              <w:widowControl/>
              <w:jc w:val="right"/>
              <w:rPr>
                <w:color w:val="000000"/>
              </w:rPr>
            </w:pPr>
            <w:r w:rsidRPr="00EA45BE">
              <w:rPr>
                <w:color w:val="000000"/>
              </w:rPr>
              <w:t>65</w:t>
            </w:r>
          </w:p>
        </w:tc>
        <w:tc>
          <w:tcPr>
            <w:tcW w:w="800" w:type="dxa"/>
            <w:tcBorders>
              <w:top w:val="nil"/>
              <w:left w:val="nil"/>
              <w:bottom w:val="nil"/>
              <w:right w:val="nil"/>
            </w:tcBorders>
            <w:shd w:val="clear" w:color="auto" w:fill="auto"/>
            <w:noWrap/>
            <w:vAlign w:val="bottom"/>
            <w:hideMark/>
          </w:tcPr>
          <w:p w14:paraId="29298B61" w14:textId="77777777" w:rsidR="00EA45BE" w:rsidRPr="00EA45BE" w:rsidRDefault="00EA45BE" w:rsidP="00EA45BE">
            <w:pPr>
              <w:widowControl/>
              <w:jc w:val="right"/>
              <w:rPr>
                <w:color w:val="000000"/>
              </w:rPr>
            </w:pPr>
            <w:r w:rsidRPr="00EA45BE">
              <w:rPr>
                <w:color w:val="000000"/>
              </w:rPr>
              <w:t>0.53</w:t>
            </w:r>
          </w:p>
        </w:tc>
        <w:tc>
          <w:tcPr>
            <w:tcW w:w="800" w:type="dxa"/>
            <w:tcBorders>
              <w:top w:val="nil"/>
              <w:left w:val="nil"/>
              <w:bottom w:val="nil"/>
              <w:right w:val="nil"/>
            </w:tcBorders>
            <w:shd w:val="clear" w:color="auto" w:fill="auto"/>
            <w:noWrap/>
            <w:vAlign w:val="bottom"/>
            <w:hideMark/>
          </w:tcPr>
          <w:p w14:paraId="39D4C7B4" w14:textId="77777777" w:rsidR="00EA45BE" w:rsidRPr="00EA45BE" w:rsidRDefault="00EA45BE" w:rsidP="00EA45BE">
            <w:pPr>
              <w:widowControl/>
              <w:jc w:val="right"/>
              <w:rPr>
                <w:color w:val="000000"/>
              </w:rPr>
            </w:pPr>
            <w:r w:rsidRPr="00EA45BE">
              <w:rPr>
                <w:color w:val="000000"/>
              </w:rPr>
              <w:t>0.46</w:t>
            </w:r>
          </w:p>
        </w:tc>
        <w:tc>
          <w:tcPr>
            <w:tcW w:w="1010" w:type="dxa"/>
            <w:tcBorders>
              <w:top w:val="nil"/>
              <w:left w:val="nil"/>
              <w:bottom w:val="nil"/>
              <w:right w:val="nil"/>
            </w:tcBorders>
            <w:shd w:val="clear" w:color="auto" w:fill="auto"/>
            <w:noWrap/>
            <w:vAlign w:val="bottom"/>
            <w:hideMark/>
          </w:tcPr>
          <w:p w14:paraId="32FE1876" w14:textId="77777777" w:rsidR="00EA45BE" w:rsidRPr="00EA45BE" w:rsidRDefault="00EA45BE" w:rsidP="00EA45BE">
            <w:pPr>
              <w:widowControl/>
              <w:jc w:val="right"/>
              <w:rPr>
                <w:color w:val="000000"/>
              </w:rPr>
            </w:pPr>
            <w:r w:rsidRPr="00EA45BE">
              <w:rPr>
                <w:color w:val="000000"/>
              </w:rPr>
              <w:t>124</w:t>
            </w:r>
          </w:p>
        </w:tc>
        <w:tc>
          <w:tcPr>
            <w:tcW w:w="800" w:type="dxa"/>
            <w:tcBorders>
              <w:top w:val="nil"/>
              <w:left w:val="nil"/>
              <w:bottom w:val="nil"/>
              <w:right w:val="nil"/>
            </w:tcBorders>
            <w:shd w:val="clear" w:color="auto" w:fill="auto"/>
            <w:noWrap/>
            <w:vAlign w:val="bottom"/>
            <w:hideMark/>
          </w:tcPr>
          <w:p w14:paraId="58FD3910" w14:textId="77777777" w:rsidR="00EA45BE" w:rsidRPr="00EA45BE" w:rsidRDefault="00EA45BE" w:rsidP="00EA45BE">
            <w:pPr>
              <w:widowControl/>
              <w:jc w:val="right"/>
              <w:rPr>
                <w:color w:val="000000"/>
              </w:rPr>
            </w:pPr>
            <w:r w:rsidRPr="00EA45BE">
              <w:rPr>
                <w:color w:val="000000"/>
              </w:rPr>
              <w:t>0.67</w:t>
            </w:r>
          </w:p>
        </w:tc>
        <w:tc>
          <w:tcPr>
            <w:tcW w:w="800" w:type="dxa"/>
            <w:tcBorders>
              <w:top w:val="nil"/>
              <w:left w:val="nil"/>
              <w:bottom w:val="nil"/>
              <w:right w:val="nil"/>
            </w:tcBorders>
            <w:shd w:val="clear" w:color="auto" w:fill="auto"/>
            <w:noWrap/>
            <w:vAlign w:val="bottom"/>
            <w:hideMark/>
          </w:tcPr>
          <w:p w14:paraId="0582FE9F" w14:textId="77777777" w:rsidR="00EA45BE" w:rsidRPr="00EA45BE" w:rsidRDefault="00EA45BE" w:rsidP="00EA45BE">
            <w:pPr>
              <w:widowControl/>
              <w:jc w:val="right"/>
              <w:rPr>
                <w:color w:val="000000"/>
              </w:rPr>
            </w:pPr>
            <w:r w:rsidRPr="00EA45BE">
              <w:rPr>
                <w:color w:val="000000"/>
              </w:rPr>
              <w:t>0.63</w:t>
            </w:r>
          </w:p>
        </w:tc>
      </w:tr>
      <w:tr w:rsidR="00EA45BE" w:rsidRPr="00EA45BE" w14:paraId="28147AD4" w14:textId="77777777" w:rsidTr="002040D4">
        <w:trPr>
          <w:trHeight w:val="310"/>
        </w:trPr>
        <w:tc>
          <w:tcPr>
            <w:tcW w:w="1800" w:type="dxa"/>
            <w:tcBorders>
              <w:top w:val="nil"/>
              <w:left w:val="nil"/>
              <w:bottom w:val="nil"/>
              <w:right w:val="nil"/>
            </w:tcBorders>
            <w:shd w:val="clear" w:color="auto" w:fill="auto"/>
            <w:noWrap/>
            <w:vAlign w:val="bottom"/>
            <w:hideMark/>
          </w:tcPr>
          <w:p w14:paraId="6E73F273" w14:textId="77777777" w:rsidR="00EA45BE" w:rsidRPr="00EA45BE" w:rsidRDefault="00EA45BE" w:rsidP="00EA45BE">
            <w:pPr>
              <w:widowControl/>
              <w:rPr>
                <w:color w:val="000000"/>
              </w:rPr>
            </w:pPr>
            <w:r w:rsidRPr="00EA45BE">
              <w:rPr>
                <w:color w:val="000000"/>
              </w:rPr>
              <w:t>CH omega3</w:t>
            </w:r>
          </w:p>
        </w:tc>
        <w:tc>
          <w:tcPr>
            <w:tcW w:w="1106" w:type="dxa"/>
            <w:tcBorders>
              <w:top w:val="nil"/>
              <w:left w:val="nil"/>
              <w:bottom w:val="nil"/>
              <w:right w:val="nil"/>
            </w:tcBorders>
            <w:shd w:val="clear" w:color="auto" w:fill="auto"/>
            <w:noWrap/>
            <w:vAlign w:val="bottom"/>
            <w:hideMark/>
          </w:tcPr>
          <w:p w14:paraId="712925D4" w14:textId="77777777" w:rsidR="00EA45BE" w:rsidRPr="00EA45BE" w:rsidRDefault="00EA45BE" w:rsidP="00EA45BE">
            <w:pPr>
              <w:widowControl/>
              <w:jc w:val="right"/>
              <w:rPr>
                <w:color w:val="000000"/>
              </w:rPr>
            </w:pPr>
            <w:r w:rsidRPr="00EA45BE">
              <w:rPr>
                <w:color w:val="000000"/>
              </w:rPr>
              <w:t>207</w:t>
            </w:r>
          </w:p>
        </w:tc>
        <w:tc>
          <w:tcPr>
            <w:tcW w:w="756" w:type="dxa"/>
            <w:tcBorders>
              <w:top w:val="nil"/>
              <w:left w:val="nil"/>
              <w:bottom w:val="nil"/>
              <w:right w:val="nil"/>
            </w:tcBorders>
            <w:shd w:val="clear" w:color="auto" w:fill="auto"/>
            <w:noWrap/>
            <w:vAlign w:val="bottom"/>
            <w:hideMark/>
          </w:tcPr>
          <w:p w14:paraId="529D2030" w14:textId="77777777" w:rsidR="00EA45BE" w:rsidRPr="00EA45BE" w:rsidRDefault="00EA45BE" w:rsidP="00EA45BE">
            <w:pPr>
              <w:widowControl/>
              <w:jc w:val="right"/>
              <w:rPr>
                <w:color w:val="000000"/>
              </w:rPr>
            </w:pPr>
            <w:r w:rsidRPr="00EA45BE">
              <w:rPr>
                <w:color w:val="000000"/>
              </w:rPr>
              <w:t>-6.02</w:t>
            </w:r>
          </w:p>
        </w:tc>
        <w:tc>
          <w:tcPr>
            <w:tcW w:w="800" w:type="dxa"/>
            <w:tcBorders>
              <w:top w:val="nil"/>
              <w:left w:val="nil"/>
              <w:bottom w:val="nil"/>
              <w:right w:val="nil"/>
            </w:tcBorders>
            <w:shd w:val="clear" w:color="auto" w:fill="auto"/>
            <w:noWrap/>
            <w:vAlign w:val="bottom"/>
            <w:hideMark/>
          </w:tcPr>
          <w:p w14:paraId="70E8BA1C" w14:textId="77777777" w:rsidR="00EA45BE" w:rsidRPr="00EA45BE" w:rsidRDefault="00EA45BE" w:rsidP="00EA45BE">
            <w:pPr>
              <w:widowControl/>
              <w:jc w:val="right"/>
              <w:rPr>
                <w:color w:val="000000"/>
              </w:rPr>
            </w:pPr>
            <w:r w:rsidRPr="00EA45BE">
              <w:rPr>
                <w:color w:val="000000"/>
              </w:rPr>
              <w:t>0.48</w:t>
            </w:r>
          </w:p>
        </w:tc>
        <w:tc>
          <w:tcPr>
            <w:tcW w:w="1000" w:type="dxa"/>
            <w:tcBorders>
              <w:top w:val="nil"/>
              <w:left w:val="nil"/>
              <w:bottom w:val="nil"/>
              <w:right w:val="nil"/>
            </w:tcBorders>
            <w:shd w:val="clear" w:color="auto" w:fill="auto"/>
            <w:noWrap/>
            <w:vAlign w:val="bottom"/>
            <w:hideMark/>
          </w:tcPr>
          <w:p w14:paraId="2B38BADC" w14:textId="77777777" w:rsidR="00EA45BE" w:rsidRPr="00EA45BE" w:rsidRDefault="00EA45BE" w:rsidP="00EA45BE">
            <w:pPr>
              <w:widowControl/>
              <w:jc w:val="right"/>
              <w:rPr>
                <w:color w:val="000000"/>
              </w:rPr>
            </w:pPr>
            <w:r w:rsidRPr="00EA45BE">
              <w:rPr>
                <w:color w:val="000000"/>
              </w:rPr>
              <w:t>99</w:t>
            </w:r>
          </w:p>
        </w:tc>
        <w:tc>
          <w:tcPr>
            <w:tcW w:w="800" w:type="dxa"/>
            <w:tcBorders>
              <w:top w:val="nil"/>
              <w:left w:val="nil"/>
              <w:bottom w:val="nil"/>
              <w:right w:val="nil"/>
            </w:tcBorders>
            <w:shd w:val="clear" w:color="auto" w:fill="auto"/>
            <w:noWrap/>
            <w:vAlign w:val="bottom"/>
            <w:hideMark/>
          </w:tcPr>
          <w:p w14:paraId="3A6558F9" w14:textId="77777777" w:rsidR="00EA45BE" w:rsidRPr="00EA45BE" w:rsidRDefault="00EA45BE" w:rsidP="00EA45BE">
            <w:pPr>
              <w:widowControl/>
              <w:jc w:val="right"/>
              <w:rPr>
                <w:color w:val="000000"/>
              </w:rPr>
            </w:pPr>
            <w:r w:rsidRPr="00EA45BE">
              <w:rPr>
                <w:color w:val="000000"/>
              </w:rPr>
              <w:t>-6.02</w:t>
            </w:r>
          </w:p>
        </w:tc>
        <w:tc>
          <w:tcPr>
            <w:tcW w:w="805" w:type="dxa"/>
            <w:tcBorders>
              <w:top w:val="nil"/>
              <w:left w:val="nil"/>
              <w:bottom w:val="nil"/>
              <w:right w:val="nil"/>
            </w:tcBorders>
            <w:shd w:val="clear" w:color="auto" w:fill="auto"/>
            <w:noWrap/>
            <w:vAlign w:val="bottom"/>
            <w:hideMark/>
          </w:tcPr>
          <w:p w14:paraId="5D131422" w14:textId="77777777" w:rsidR="00EA45BE" w:rsidRPr="00EA45BE" w:rsidRDefault="00EA45BE" w:rsidP="00EA45BE">
            <w:pPr>
              <w:widowControl/>
              <w:jc w:val="right"/>
              <w:rPr>
                <w:color w:val="000000"/>
              </w:rPr>
            </w:pPr>
            <w:r w:rsidRPr="00EA45BE">
              <w:rPr>
                <w:color w:val="000000"/>
              </w:rPr>
              <w:t>0.50</w:t>
            </w:r>
          </w:p>
        </w:tc>
        <w:tc>
          <w:tcPr>
            <w:tcW w:w="1005" w:type="dxa"/>
            <w:tcBorders>
              <w:top w:val="nil"/>
              <w:left w:val="nil"/>
              <w:bottom w:val="nil"/>
              <w:right w:val="nil"/>
            </w:tcBorders>
            <w:shd w:val="clear" w:color="auto" w:fill="auto"/>
            <w:noWrap/>
            <w:vAlign w:val="bottom"/>
            <w:hideMark/>
          </w:tcPr>
          <w:p w14:paraId="3FF847B9" w14:textId="77777777" w:rsidR="00EA45BE" w:rsidRPr="00EA45BE" w:rsidRDefault="00EA45BE" w:rsidP="00EA45BE">
            <w:pPr>
              <w:widowControl/>
              <w:jc w:val="right"/>
              <w:rPr>
                <w:color w:val="000000"/>
              </w:rPr>
            </w:pPr>
            <w:r w:rsidRPr="00EA45BE">
              <w:rPr>
                <w:color w:val="000000"/>
              </w:rPr>
              <w:t>65</w:t>
            </w:r>
          </w:p>
        </w:tc>
        <w:tc>
          <w:tcPr>
            <w:tcW w:w="800" w:type="dxa"/>
            <w:tcBorders>
              <w:top w:val="nil"/>
              <w:left w:val="nil"/>
              <w:bottom w:val="nil"/>
              <w:right w:val="nil"/>
            </w:tcBorders>
            <w:shd w:val="clear" w:color="auto" w:fill="auto"/>
            <w:noWrap/>
            <w:vAlign w:val="bottom"/>
            <w:hideMark/>
          </w:tcPr>
          <w:p w14:paraId="32E46936" w14:textId="77777777" w:rsidR="00EA45BE" w:rsidRPr="00EA45BE" w:rsidRDefault="00EA45BE" w:rsidP="00EA45BE">
            <w:pPr>
              <w:widowControl/>
              <w:jc w:val="right"/>
              <w:rPr>
                <w:color w:val="000000"/>
              </w:rPr>
            </w:pPr>
            <w:r w:rsidRPr="00EA45BE">
              <w:rPr>
                <w:color w:val="000000"/>
              </w:rPr>
              <w:t>-6.08</w:t>
            </w:r>
          </w:p>
        </w:tc>
        <w:tc>
          <w:tcPr>
            <w:tcW w:w="800" w:type="dxa"/>
            <w:tcBorders>
              <w:top w:val="nil"/>
              <w:left w:val="nil"/>
              <w:bottom w:val="nil"/>
              <w:right w:val="nil"/>
            </w:tcBorders>
            <w:shd w:val="clear" w:color="auto" w:fill="auto"/>
            <w:noWrap/>
            <w:vAlign w:val="bottom"/>
            <w:hideMark/>
          </w:tcPr>
          <w:p w14:paraId="7FA510C2" w14:textId="77777777" w:rsidR="00EA45BE" w:rsidRPr="00EA45BE" w:rsidRDefault="00EA45BE" w:rsidP="00EA45BE">
            <w:pPr>
              <w:widowControl/>
              <w:jc w:val="right"/>
              <w:rPr>
                <w:color w:val="000000"/>
              </w:rPr>
            </w:pPr>
            <w:r w:rsidRPr="00EA45BE">
              <w:rPr>
                <w:color w:val="000000"/>
              </w:rPr>
              <w:t>0.43</w:t>
            </w:r>
          </w:p>
        </w:tc>
        <w:tc>
          <w:tcPr>
            <w:tcW w:w="1010" w:type="dxa"/>
            <w:tcBorders>
              <w:top w:val="nil"/>
              <w:left w:val="nil"/>
              <w:bottom w:val="nil"/>
              <w:right w:val="nil"/>
            </w:tcBorders>
            <w:shd w:val="clear" w:color="auto" w:fill="auto"/>
            <w:noWrap/>
            <w:vAlign w:val="bottom"/>
            <w:hideMark/>
          </w:tcPr>
          <w:p w14:paraId="7A80E200" w14:textId="77777777" w:rsidR="00EA45BE" w:rsidRPr="00EA45BE" w:rsidRDefault="00EA45BE" w:rsidP="00EA45BE">
            <w:pPr>
              <w:widowControl/>
              <w:jc w:val="right"/>
              <w:rPr>
                <w:color w:val="000000"/>
              </w:rPr>
            </w:pPr>
            <w:r w:rsidRPr="00EA45BE">
              <w:rPr>
                <w:color w:val="000000"/>
              </w:rPr>
              <w:t>122</w:t>
            </w:r>
          </w:p>
        </w:tc>
        <w:tc>
          <w:tcPr>
            <w:tcW w:w="800" w:type="dxa"/>
            <w:tcBorders>
              <w:top w:val="nil"/>
              <w:left w:val="nil"/>
              <w:bottom w:val="nil"/>
              <w:right w:val="nil"/>
            </w:tcBorders>
            <w:shd w:val="clear" w:color="auto" w:fill="auto"/>
            <w:noWrap/>
            <w:vAlign w:val="bottom"/>
            <w:hideMark/>
          </w:tcPr>
          <w:p w14:paraId="3D6B2032" w14:textId="77777777" w:rsidR="00EA45BE" w:rsidRPr="00EA45BE" w:rsidRDefault="00EA45BE" w:rsidP="00EA45BE">
            <w:pPr>
              <w:widowControl/>
              <w:jc w:val="right"/>
              <w:rPr>
                <w:color w:val="000000"/>
              </w:rPr>
            </w:pPr>
            <w:r w:rsidRPr="00EA45BE">
              <w:rPr>
                <w:color w:val="000000"/>
              </w:rPr>
              <w:t>-5.94</w:t>
            </w:r>
          </w:p>
        </w:tc>
        <w:tc>
          <w:tcPr>
            <w:tcW w:w="800" w:type="dxa"/>
            <w:tcBorders>
              <w:top w:val="nil"/>
              <w:left w:val="nil"/>
              <w:bottom w:val="nil"/>
              <w:right w:val="nil"/>
            </w:tcBorders>
            <w:shd w:val="clear" w:color="auto" w:fill="auto"/>
            <w:noWrap/>
            <w:vAlign w:val="bottom"/>
            <w:hideMark/>
          </w:tcPr>
          <w:p w14:paraId="51BF044A" w14:textId="77777777" w:rsidR="00EA45BE" w:rsidRPr="00EA45BE" w:rsidRDefault="00EA45BE" w:rsidP="00EA45BE">
            <w:pPr>
              <w:widowControl/>
              <w:jc w:val="right"/>
              <w:rPr>
                <w:color w:val="000000"/>
              </w:rPr>
            </w:pPr>
            <w:r w:rsidRPr="00EA45BE">
              <w:rPr>
                <w:color w:val="000000"/>
              </w:rPr>
              <w:t>0.43</w:t>
            </w:r>
          </w:p>
        </w:tc>
      </w:tr>
      <w:tr w:rsidR="00EA45BE" w:rsidRPr="00EA45BE" w14:paraId="6C820DDC" w14:textId="77777777" w:rsidTr="002040D4">
        <w:trPr>
          <w:trHeight w:val="310"/>
        </w:trPr>
        <w:tc>
          <w:tcPr>
            <w:tcW w:w="1800" w:type="dxa"/>
            <w:tcBorders>
              <w:top w:val="nil"/>
              <w:left w:val="nil"/>
              <w:bottom w:val="nil"/>
              <w:right w:val="nil"/>
            </w:tcBorders>
            <w:shd w:val="clear" w:color="auto" w:fill="auto"/>
            <w:noWrap/>
            <w:vAlign w:val="bottom"/>
            <w:hideMark/>
          </w:tcPr>
          <w:p w14:paraId="34B8D8BB" w14:textId="77777777" w:rsidR="00EA45BE" w:rsidRPr="00EA45BE" w:rsidRDefault="00EA45BE" w:rsidP="00EA45BE">
            <w:pPr>
              <w:widowControl/>
              <w:rPr>
                <w:color w:val="000000"/>
              </w:rPr>
            </w:pPr>
            <w:r w:rsidRPr="00EA45BE">
              <w:rPr>
                <w:color w:val="000000"/>
              </w:rPr>
              <w:t>HR positive</w:t>
            </w:r>
          </w:p>
        </w:tc>
        <w:tc>
          <w:tcPr>
            <w:tcW w:w="1106" w:type="dxa"/>
            <w:tcBorders>
              <w:top w:val="nil"/>
              <w:left w:val="nil"/>
              <w:bottom w:val="nil"/>
              <w:right w:val="nil"/>
            </w:tcBorders>
            <w:shd w:val="clear" w:color="auto" w:fill="auto"/>
            <w:noWrap/>
            <w:vAlign w:val="bottom"/>
            <w:hideMark/>
          </w:tcPr>
          <w:p w14:paraId="325F3CE0" w14:textId="77777777" w:rsidR="00EA45BE" w:rsidRPr="00EA45BE" w:rsidRDefault="00EA45BE" w:rsidP="00EA45BE">
            <w:pPr>
              <w:widowControl/>
              <w:jc w:val="right"/>
              <w:rPr>
                <w:color w:val="000000"/>
              </w:rPr>
            </w:pPr>
            <w:r w:rsidRPr="00EA45BE">
              <w:rPr>
                <w:color w:val="000000"/>
              </w:rPr>
              <w:t>210</w:t>
            </w:r>
          </w:p>
        </w:tc>
        <w:tc>
          <w:tcPr>
            <w:tcW w:w="756" w:type="dxa"/>
            <w:tcBorders>
              <w:top w:val="nil"/>
              <w:left w:val="nil"/>
              <w:bottom w:val="nil"/>
              <w:right w:val="nil"/>
            </w:tcBorders>
            <w:shd w:val="clear" w:color="auto" w:fill="auto"/>
            <w:noWrap/>
            <w:vAlign w:val="bottom"/>
            <w:hideMark/>
          </w:tcPr>
          <w:p w14:paraId="0AAF2708" w14:textId="77777777" w:rsidR="00EA45BE" w:rsidRPr="00EA45BE" w:rsidRDefault="00EA45BE" w:rsidP="00EA45BE">
            <w:pPr>
              <w:widowControl/>
              <w:jc w:val="right"/>
              <w:rPr>
                <w:color w:val="000000"/>
              </w:rPr>
            </w:pPr>
            <w:r w:rsidRPr="00EA45BE">
              <w:rPr>
                <w:color w:val="000000"/>
              </w:rPr>
              <w:t>3.89</w:t>
            </w:r>
          </w:p>
        </w:tc>
        <w:tc>
          <w:tcPr>
            <w:tcW w:w="800" w:type="dxa"/>
            <w:tcBorders>
              <w:top w:val="nil"/>
              <w:left w:val="nil"/>
              <w:bottom w:val="nil"/>
              <w:right w:val="nil"/>
            </w:tcBorders>
            <w:shd w:val="clear" w:color="auto" w:fill="auto"/>
            <w:noWrap/>
            <w:vAlign w:val="bottom"/>
            <w:hideMark/>
          </w:tcPr>
          <w:p w14:paraId="7C792695" w14:textId="77777777" w:rsidR="00EA45BE" w:rsidRPr="00EA45BE" w:rsidRDefault="00EA45BE" w:rsidP="00EA45BE">
            <w:pPr>
              <w:widowControl/>
              <w:jc w:val="right"/>
              <w:rPr>
                <w:color w:val="000000"/>
              </w:rPr>
            </w:pPr>
            <w:r w:rsidRPr="00EA45BE">
              <w:rPr>
                <w:color w:val="000000"/>
              </w:rPr>
              <w:t>0.75</w:t>
            </w:r>
          </w:p>
        </w:tc>
        <w:tc>
          <w:tcPr>
            <w:tcW w:w="1000" w:type="dxa"/>
            <w:tcBorders>
              <w:top w:val="nil"/>
              <w:left w:val="nil"/>
              <w:bottom w:val="nil"/>
              <w:right w:val="nil"/>
            </w:tcBorders>
            <w:shd w:val="clear" w:color="auto" w:fill="auto"/>
            <w:noWrap/>
            <w:vAlign w:val="bottom"/>
            <w:hideMark/>
          </w:tcPr>
          <w:p w14:paraId="4ECA29AC" w14:textId="77777777" w:rsidR="00EA45BE" w:rsidRPr="00EA45BE" w:rsidRDefault="00EA45BE" w:rsidP="00EA45BE">
            <w:pPr>
              <w:widowControl/>
              <w:jc w:val="right"/>
              <w:rPr>
                <w:color w:val="000000"/>
              </w:rPr>
            </w:pPr>
            <w:r w:rsidRPr="00EA45BE">
              <w:rPr>
                <w:color w:val="000000"/>
              </w:rPr>
              <w:t>104</w:t>
            </w:r>
          </w:p>
        </w:tc>
        <w:tc>
          <w:tcPr>
            <w:tcW w:w="800" w:type="dxa"/>
            <w:tcBorders>
              <w:top w:val="nil"/>
              <w:left w:val="nil"/>
              <w:bottom w:val="nil"/>
              <w:right w:val="nil"/>
            </w:tcBorders>
            <w:shd w:val="clear" w:color="auto" w:fill="auto"/>
            <w:noWrap/>
            <w:vAlign w:val="bottom"/>
            <w:hideMark/>
          </w:tcPr>
          <w:p w14:paraId="3CAD9BF4" w14:textId="77777777" w:rsidR="00EA45BE" w:rsidRPr="00EA45BE" w:rsidRDefault="00EA45BE" w:rsidP="00EA45BE">
            <w:pPr>
              <w:widowControl/>
              <w:jc w:val="right"/>
              <w:rPr>
                <w:color w:val="000000"/>
              </w:rPr>
            </w:pPr>
            <w:r w:rsidRPr="00EA45BE">
              <w:rPr>
                <w:color w:val="000000"/>
              </w:rPr>
              <w:t>3.88</w:t>
            </w:r>
          </w:p>
        </w:tc>
        <w:tc>
          <w:tcPr>
            <w:tcW w:w="805" w:type="dxa"/>
            <w:tcBorders>
              <w:top w:val="nil"/>
              <w:left w:val="nil"/>
              <w:bottom w:val="nil"/>
              <w:right w:val="nil"/>
            </w:tcBorders>
            <w:shd w:val="clear" w:color="auto" w:fill="auto"/>
            <w:noWrap/>
            <w:vAlign w:val="bottom"/>
            <w:hideMark/>
          </w:tcPr>
          <w:p w14:paraId="6B44ABC4" w14:textId="77777777" w:rsidR="00EA45BE" w:rsidRPr="00EA45BE" w:rsidRDefault="00EA45BE" w:rsidP="00EA45BE">
            <w:pPr>
              <w:widowControl/>
              <w:jc w:val="right"/>
              <w:rPr>
                <w:color w:val="000000"/>
              </w:rPr>
            </w:pPr>
            <w:r w:rsidRPr="00EA45BE">
              <w:rPr>
                <w:color w:val="000000"/>
              </w:rPr>
              <w:t>0.75</w:t>
            </w:r>
          </w:p>
        </w:tc>
        <w:tc>
          <w:tcPr>
            <w:tcW w:w="1005" w:type="dxa"/>
            <w:tcBorders>
              <w:top w:val="nil"/>
              <w:left w:val="nil"/>
              <w:bottom w:val="nil"/>
              <w:right w:val="nil"/>
            </w:tcBorders>
            <w:shd w:val="clear" w:color="auto" w:fill="auto"/>
            <w:noWrap/>
            <w:vAlign w:val="bottom"/>
            <w:hideMark/>
          </w:tcPr>
          <w:p w14:paraId="447E6D06" w14:textId="77777777" w:rsidR="00EA45BE" w:rsidRPr="00EA45BE" w:rsidRDefault="00EA45BE" w:rsidP="00EA45BE">
            <w:pPr>
              <w:widowControl/>
              <w:jc w:val="right"/>
              <w:rPr>
                <w:color w:val="000000"/>
              </w:rPr>
            </w:pPr>
            <w:r w:rsidRPr="00EA45BE">
              <w:rPr>
                <w:color w:val="000000"/>
              </w:rPr>
              <w:t>73</w:t>
            </w:r>
          </w:p>
        </w:tc>
        <w:tc>
          <w:tcPr>
            <w:tcW w:w="800" w:type="dxa"/>
            <w:tcBorders>
              <w:top w:val="nil"/>
              <w:left w:val="nil"/>
              <w:bottom w:val="nil"/>
              <w:right w:val="nil"/>
            </w:tcBorders>
            <w:shd w:val="clear" w:color="auto" w:fill="auto"/>
            <w:noWrap/>
            <w:vAlign w:val="bottom"/>
            <w:hideMark/>
          </w:tcPr>
          <w:p w14:paraId="41294B88" w14:textId="77777777" w:rsidR="00EA45BE" w:rsidRPr="00EA45BE" w:rsidRDefault="00EA45BE" w:rsidP="00EA45BE">
            <w:pPr>
              <w:widowControl/>
              <w:jc w:val="right"/>
              <w:rPr>
                <w:color w:val="000000"/>
              </w:rPr>
            </w:pPr>
            <w:r w:rsidRPr="00EA45BE">
              <w:rPr>
                <w:color w:val="000000"/>
              </w:rPr>
              <w:t>3.98</w:t>
            </w:r>
          </w:p>
        </w:tc>
        <w:tc>
          <w:tcPr>
            <w:tcW w:w="800" w:type="dxa"/>
            <w:tcBorders>
              <w:top w:val="nil"/>
              <w:left w:val="nil"/>
              <w:bottom w:val="nil"/>
              <w:right w:val="nil"/>
            </w:tcBorders>
            <w:shd w:val="clear" w:color="auto" w:fill="auto"/>
            <w:noWrap/>
            <w:vAlign w:val="bottom"/>
            <w:hideMark/>
          </w:tcPr>
          <w:p w14:paraId="68437DC4" w14:textId="77777777" w:rsidR="00EA45BE" w:rsidRPr="00EA45BE" w:rsidRDefault="00EA45BE" w:rsidP="00EA45BE">
            <w:pPr>
              <w:widowControl/>
              <w:jc w:val="right"/>
              <w:rPr>
                <w:color w:val="000000"/>
              </w:rPr>
            </w:pPr>
            <w:r w:rsidRPr="00EA45BE">
              <w:rPr>
                <w:color w:val="000000"/>
              </w:rPr>
              <w:t>0.73</w:t>
            </w:r>
          </w:p>
        </w:tc>
        <w:tc>
          <w:tcPr>
            <w:tcW w:w="1010" w:type="dxa"/>
            <w:tcBorders>
              <w:top w:val="nil"/>
              <w:left w:val="nil"/>
              <w:bottom w:val="nil"/>
              <w:right w:val="nil"/>
            </w:tcBorders>
            <w:shd w:val="clear" w:color="auto" w:fill="auto"/>
            <w:noWrap/>
            <w:vAlign w:val="bottom"/>
            <w:hideMark/>
          </w:tcPr>
          <w:p w14:paraId="003CAE7C" w14:textId="77777777" w:rsidR="00EA45BE" w:rsidRPr="00EA45BE" w:rsidRDefault="00EA45BE" w:rsidP="00EA45BE">
            <w:pPr>
              <w:widowControl/>
              <w:jc w:val="right"/>
              <w:rPr>
                <w:color w:val="000000"/>
              </w:rPr>
            </w:pPr>
            <w:r w:rsidRPr="00EA45BE">
              <w:rPr>
                <w:color w:val="000000"/>
              </w:rPr>
              <w:t>131</w:t>
            </w:r>
          </w:p>
        </w:tc>
        <w:tc>
          <w:tcPr>
            <w:tcW w:w="800" w:type="dxa"/>
            <w:tcBorders>
              <w:top w:val="nil"/>
              <w:left w:val="nil"/>
              <w:bottom w:val="nil"/>
              <w:right w:val="nil"/>
            </w:tcBorders>
            <w:shd w:val="clear" w:color="auto" w:fill="auto"/>
            <w:noWrap/>
            <w:vAlign w:val="bottom"/>
            <w:hideMark/>
          </w:tcPr>
          <w:p w14:paraId="32FE7C33" w14:textId="77777777" w:rsidR="00EA45BE" w:rsidRPr="00EA45BE" w:rsidRDefault="00EA45BE" w:rsidP="00EA45BE">
            <w:pPr>
              <w:widowControl/>
              <w:jc w:val="right"/>
              <w:rPr>
                <w:color w:val="000000"/>
              </w:rPr>
            </w:pPr>
            <w:r w:rsidRPr="00EA45BE">
              <w:rPr>
                <w:color w:val="000000"/>
              </w:rPr>
              <w:t>4.03</w:t>
            </w:r>
          </w:p>
        </w:tc>
        <w:tc>
          <w:tcPr>
            <w:tcW w:w="800" w:type="dxa"/>
            <w:tcBorders>
              <w:top w:val="nil"/>
              <w:left w:val="nil"/>
              <w:bottom w:val="nil"/>
              <w:right w:val="nil"/>
            </w:tcBorders>
            <w:shd w:val="clear" w:color="auto" w:fill="auto"/>
            <w:noWrap/>
            <w:vAlign w:val="bottom"/>
            <w:hideMark/>
          </w:tcPr>
          <w:p w14:paraId="67EF905C" w14:textId="77777777" w:rsidR="00EA45BE" w:rsidRPr="00EA45BE" w:rsidRDefault="00EA45BE" w:rsidP="00EA45BE">
            <w:pPr>
              <w:widowControl/>
              <w:jc w:val="right"/>
              <w:rPr>
                <w:color w:val="000000"/>
              </w:rPr>
            </w:pPr>
            <w:r w:rsidRPr="00EA45BE">
              <w:rPr>
                <w:color w:val="000000"/>
              </w:rPr>
              <w:t>0.59</w:t>
            </w:r>
          </w:p>
        </w:tc>
      </w:tr>
      <w:tr w:rsidR="00EA45BE" w:rsidRPr="00EA45BE" w14:paraId="44E9409A" w14:textId="77777777" w:rsidTr="002040D4">
        <w:trPr>
          <w:trHeight w:val="310"/>
        </w:trPr>
        <w:tc>
          <w:tcPr>
            <w:tcW w:w="1800" w:type="dxa"/>
            <w:tcBorders>
              <w:top w:val="nil"/>
              <w:left w:val="nil"/>
              <w:bottom w:val="nil"/>
              <w:right w:val="nil"/>
            </w:tcBorders>
            <w:shd w:val="clear" w:color="auto" w:fill="auto"/>
            <w:noWrap/>
            <w:vAlign w:val="bottom"/>
            <w:hideMark/>
          </w:tcPr>
          <w:p w14:paraId="545A951A" w14:textId="77777777" w:rsidR="00EA45BE" w:rsidRPr="00EA45BE" w:rsidRDefault="00EA45BE" w:rsidP="00EA45BE">
            <w:pPr>
              <w:widowControl/>
              <w:rPr>
                <w:color w:val="000000"/>
              </w:rPr>
            </w:pPr>
            <w:r w:rsidRPr="00EA45BE">
              <w:rPr>
                <w:color w:val="000000"/>
              </w:rPr>
              <w:t>EEFRT hard</w:t>
            </w:r>
          </w:p>
        </w:tc>
        <w:tc>
          <w:tcPr>
            <w:tcW w:w="1106" w:type="dxa"/>
            <w:tcBorders>
              <w:top w:val="nil"/>
              <w:left w:val="nil"/>
              <w:bottom w:val="nil"/>
              <w:right w:val="nil"/>
            </w:tcBorders>
            <w:shd w:val="clear" w:color="auto" w:fill="auto"/>
            <w:noWrap/>
            <w:vAlign w:val="bottom"/>
            <w:hideMark/>
          </w:tcPr>
          <w:p w14:paraId="3216DABE" w14:textId="77777777" w:rsidR="00EA45BE" w:rsidRPr="00EA45BE" w:rsidRDefault="00EA45BE" w:rsidP="00EA45BE">
            <w:pPr>
              <w:widowControl/>
              <w:jc w:val="right"/>
              <w:rPr>
                <w:color w:val="000000"/>
              </w:rPr>
            </w:pPr>
            <w:r w:rsidRPr="00EA45BE">
              <w:rPr>
                <w:color w:val="000000"/>
              </w:rPr>
              <w:t>213</w:t>
            </w:r>
          </w:p>
        </w:tc>
        <w:tc>
          <w:tcPr>
            <w:tcW w:w="756" w:type="dxa"/>
            <w:tcBorders>
              <w:top w:val="nil"/>
              <w:left w:val="nil"/>
              <w:bottom w:val="nil"/>
              <w:right w:val="nil"/>
            </w:tcBorders>
            <w:shd w:val="clear" w:color="auto" w:fill="auto"/>
            <w:noWrap/>
            <w:vAlign w:val="bottom"/>
            <w:hideMark/>
          </w:tcPr>
          <w:p w14:paraId="31D26BC3" w14:textId="77777777" w:rsidR="00EA45BE" w:rsidRPr="00EA45BE" w:rsidRDefault="00EA45BE" w:rsidP="00EA45BE">
            <w:pPr>
              <w:widowControl/>
              <w:jc w:val="right"/>
              <w:rPr>
                <w:color w:val="000000"/>
              </w:rPr>
            </w:pPr>
            <w:r w:rsidRPr="00EA45BE">
              <w:rPr>
                <w:color w:val="000000"/>
              </w:rPr>
              <w:t>0.53</w:t>
            </w:r>
          </w:p>
        </w:tc>
        <w:tc>
          <w:tcPr>
            <w:tcW w:w="800" w:type="dxa"/>
            <w:tcBorders>
              <w:top w:val="nil"/>
              <w:left w:val="nil"/>
              <w:bottom w:val="nil"/>
              <w:right w:val="nil"/>
            </w:tcBorders>
            <w:shd w:val="clear" w:color="auto" w:fill="auto"/>
            <w:noWrap/>
            <w:vAlign w:val="bottom"/>
            <w:hideMark/>
          </w:tcPr>
          <w:p w14:paraId="707CEF47" w14:textId="77777777" w:rsidR="00EA45BE" w:rsidRPr="00EA45BE" w:rsidRDefault="00EA45BE" w:rsidP="00EA45BE">
            <w:pPr>
              <w:widowControl/>
              <w:jc w:val="right"/>
              <w:rPr>
                <w:color w:val="000000"/>
              </w:rPr>
            </w:pPr>
            <w:r w:rsidRPr="00EA45BE">
              <w:rPr>
                <w:color w:val="000000"/>
              </w:rPr>
              <w:t>0.25</w:t>
            </w:r>
          </w:p>
        </w:tc>
        <w:tc>
          <w:tcPr>
            <w:tcW w:w="1000" w:type="dxa"/>
            <w:tcBorders>
              <w:top w:val="nil"/>
              <w:left w:val="nil"/>
              <w:bottom w:val="nil"/>
              <w:right w:val="nil"/>
            </w:tcBorders>
            <w:shd w:val="clear" w:color="auto" w:fill="auto"/>
            <w:noWrap/>
            <w:vAlign w:val="bottom"/>
            <w:hideMark/>
          </w:tcPr>
          <w:p w14:paraId="03F47606" w14:textId="77777777" w:rsidR="00EA45BE" w:rsidRPr="00EA45BE" w:rsidRDefault="00EA45BE" w:rsidP="00EA45BE">
            <w:pPr>
              <w:widowControl/>
              <w:jc w:val="right"/>
              <w:rPr>
                <w:color w:val="000000"/>
              </w:rPr>
            </w:pPr>
            <w:r w:rsidRPr="00EA45BE">
              <w:rPr>
                <w:color w:val="000000"/>
              </w:rPr>
              <w:t>103</w:t>
            </w:r>
          </w:p>
        </w:tc>
        <w:tc>
          <w:tcPr>
            <w:tcW w:w="800" w:type="dxa"/>
            <w:tcBorders>
              <w:top w:val="nil"/>
              <w:left w:val="nil"/>
              <w:bottom w:val="nil"/>
              <w:right w:val="nil"/>
            </w:tcBorders>
            <w:shd w:val="clear" w:color="auto" w:fill="auto"/>
            <w:noWrap/>
            <w:vAlign w:val="bottom"/>
            <w:hideMark/>
          </w:tcPr>
          <w:p w14:paraId="54608824" w14:textId="77777777" w:rsidR="00EA45BE" w:rsidRPr="00EA45BE" w:rsidRDefault="00EA45BE" w:rsidP="00EA45BE">
            <w:pPr>
              <w:widowControl/>
              <w:jc w:val="right"/>
              <w:rPr>
                <w:color w:val="000000"/>
              </w:rPr>
            </w:pPr>
            <w:r w:rsidRPr="00EA45BE">
              <w:rPr>
                <w:color w:val="000000"/>
              </w:rPr>
              <w:t>0.55</w:t>
            </w:r>
          </w:p>
        </w:tc>
        <w:tc>
          <w:tcPr>
            <w:tcW w:w="805" w:type="dxa"/>
            <w:tcBorders>
              <w:top w:val="nil"/>
              <w:left w:val="nil"/>
              <w:bottom w:val="nil"/>
              <w:right w:val="nil"/>
            </w:tcBorders>
            <w:shd w:val="clear" w:color="auto" w:fill="auto"/>
            <w:noWrap/>
            <w:vAlign w:val="bottom"/>
            <w:hideMark/>
          </w:tcPr>
          <w:p w14:paraId="16539D41" w14:textId="77777777" w:rsidR="00EA45BE" w:rsidRPr="00EA45BE" w:rsidRDefault="00EA45BE" w:rsidP="00EA45BE">
            <w:pPr>
              <w:widowControl/>
              <w:jc w:val="right"/>
              <w:rPr>
                <w:color w:val="000000"/>
              </w:rPr>
            </w:pPr>
            <w:r w:rsidRPr="00EA45BE">
              <w:rPr>
                <w:color w:val="000000"/>
              </w:rPr>
              <w:t>0.26</w:t>
            </w:r>
          </w:p>
        </w:tc>
        <w:tc>
          <w:tcPr>
            <w:tcW w:w="1005" w:type="dxa"/>
            <w:tcBorders>
              <w:top w:val="nil"/>
              <w:left w:val="nil"/>
              <w:bottom w:val="nil"/>
              <w:right w:val="nil"/>
            </w:tcBorders>
            <w:shd w:val="clear" w:color="auto" w:fill="auto"/>
            <w:noWrap/>
            <w:vAlign w:val="bottom"/>
            <w:hideMark/>
          </w:tcPr>
          <w:p w14:paraId="20C487BA" w14:textId="77777777" w:rsidR="00EA45BE" w:rsidRPr="00EA45BE" w:rsidRDefault="00EA45BE" w:rsidP="00EA45BE">
            <w:pPr>
              <w:widowControl/>
              <w:jc w:val="right"/>
              <w:rPr>
                <w:color w:val="000000"/>
              </w:rPr>
            </w:pPr>
            <w:r w:rsidRPr="00EA45BE">
              <w:rPr>
                <w:color w:val="000000"/>
              </w:rPr>
              <w:t>70</w:t>
            </w:r>
          </w:p>
        </w:tc>
        <w:tc>
          <w:tcPr>
            <w:tcW w:w="800" w:type="dxa"/>
            <w:tcBorders>
              <w:top w:val="nil"/>
              <w:left w:val="nil"/>
              <w:bottom w:val="nil"/>
              <w:right w:val="nil"/>
            </w:tcBorders>
            <w:shd w:val="clear" w:color="auto" w:fill="auto"/>
            <w:noWrap/>
            <w:vAlign w:val="bottom"/>
            <w:hideMark/>
          </w:tcPr>
          <w:p w14:paraId="2E97BE7E" w14:textId="77777777" w:rsidR="00EA45BE" w:rsidRPr="00EA45BE" w:rsidRDefault="00EA45BE" w:rsidP="00EA45BE">
            <w:pPr>
              <w:widowControl/>
              <w:jc w:val="right"/>
              <w:rPr>
                <w:color w:val="000000"/>
              </w:rPr>
            </w:pPr>
            <w:r w:rsidRPr="00EA45BE">
              <w:rPr>
                <w:color w:val="000000"/>
              </w:rPr>
              <w:t>0.54</w:t>
            </w:r>
          </w:p>
        </w:tc>
        <w:tc>
          <w:tcPr>
            <w:tcW w:w="800" w:type="dxa"/>
            <w:tcBorders>
              <w:top w:val="nil"/>
              <w:left w:val="nil"/>
              <w:bottom w:val="nil"/>
              <w:right w:val="nil"/>
            </w:tcBorders>
            <w:shd w:val="clear" w:color="auto" w:fill="auto"/>
            <w:noWrap/>
            <w:vAlign w:val="bottom"/>
            <w:hideMark/>
          </w:tcPr>
          <w:p w14:paraId="0E73AC09" w14:textId="77777777" w:rsidR="00EA45BE" w:rsidRPr="00EA45BE" w:rsidRDefault="00EA45BE" w:rsidP="00EA45BE">
            <w:pPr>
              <w:widowControl/>
              <w:jc w:val="right"/>
              <w:rPr>
                <w:color w:val="000000"/>
              </w:rPr>
            </w:pPr>
            <w:r w:rsidRPr="00EA45BE">
              <w:rPr>
                <w:color w:val="000000"/>
              </w:rPr>
              <w:t>0.27</w:t>
            </w:r>
          </w:p>
        </w:tc>
        <w:tc>
          <w:tcPr>
            <w:tcW w:w="1010" w:type="dxa"/>
            <w:tcBorders>
              <w:top w:val="nil"/>
              <w:left w:val="nil"/>
              <w:bottom w:val="nil"/>
              <w:right w:val="nil"/>
            </w:tcBorders>
            <w:shd w:val="clear" w:color="auto" w:fill="auto"/>
            <w:noWrap/>
            <w:vAlign w:val="bottom"/>
            <w:hideMark/>
          </w:tcPr>
          <w:p w14:paraId="069B9AF5" w14:textId="77777777" w:rsidR="00EA45BE" w:rsidRPr="00EA45BE" w:rsidRDefault="00EA45BE" w:rsidP="00EA45BE">
            <w:pPr>
              <w:widowControl/>
              <w:jc w:val="right"/>
              <w:rPr>
                <w:color w:val="000000"/>
              </w:rPr>
            </w:pPr>
            <w:r w:rsidRPr="00EA45BE">
              <w:rPr>
                <w:color w:val="000000"/>
              </w:rPr>
              <w:t>128</w:t>
            </w:r>
          </w:p>
        </w:tc>
        <w:tc>
          <w:tcPr>
            <w:tcW w:w="800" w:type="dxa"/>
            <w:tcBorders>
              <w:top w:val="nil"/>
              <w:left w:val="nil"/>
              <w:bottom w:val="nil"/>
              <w:right w:val="nil"/>
            </w:tcBorders>
            <w:shd w:val="clear" w:color="auto" w:fill="auto"/>
            <w:noWrap/>
            <w:vAlign w:val="bottom"/>
            <w:hideMark/>
          </w:tcPr>
          <w:p w14:paraId="1A9459A3" w14:textId="77777777" w:rsidR="00EA45BE" w:rsidRPr="00EA45BE" w:rsidRDefault="00EA45BE" w:rsidP="00EA45BE">
            <w:pPr>
              <w:widowControl/>
              <w:jc w:val="right"/>
              <w:rPr>
                <w:color w:val="000000"/>
              </w:rPr>
            </w:pPr>
            <w:r w:rsidRPr="00EA45BE">
              <w:rPr>
                <w:color w:val="000000"/>
              </w:rPr>
              <w:t>0.57</w:t>
            </w:r>
          </w:p>
        </w:tc>
        <w:tc>
          <w:tcPr>
            <w:tcW w:w="800" w:type="dxa"/>
            <w:tcBorders>
              <w:top w:val="nil"/>
              <w:left w:val="nil"/>
              <w:bottom w:val="nil"/>
              <w:right w:val="nil"/>
            </w:tcBorders>
            <w:shd w:val="clear" w:color="auto" w:fill="auto"/>
            <w:noWrap/>
            <w:vAlign w:val="bottom"/>
            <w:hideMark/>
          </w:tcPr>
          <w:p w14:paraId="483F7145" w14:textId="77777777" w:rsidR="00EA45BE" w:rsidRPr="00EA45BE" w:rsidRDefault="00EA45BE" w:rsidP="00EA45BE">
            <w:pPr>
              <w:widowControl/>
              <w:jc w:val="right"/>
              <w:rPr>
                <w:color w:val="000000"/>
              </w:rPr>
            </w:pPr>
            <w:r w:rsidRPr="00EA45BE">
              <w:rPr>
                <w:color w:val="000000"/>
              </w:rPr>
              <w:t>0.26</w:t>
            </w:r>
          </w:p>
        </w:tc>
      </w:tr>
      <w:tr w:rsidR="00EA45BE" w:rsidRPr="00EA45BE" w14:paraId="742A53F3" w14:textId="77777777" w:rsidTr="002040D4">
        <w:trPr>
          <w:trHeight w:val="310"/>
        </w:trPr>
        <w:tc>
          <w:tcPr>
            <w:tcW w:w="1800" w:type="dxa"/>
            <w:tcBorders>
              <w:top w:val="nil"/>
              <w:left w:val="nil"/>
              <w:bottom w:val="nil"/>
              <w:right w:val="nil"/>
            </w:tcBorders>
            <w:shd w:val="clear" w:color="auto" w:fill="auto"/>
            <w:noWrap/>
            <w:vAlign w:val="bottom"/>
            <w:hideMark/>
          </w:tcPr>
          <w:p w14:paraId="43603A4C" w14:textId="77777777" w:rsidR="00EA45BE" w:rsidRPr="00EA45BE" w:rsidRDefault="00EA45BE" w:rsidP="00EA45BE">
            <w:pPr>
              <w:widowControl/>
              <w:rPr>
                <w:color w:val="000000"/>
              </w:rPr>
            </w:pPr>
            <w:r w:rsidRPr="00EA45BE">
              <w:rPr>
                <w:color w:val="000000"/>
              </w:rPr>
              <w:t>DD large</w:t>
            </w:r>
          </w:p>
        </w:tc>
        <w:tc>
          <w:tcPr>
            <w:tcW w:w="1106" w:type="dxa"/>
            <w:tcBorders>
              <w:top w:val="nil"/>
              <w:left w:val="nil"/>
              <w:bottom w:val="nil"/>
              <w:right w:val="nil"/>
            </w:tcBorders>
            <w:shd w:val="clear" w:color="auto" w:fill="auto"/>
            <w:noWrap/>
            <w:vAlign w:val="bottom"/>
            <w:hideMark/>
          </w:tcPr>
          <w:p w14:paraId="5DA95418" w14:textId="77777777" w:rsidR="00EA45BE" w:rsidRPr="00EA45BE" w:rsidRDefault="00EA45BE" w:rsidP="00EA45BE">
            <w:pPr>
              <w:widowControl/>
              <w:jc w:val="right"/>
              <w:rPr>
                <w:color w:val="000000"/>
              </w:rPr>
            </w:pPr>
            <w:r w:rsidRPr="00EA45BE">
              <w:rPr>
                <w:color w:val="000000"/>
              </w:rPr>
              <w:t>211</w:t>
            </w:r>
          </w:p>
        </w:tc>
        <w:tc>
          <w:tcPr>
            <w:tcW w:w="756" w:type="dxa"/>
            <w:tcBorders>
              <w:top w:val="nil"/>
              <w:left w:val="nil"/>
              <w:bottom w:val="nil"/>
              <w:right w:val="nil"/>
            </w:tcBorders>
            <w:shd w:val="clear" w:color="auto" w:fill="auto"/>
            <w:noWrap/>
            <w:vAlign w:val="bottom"/>
            <w:hideMark/>
          </w:tcPr>
          <w:p w14:paraId="440BF86E" w14:textId="77777777" w:rsidR="00EA45BE" w:rsidRPr="00EA45BE" w:rsidRDefault="00EA45BE" w:rsidP="00EA45BE">
            <w:pPr>
              <w:widowControl/>
              <w:jc w:val="right"/>
              <w:rPr>
                <w:color w:val="000000"/>
              </w:rPr>
            </w:pPr>
            <w:r w:rsidRPr="00EA45BE">
              <w:rPr>
                <w:color w:val="000000"/>
              </w:rPr>
              <w:t>-1.64</w:t>
            </w:r>
          </w:p>
        </w:tc>
        <w:tc>
          <w:tcPr>
            <w:tcW w:w="800" w:type="dxa"/>
            <w:tcBorders>
              <w:top w:val="nil"/>
              <w:left w:val="nil"/>
              <w:bottom w:val="nil"/>
              <w:right w:val="nil"/>
            </w:tcBorders>
            <w:shd w:val="clear" w:color="auto" w:fill="auto"/>
            <w:noWrap/>
            <w:vAlign w:val="bottom"/>
            <w:hideMark/>
          </w:tcPr>
          <w:p w14:paraId="1A467A64" w14:textId="77777777" w:rsidR="00EA45BE" w:rsidRPr="00EA45BE" w:rsidRDefault="00EA45BE" w:rsidP="00EA45BE">
            <w:pPr>
              <w:widowControl/>
              <w:jc w:val="right"/>
              <w:rPr>
                <w:color w:val="000000"/>
              </w:rPr>
            </w:pPr>
            <w:r w:rsidRPr="00EA45BE">
              <w:rPr>
                <w:color w:val="000000"/>
              </w:rPr>
              <w:t>0.36</w:t>
            </w:r>
          </w:p>
        </w:tc>
        <w:tc>
          <w:tcPr>
            <w:tcW w:w="1000" w:type="dxa"/>
            <w:tcBorders>
              <w:top w:val="nil"/>
              <w:left w:val="nil"/>
              <w:bottom w:val="nil"/>
              <w:right w:val="nil"/>
            </w:tcBorders>
            <w:shd w:val="clear" w:color="auto" w:fill="auto"/>
            <w:noWrap/>
            <w:vAlign w:val="bottom"/>
            <w:hideMark/>
          </w:tcPr>
          <w:p w14:paraId="1CD20D6C" w14:textId="77777777" w:rsidR="00EA45BE" w:rsidRPr="00EA45BE" w:rsidRDefault="00EA45BE" w:rsidP="00EA45BE">
            <w:pPr>
              <w:widowControl/>
              <w:jc w:val="right"/>
              <w:rPr>
                <w:color w:val="000000"/>
              </w:rPr>
            </w:pPr>
            <w:r w:rsidRPr="00EA45BE">
              <w:rPr>
                <w:color w:val="000000"/>
              </w:rPr>
              <w:t>104</w:t>
            </w:r>
          </w:p>
        </w:tc>
        <w:tc>
          <w:tcPr>
            <w:tcW w:w="800" w:type="dxa"/>
            <w:tcBorders>
              <w:top w:val="nil"/>
              <w:left w:val="nil"/>
              <w:bottom w:val="nil"/>
              <w:right w:val="nil"/>
            </w:tcBorders>
            <w:shd w:val="clear" w:color="auto" w:fill="auto"/>
            <w:noWrap/>
            <w:vAlign w:val="bottom"/>
            <w:hideMark/>
          </w:tcPr>
          <w:p w14:paraId="41599976" w14:textId="77777777" w:rsidR="00EA45BE" w:rsidRPr="00EA45BE" w:rsidRDefault="00EA45BE" w:rsidP="00EA45BE">
            <w:pPr>
              <w:widowControl/>
              <w:jc w:val="right"/>
              <w:rPr>
                <w:color w:val="000000"/>
              </w:rPr>
            </w:pPr>
            <w:r w:rsidRPr="00EA45BE">
              <w:rPr>
                <w:color w:val="000000"/>
              </w:rPr>
              <w:t>-1.63</w:t>
            </w:r>
          </w:p>
        </w:tc>
        <w:tc>
          <w:tcPr>
            <w:tcW w:w="805" w:type="dxa"/>
            <w:tcBorders>
              <w:top w:val="nil"/>
              <w:left w:val="nil"/>
              <w:bottom w:val="nil"/>
              <w:right w:val="nil"/>
            </w:tcBorders>
            <w:shd w:val="clear" w:color="auto" w:fill="auto"/>
            <w:noWrap/>
            <w:vAlign w:val="bottom"/>
            <w:hideMark/>
          </w:tcPr>
          <w:p w14:paraId="25612AAC" w14:textId="77777777" w:rsidR="00EA45BE" w:rsidRPr="00EA45BE" w:rsidRDefault="00EA45BE" w:rsidP="00EA45BE">
            <w:pPr>
              <w:widowControl/>
              <w:jc w:val="right"/>
              <w:rPr>
                <w:color w:val="000000"/>
              </w:rPr>
            </w:pPr>
            <w:r w:rsidRPr="00EA45BE">
              <w:rPr>
                <w:color w:val="000000"/>
              </w:rPr>
              <w:t>0.37</w:t>
            </w:r>
          </w:p>
        </w:tc>
        <w:tc>
          <w:tcPr>
            <w:tcW w:w="1005" w:type="dxa"/>
            <w:tcBorders>
              <w:top w:val="nil"/>
              <w:left w:val="nil"/>
              <w:bottom w:val="nil"/>
              <w:right w:val="nil"/>
            </w:tcBorders>
            <w:shd w:val="clear" w:color="auto" w:fill="auto"/>
            <w:noWrap/>
            <w:vAlign w:val="bottom"/>
            <w:hideMark/>
          </w:tcPr>
          <w:p w14:paraId="1BAEC40E" w14:textId="77777777" w:rsidR="00EA45BE" w:rsidRPr="00EA45BE" w:rsidRDefault="00EA45BE" w:rsidP="00EA45BE">
            <w:pPr>
              <w:widowControl/>
              <w:jc w:val="right"/>
              <w:rPr>
                <w:color w:val="000000"/>
              </w:rPr>
            </w:pPr>
            <w:r w:rsidRPr="00EA45BE">
              <w:rPr>
                <w:color w:val="000000"/>
              </w:rPr>
              <w:t>74</w:t>
            </w:r>
          </w:p>
        </w:tc>
        <w:tc>
          <w:tcPr>
            <w:tcW w:w="800" w:type="dxa"/>
            <w:tcBorders>
              <w:top w:val="nil"/>
              <w:left w:val="nil"/>
              <w:bottom w:val="nil"/>
              <w:right w:val="nil"/>
            </w:tcBorders>
            <w:shd w:val="clear" w:color="auto" w:fill="auto"/>
            <w:noWrap/>
            <w:vAlign w:val="bottom"/>
            <w:hideMark/>
          </w:tcPr>
          <w:p w14:paraId="1AA41013" w14:textId="77777777" w:rsidR="00EA45BE" w:rsidRPr="00EA45BE" w:rsidRDefault="00EA45BE" w:rsidP="00EA45BE">
            <w:pPr>
              <w:widowControl/>
              <w:jc w:val="right"/>
              <w:rPr>
                <w:color w:val="000000"/>
              </w:rPr>
            </w:pPr>
            <w:r w:rsidRPr="00EA45BE">
              <w:rPr>
                <w:color w:val="000000"/>
              </w:rPr>
              <w:t>-1.69</w:t>
            </w:r>
          </w:p>
        </w:tc>
        <w:tc>
          <w:tcPr>
            <w:tcW w:w="800" w:type="dxa"/>
            <w:tcBorders>
              <w:top w:val="nil"/>
              <w:left w:val="nil"/>
              <w:bottom w:val="nil"/>
              <w:right w:val="nil"/>
            </w:tcBorders>
            <w:shd w:val="clear" w:color="auto" w:fill="auto"/>
            <w:noWrap/>
            <w:vAlign w:val="bottom"/>
            <w:hideMark/>
          </w:tcPr>
          <w:p w14:paraId="23096B37" w14:textId="77777777" w:rsidR="00EA45BE" w:rsidRPr="00EA45BE" w:rsidRDefault="00EA45BE" w:rsidP="00EA45BE">
            <w:pPr>
              <w:widowControl/>
              <w:jc w:val="right"/>
              <w:rPr>
                <w:color w:val="000000"/>
              </w:rPr>
            </w:pPr>
            <w:r w:rsidRPr="00EA45BE">
              <w:rPr>
                <w:color w:val="000000"/>
              </w:rPr>
              <w:t>0.35</w:t>
            </w:r>
          </w:p>
        </w:tc>
        <w:tc>
          <w:tcPr>
            <w:tcW w:w="1010" w:type="dxa"/>
            <w:tcBorders>
              <w:top w:val="nil"/>
              <w:left w:val="nil"/>
              <w:bottom w:val="nil"/>
              <w:right w:val="nil"/>
            </w:tcBorders>
            <w:shd w:val="clear" w:color="auto" w:fill="auto"/>
            <w:noWrap/>
            <w:vAlign w:val="bottom"/>
            <w:hideMark/>
          </w:tcPr>
          <w:p w14:paraId="3B62ED4E" w14:textId="77777777" w:rsidR="00EA45BE" w:rsidRPr="00EA45BE" w:rsidRDefault="00EA45BE" w:rsidP="00EA45BE">
            <w:pPr>
              <w:widowControl/>
              <w:jc w:val="right"/>
              <w:rPr>
                <w:color w:val="000000"/>
              </w:rPr>
            </w:pPr>
            <w:r w:rsidRPr="00EA45BE">
              <w:rPr>
                <w:color w:val="000000"/>
              </w:rPr>
              <w:t>129</w:t>
            </w:r>
          </w:p>
        </w:tc>
        <w:tc>
          <w:tcPr>
            <w:tcW w:w="800" w:type="dxa"/>
            <w:tcBorders>
              <w:top w:val="nil"/>
              <w:left w:val="nil"/>
              <w:bottom w:val="nil"/>
              <w:right w:val="nil"/>
            </w:tcBorders>
            <w:shd w:val="clear" w:color="auto" w:fill="auto"/>
            <w:noWrap/>
            <w:vAlign w:val="bottom"/>
            <w:hideMark/>
          </w:tcPr>
          <w:p w14:paraId="5D369862" w14:textId="77777777" w:rsidR="00EA45BE" w:rsidRPr="00EA45BE" w:rsidRDefault="00EA45BE" w:rsidP="00EA45BE">
            <w:pPr>
              <w:widowControl/>
              <w:jc w:val="right"/>
              <w:rPr>
                <w:color w:val="000000"/>
              </w:rPr>
            </w:pPr>
            <w:r w:rsidRPr="00EA45BE">
              <w:rPr>
                <w:color w:val="000000"/>
              </w:rPr>
              <w:t>-1.70</w:t>
            </w:r>
          </w:p>
        </w:tc>
        <w:tc>
          <w:tcPr>
            <w:tcW w:w="800" w:type="dxa"/>
            <w:tcBorders>
              <w:top w:val="nil"/>
              <w:left w:val="nil"/>
              <w:bottom w:val="nil"/>
              <w:right w:val="nil"/>
            </w:tcBorders>
            <w:shd w:val="clear" w:color="auto" w:fill="auto"/>
            <w:noWrap/>
            <w:vAlign w:val="bottom"/>
            <w:hideMark/>
          </w:tcPr>
          <w:p w14:paraId="1280D9A5" w14:textId="77777777" w:rsidR="00EA45BE" w:rsidRPr="00EA45BE" w:rsidRDefault="00EA45BE" w:rsidP="00EA45BE">
            <w:pPr>
              <w:widowControl/>
              <w:jc w:val="right"/>
              <w:rPr>
                <w:color w:val="000000"/>
              </w:rPr>
            </w:pPr>
            <w:r w:rsidRPr="00EA45BE">
              <w:rPr>
                <w:color w:val="000000"/>
              </w:rPr>
              <w:t>0.37</w:t>
            </w:r>
          </w:p>
        </w:tc>
      </w:tr>
      <w:tr w:rsidR="00EA45BE" w:rsidRPr="00EA45BE" w14:paraId="424EEBDA" w14:textId="77777777" w:rsidTr="002040D4">
        <w:trPr>
          <w:trHeight w:val="310"/>
        </w:trPr>
        <w:tc>
          <w:tcPr>
            <w:tcW w:w="1800" w:type="dxa"/>
            <w:tcBorders>
              <w:top w:val="nil"/>
              <w:left w:val="nil"/>
              <w:bottom w:val="nil"/>
              <w:right w:val="nil"/>
            </w:tcBorders>
            <w:shd w:val="clear" w:color="auto" w:fill="auto"/>
            <w:noWrap/>
            <w:vAlign w:val="bottom"/>
            <w:hideMark/>
          </w:tcPr>
          <w:p w14:paraId="16E37649" w14:textId="77777777" w:rsidR="00EA45BE" w:rsidRPr="00EA45BE" w:rsidRDefault="00EA45BE" w:rsidP="00EA45BE">
            <w:pPr>
              <w:widowControl/>
              <w:rPr>
                <w:color w:val="000000"/>
              </w:rPr>
            </w:pPr>
            <w:r w:rsidRPr="00EA45BE">
              <w:rPr>
                <w:color w:val="000000"/>
              </w:rPr>
              <w:t>CFT speed</w:t>
            </w:r>
          </w:p>
        </w:tc>
        <w:tc>
          <w:tcPr>
            <w:tcW w:w="1106" w:type="dxa"/>
            <w:tcBorders>
              <w:top w:val="nil"/>
              <w:left w:val="nil"/>
              <w:bottom w:val="nil"/>
              <w:right w:val="nil"/>
            </w:tcBorders>
            <w:shd w:val="clear" w:color="auto" w:fill="auto"/>
            <w:noWrap/>
            <w:vAlign w:val="bottom"/>
            <w:hideMark/>
          </w:tcPr>
          <w:p w14:paraId="2F3D7C4D" w14:textId="77777777" w:rsidR="00EA45BE" w:rsidRPr="00EA45BE" w:rsidRDefault="00EA45BE" w:rsidP="00EA45BE">
            <w:pPr>
              <w:widowControl/>
              <w:jc w:val="right"/>
              <w:rPr>
                <w:color w:val="000000"/>
              </w:rPr>
            </w:pPr>
            <w:r w:rsidRPr="00EA45BE">
              <w:rPr>
                <w:color w:val="000000"/>
              </w:rPr>
              <w:t>216</w:t>
            </w:r>
          </w:p>
        </w:tc>
        <w:tc>
          <w:tcPr>
            <w:tcW w:w="756" w:type="dxa"/>
            <w:tcBorders>
              <w:top w:val="nil"/>
              <w:left w:val="nil"/>
              <w:bottom w:val="nil"/>
              <w:right w:val="nil"/>
            </w:tcBorders>
            <w:shd w:val="clear" w:color="auto" w:fill="auto"/>
            <w:noWrap/>
            <w:vAlign w:val="bottom"/>
            <w:hideMark/>
          </w:tcPr>
          <w:p w14:paraId="64D66F23" w14:textId="77777777" w:rsidR="00EA45BE" w:rsidRPr="00EA45BE" w:rsidRDefault="00EA45BE" w:rsidP="00EA45BE">
            <w:pPr>
              <w:widowControl/>
              <w:jc w:val="right"/>
              <w:rPr>
                <w:color w:val="000000"/>
              </w:rPr>
            </w:pPr>
            <w:r w:rsidRPr="00EA45BE">
              <w:rPr>
                <w:color w:val="000000"/>
              </w:rPr>
              <w:t>54.42</w:t>
            </w:r>
          </w:p>
        </w:tc>
        <w:tc>
          <w:tcPr>
            <w:tcW w:w="800" w:type="dxa"/>
            <w:tcBorders>
              <w:top w:val="nil"/>
              <w:left w:val="nil"/>
              <w:bottom w:val="nil"/>
              <w:right w:val="nil"/>
            </w:tcBorders>
            <w:shd w:val="clear" w:color="auto" w:fill="auto"/>
            <w:noWrap/>
            <w:vAlign w:val="bottom"/>
            <w:hideMark/>
          </w:tcPr>
          <w:p w14:paraId="11727167" w14:textId="77777777" w:rsidR="00EA45BE" w:rsidRPr="00EA45BE" w:rsidRDefault="00EA45BE" w:rsidP="00EA45BE">
            <w:pPr>
              <w:widowControl/>
              <w:jc w:val="right"/>
              <w:rPr>
                <w:color w:val="000000"/>
              </w:rPr>
            </w:pPr>
            <w:r w:rsidRPr="00EA45BE">
              <w:rPr>
                <w:color w:val="000000"/>
              </w:rPr>
              <w:t>8.45</w:t>
            </w:r>
          </w:p>
        </w:tc>
        <w:tc>
          <w:tcPr>
            <w:tcW w:w="1000" w:type="dxa"/>
            <w:tcBorders>
              <w:top w:val="nil"/>
              <w:left w:val="nil"/>
              <w:bottom w:val="nil"/>
              <w:right w:val="nil"/>
            </w:tcBorders>
            <w:shd w:val="clear" w:color="auto" w:fill="auto"/>
            <w:noWrap/>
            <w:vAlign w:val="bottom"/>
            <w:hideMark/>
          </w:tcPr>
          <w:p w14:paraId="6E752E2B" w14:textId="77777777" w:rsidR="00EA45BE" w:rsidRPr="00EA45BE" w:rsidRDefault="00EA45BE" w:rsidP="00EA45BE">
            <w:pPr>
              <w:widowControl/>
              <w:jc w:val="right"/>
              <w:rPr>
                <w:color w:val="000000"/>
              </w:rPr>
            </w:pPr>
            <w:r w:rsidRPr="00EA45BE">
              <w:rPr>
                <w:color w:val="000000"/>
              </w:rPr>
              <w:t>105</w:t>
            </w:r>
          </w:p>
        </w:tc>
        <w:tc>
          <w:tcPr>
            <w:tcW w:w="800" w:type="dxa"/>
            <w:tcBorders>
              <w:top w:val="nil"/>
              <w:left w:val="nil"/>
              <w:bottom w:val="nil"/>
              <w:right w:val="nil"/>
            </w:tcBorders>
            <w:shd w:val="clear" w:color="auto" w:fill="auto"/>
            <w:noWrap/>
            <w:vAlign w:val="bottom"/>
            <w:hideMark/>
          </w:tcPr>
          <w:p w14:paraId="207918D7" w14:textId="77777777" w:rsidR="00EA45BE" w:rsidRPr="00EA45BE" w:rsidRDefault="00EA45BE" w:rsidP="00EA45BE">
            <w:pPr>
              <w:widowControl/>
              <w:jc w:val="right"/>
              <w:rPr>
                <w:color w:val="000000"/>
              </w:rPr>
            </w:pPr>
            <w:r w:rsidRPr="00EA45BE">
              <w:rPr>
                <w:color w:val="000000"/>
              </w:rPr>
              <w:t>55.29</w:t>
            </w:r>
          </w:p>
        </w:tc>
        <w:tc>
          <w:tcPr>
            <w:tcW w:w="805" w:type="dxa"/>
            <w:tcBorders>
              <w:top w:val="nil"/>
              <w:left w:val="nil"/>
              <w:bottom w:val="nil"/>
              <w:right w:val="nil"/>
            </w:tcBorders>
            <w:shd w:val="clear" w:color="auto" w:fill="auto"/>
            <w:noWrap/>
            <w:vAlign w:val="bottom"/>
            <w:hideMark/>
          </w:tcPr>
          <w:p w14:paraId="60BAB543" w14:textId="77777777" w:rsidR="00EA45BE" w:rsidRPr="00EA45BE" w:rsidRDefault="00EA45BE" w:rsidP="00EA45BE">
            <w:pPr>
              <w:widowControl/>
              <w:jc w:val="right"/>
              <w:rPr>
                <w:color w:val="000000"/>
              </w:rPr>
            </w:pPr>
            <w:r w:rsidRPr="00EA45BE">
              <w:rPr>
                <w:color w:val="000000"/>
              </w:rPr>
              <w:t>10.96</w:t>
            </w:r>
          </w:p>
        </w:tc>
        <w:tc>
          <w:tcPr>
            <w:tcW w:w="1005" w:type="dxa"/>
            <w:tcBorders>
              <w:top w:val="nil"/>
              <w:left w:val="nil"/>
              <w:bottom w:val="nil"/>
              <w:right w:val="nil"/>
            </w:tcBorders>
            <w:shd w:val="clear" w:color="auto" w:fill="auto"/>
            <w:noWrap/>
            <w:vAlign w:val="bottom"/>
            <w:hideMark/>
          </w:tcPr>
          <w:p w14:paraId="75C8BE47" w14:textId="77777777" w:rsidR="00EA45BE" w:rsidRPr="00EA45BE" w:rsidRDefault="00EA45BE" w:rsidP="00EA45BE">
            <w:pPr>
              <w:widowControl/>
              <w:jc w:val="right"/>
              <w:rPr>
                <w:color w:val="000000"/>
              </w:rPr>
            </w:pPr>
            <w:r w:rsidRPr="00EA45BE">
              <w:rPr>
                <w:color w:val="000000"/>
              </w:rPr>
              <w:t>74</w:t>
            </w:r>
          </w:p>
        </w:tc>
        <w:tc>
          <w:tcPr>
            <w:tcW w:w="800" w:type="dxa"/>
            <w:tcBorders>
              <w:top w:val="nil"/>
              <w:left w:val="nil"/>
              <w:bottom w:val="nil"/>
              <w:right w:val="nil"/>
            </w:tcBorders>
            <w:shd w:val="clear" w:color="auto" w:fill="auto"/>
            <w:noWrap/>
            <w:vAlign w:val="bottom"/>
            <w:hideMark/>
          </w:tcPr>
          <w:p w14:paraId="31389C0F" w14:textId="77777777" w:rsidR="00EA45BE" w:rsidRPr="00EA45BE" w:rsidRDefault="00EA45BE" w:rsidP="00EA45BE">
            <w:pPr>
              <w:widowControl/>
              <w:jc w:val="right"/>
              <w:rPr>
                <w:color w:val="000000"/>
              </w:rPr>
            </w:pPr>
            <w:r w:rsidRPr="00EA45BE">
              <w:rPr>
                <w:color w:val="000000"/>
              </w:rPr>
              <w:t>55.84</w:t>
            </w:r>
          </w:p>
        </w:tc>
        <w:tc>
          <w:tcPr>
            <w:tcW w:w="800" w:type="dxa"/>
            <w:tcBorders>
              <w:top w:val="nil"/>
              <w:left w:val="nil"/>
              <w:bottom w:val="nil"/>
              <w:right w:val="nil"/>
            </w:tcBorders>
            <w:shd w:val="clear" w:color="auto" w:fill="auto"/>
            <w:noWrap/>
            <w:vAlign w:val="bottom"/>
            <w:hideMark/>
          </w:tcPr>
          <w:p w14:paraId="63C7C570" w14:textId="77777777" w:rsidR="00EA45BE" w:rsidRPr="00EA45BE" w:rsidRDefault="00EA45BE" w:rsidP="00EA45BE">
            <w:pPr>
              <w:widowControl/>
              <w:jc w:val="right"/>
              <w:rPr>
                <w:color w:val="000000"/>
              </w:rPr>
            </w:pPr>
            <w:r w:rsidRPr="00EA45BE">
              <w:rPr>
                <w:color w:val="000000"/>
              </w:rPr>
              <w:t>8.33</w:t>
            </w:r>
          </w:p>
        </w:tc>
        <w:tc>
          <w:tcPr>
            <w:tcW w:w="1010" w:type="dxa"/>
            <w:tcBorders>
              <w:top w:val="nil"/>
              <w:left w:val="nil"/>
              <w:bottom w:val="nil"/>
              <w:right w:val="nil"/>
            </w:tcBorders>
            <w:shd w:val="clear" w:color="auto" w:fill="auto"/>
            <w:noWrap/>
            <w:vAlign w:val="bottom"/>
            <w:hideMark/>
          </w:tcPr>
          <w:p w14:paraId="01EE394D" w14:textId="77777777" w:rsidR="00EA45BE" w:rsidRPr="00EA45BE" w:rsidRDefault="00EA45BE" w:rsidP="00EA45BE">
            <w:pPr>
              <w:widowControl/>
              <w:jc w:val="right"/>
              <w:rPr>
                <w:color w:val="000000"/>
              </w:rPr>
            </w:pPr>
            <w:r w:rsidRPr="00EA45BE">
              <w:rPr>
                <w:color w:val="000000"/>
              </w:rPr>
              <w:t>127</w:t>
            </w:r>
          </w:p>
        </w:tc>
        <w:tc>
          <w:tcPr>
            <w:tcW w:w="800" w:type="dxa"/>
            <w:tcBorders>
              <w:top w:val="nil"/>
              <w:left w:val="nil"/>
              <w:bottom w:val="nil"/>
              <w:right w:val="nil"/>
            </w:tcBorders>
            <w:shd w:val="clear" w:color="auto" w:fill="auto"/>
            <w:noWrap/>
            <w:vAlign w:val="bottom"/>
            <w:hideMark/>
          </w:tcPr>
          <w:p w14:paraId="2B18E9C2" w14:textId="77777777" w:rsidR="00EA45BE" w:rsidRPr="00EA45BE" w:rsidRDefault="00EA45BE" w:rsidP="00EA45BE">
            <w:pPr>
              <w:widowControl/>
              <w:jc w:val="right"/>
              <w:rPr>
                <w:color w:val="000000"/>
              </w:rPr>
            </w:pPr>
            <w:r w:rsidRPr="00EA45BE">
              <w:rPr>
                <w:color w:val="000000"/>
              </w:rPr>
              <w:t>55.72</w:t>
            </w:r>
          </w:p>
        </w:tc>
        <w:tc>
          <w:tcPr>
            <w:tcW w:w="800" w:type="dxa"/>
            <w:tcBorders>
              <w:top w:val="nil"/>
              <w:left w:val="nil"/>
              <w:bottom w:val="nil"/>
              <w:right w:val="nil"/>
            </w:tcBorders>
            <w:shd w:val="clear" w:color="auto" w:fill="auto"/>
            <w:noWrap/>
            <w:vAlign w:val="bottom"/>
            <w:hideMark/>
          </w:tcPr>
          <w:p w14:paraId="75CC8673" w14:textId="77777777" w:rsidR="00EA45BE" w:rsidRPr="00EA45BE" w:rsidRDefault="00EA45BE" w:rsidP="00EA45BE">
            <w:pPr>
              <w:widowControl/>
              <w:jc w:val="right"/>
              <w:rPr>
                <w:color w:val="000000"/>
              </w:rPr>
            </w:pPr>
            <w:r w:rsidRPr="00EA45BE">
              <w:rPr>
                <w:color w:val="000000"/>
              </w:rPr>
              <w:t>8.21</w:t>
            </w:r>
          </w:p>
        </w:tc>
      </w:tr>
      <w:tr w:rsidR="00EA45BE" w:rsidRPr="00EA45BE" w14:paraId="6D6E71FB" w14:textId="77777777" w:rsidTr="002040D4">
        <w:trPr>
          <w:trHeight w:val="310"/>
        </w:trPr>
        <w:tc>
          <w:tcPr>
            <w:tcW w:w="1800" w:type="dxa"/>
            <w:tcBorders>
              <w:top w:val="nil"/>
              <w:left w:val="nil"/>
              <w:bottom w:val="nil"/>
              <w:right w:val="nil"/>
            </w:tcBorders>
            <w:shd w:val="clear" w:color="auto" w:fill="auto"/>
            <w:noWrap/>
            <w:vAlign w:val="bottom"/>
            <w:hideMark/>
          </w:tcPr>
          <w:p w14:paraId="68BAF09F" w14:textId="77777777" w:rsidR="00EA45BE" w:rsidRPr="00EA45BE" w:rsidRDefault="00EA45BE" w:rsidP="00EA45BE">
            <w:pPr>
              <w:widowControl/>
              <w:rPr>
                <w:color w:val="000000"/>
              </w:rPr>
            </w:pPr>
            <w:r w:rsidRPr="00EA45BE">
              <w:rPr>
                <w:color w:val="000000"/>
              </w:rPr>
              <w:t>PL winvla90</w:t>
            </w:r>
          </w:p>
        </w:tc>
        <w:tc>
          <w:tcPr>
            <w:tcW w:w="1106" w:type="dxa"/>
            <w:tcBorders>
              <w:top w:val="nil"/>
              <w:left w:val="nil"/>
              <w:bottom w:val="nil"/>
              <w:right w:val="nil"/>
            </w:tcBorders>
            <w:shd w:val="clear" w:color="auto" w:fill="auto"/>
            <w:noWrap/>
            <w:vAlign w:val="bottom"/>
            <w:hideMark/>
          </w:tcPr>
          <w:p w14:paraId="66ADE936" w14:textId="77777777" w:rsidR="00EA45BE" w:rsidRPr="00EA45BE" w:rsidRDefault="00EA45BE" w:rsidP="00EA45BE">
            <w:pPr>
              <w:widowControl/>
              <w:jc w:val="right"/>
              <w:rPr>
                <w:color w:val="000000"/>
              </w:rPr>
            </w:pPr>
            <w:r w:rsidRPr="00EA45BE">
              <w:rPr>
                <w:color w:val="000000"/>
              </w:rPr>
              <w:t>232</w:t>
            </w:r>
          </w:p>
        </w:tc>
        <w:tc>
          <w:tcPr>
            <w:tcW w:w="756" w:type="dxa"/>
            <w:tcBorders>
              <w:top w:val="nil"/>
              <w:left w:val="nil"/>
              <w:bottom w:val="nil"/>
              <w:right w:val="nil"/>
            </w:tcBorders>
            <w:shd w:val="clear" w:color="auto" w:fill="auto"/>
            <w:noWrap/>
            <w:vAlign w:val="bottom"/>
            <w:hideMark/>
          </w:tcPr>
          <w:p w14:paraId="38D8BA93" w14:textId="77777777" w:rsidR="00EA45BE" w:rsidRPr="00EA45BE" w:rsidRDefault="00EA45BE" w:rsidP="00EA45BE">
            <w:pPr>
              <w:widowControl/>
              <w:jc w:val="right"/>
              <w:rPr>
                <w:color w:val="000000"/>
              </w:rPr>
            </w:pPr>
            <w:r w:rsidRPr="00EA45BE">
              <w:rPr>
                <w:color w:val="000000"/>
              </w:rPr>
              <w:t>0.03</w:t>
            </w:r>
          </w:p>
        </w:tc>
        <w:tc>
          <w:tcPr>
            <w:tcW w:w="800" w:type="dxa"/>
            <w:tcBorders>
              <w:top w:val="nil"/>
              <w:left w:val="nil"/>
              <w:bottom w:val="nil"/>
              <w:right w:val="nil"/>
            </w:tcBorders>
            <w:shd w:val="clear" w:color="auto" w:fill="auto"/>
            <w:noWrap/>
            <w:vAlign w:val="bottom"/>
            <w:hideMark/>
          </w:tcPr>
          <w:p w14:paraId="6D7A59D7" w14:textId="77777777" w:rsidR="00EA45BE" w:rsidRPr="00EA45BE" w:rsidRDefault="00EA45BE" w:rsidP="00EA45BE">
            <w:pPr>
              <w:widowControl/>
              <w:jc w:val="right"/>
              <w:rPr>
                <w:color w:val="000000"/>
              </w:rPr>
            </w:pPr>
            <w:r w:rsidRPr="00EA45BE">
              <w:rPr>
                <w:color w:val="000000"/>
              </w:rPr>
              <w:t>0.17</w:t>
            </w:r>
          </w:p>
        </w:tc>
        <w:tc>
          <w:tcPr>
            <w:tcW w:w="1000" w:type="dxa"/>
            <w:tcBorders>
              <w:top w:val="nil"/>
              <w:left w:val="nil"/>
              <w:bottom w:val="nil"/>
              <w:right w:val="nil"/>
            </w:tcBorders>
            <w:shd w:val="clear" w:color="auto" w:fill="auto"/>
            <w:noWrap/>
            <w:vAlign w:val="bottom"/>
            <w:hideMark/>
          </w:tcPr>
          <w:p w14:paraId="09D56F0A" w14:textId="77777777" w:rsidR="00EA45BE" w:rsidRPr="00EA45BE" w:rsidRDefault="00EA45BE" w:rsidP="00EA45BE">
            <w:pPr>
              <w:widowControl/>
              <w:jc w:val="right"/>
              <w:rPr>
                <w:color w:val="000000"/>
              </w:rPr>
            </w:pPr>
            <w:r w:rsidRPr="00EA45BE">
              <w:rPr>
                <w:color w:val="000000"/>
              </w:rPr>
              <w:t>107</w:t>
            </w:r>
          </w:p>
        </w:tc>
        <w:tc>
          <w:tcPr>
            <w:tcW w:w="800" w:type="dxa"/>
            <w:tcBorders>
              <w:top w:val="nil"/>
              <w:left w:val="nil"/>
              <w:bottom w:val="nil"/>
              <w:right w:val="nil"/>
            </w:tcBorders>
            <w:shd w:val="clear" w:color="auto" w:fill="auto"/>
            <w:noWrap/>
            <w:vAlign w:val="bottom"/>
            <w:hideMark/>
          </w:tcPr>
          <w:p w14:paraId="5C1195B1" w14:textId="77777777" w:rsidR="00EA45BE" w:rsidRPr="00EA45BE" w:rsidRDefault="00EA45BE" w:rsidP="00EA45BE">
            <w:pPr>
              <w:widowControl/>
              <w:jc w:val="right"/>
              <w:rPr>
                <w:color w:val="000000"/>
              </w:rPr>
            </w:pPr>
            <w:r w:rsidRPr="00EA45BE">
              <w:rPr>
                <w:color w:val="000000"/>
              </w:rPr>
              <w:t>0.00</w:t>
            </w:r>
          </w:p>
        </w:tc>
        <w:tc>
          <w:tcPr>
            <w:tcW w:w="805" w:type="dxa"/>
            <w:tcBorders>
              <w:top w:val="nil"/>
              <w:left w:val="nil"/>
              <w:bottom w:val="nil"/>
              <w:right w:val="nil"/>
            </w:tcBorders>
            <w:shd w:val="clear" w:color="auto" w:fill="auto"/>
            <w:noWrap/>
            <w:vAlign w:val="bottom"/>
            <w:hideMark/>
          </w:tcPr>
          <w:p w14:paraId="29A896F2" w14:textId="77777777" w:rsidR="00EA45BE" w:rsidRPr="00EA45BE" w:rsidRDefault="00EA45BE" w:rsidP="00EA45BE">
            <w:pPr>
              <w:widowControl/>
              <w:jc w:val="right"/>
              <w:rPr>
                <w:color w:val="000000"/>
              </w:rPr>
            </w:pPr>
            <w:r w:rsidRPr="00EA45BE">
              <w:rPr>
                <w:color w:val="000000"/>
              </w:rPr>
              <w:t>0.18</w:t>
            </w:r>
          </w:p>
        </w:tc>
        <w:tc>
          <w:tcPr>
            <w:tcW w:w="1005" w:type="dxa"/>
            <w:tcBorders>
              <w:top w:val="nil"/>
              <w:left w:val="nil"/>
              <w:bottom w:val="nil"/>
              <w:right w:val="nil"/>
            </w:tcBorders>
            <w:shd w:val="clear" w:color="auto" w:fill="auto"/>
            <w:noWrap/>
            <w:vAlign w:val="bottom"/>
            <w:hideMark/>
          </w:tcPr>
          <w:p w14:paraId="43B38E1E" w14:textId="77777777" w:rsidR="00EA45BE" w:rsidRPr="00EA45BE" w:rsidRDefault="00EA45BE" w:rsidP="00EA45BE">
            <w:pPr>
              <w:widowControl/>
              <w:jc w:val="right"/>
              <w:rPr>
                <w:color w:val="000000"/>
              </w:rPr>
            </w:pPr>
            <w:r w:rsidRPr="00EA45BE">
              <w:rPr>
                <w:color w:val="000000"/>
              </w:rPr>
              <w:t>74</w:t>
            </w:r>
          </w:p>
        </w:tc>
        <w:tc>
          <w:tcPr>
            <w:tcW w:w="800" w:type="dxa"/>
            <w:tcBorders>
              <w:top w:val="nil"/>
              <w:left w:val="nil"/>
              <w:bottom w:val="nil"/>
              <w:right w:val="nil"/>
            </w:tcBorders>
            <w:shd w:val="clear" w:color="auto" w:fill="auto"/>
            <w:noWrap/>
            <w:vAlign w:val="bottom"/>
            <w:hideMark/>
          </w:tcPr>
          <w:p w14:paraId="5A5FE452" w14:textId="77777777" w:rsidR="00EA45BE" w:rsidRPr="00EA45BE" w:rsidRDefault="00EA45BE" w:rsidP="00EA45BE">
            <w:pPr>
              <w:widowControl/>
              <w:jc w:val="right"/>
              <w:rPr>
                <w:color w:val="000000"/>
              </w:rPr>
            </w:pPr>
            <w:r w:rsidRPr="00EA45BE">
              <w:rPr>
                <w:color w:val="000000"/>
              </w:rPr>
              <w:t>0.01</w:t>
            </w:r>
          </w:p>
        </w:tc>
        <w:tc>
          <w:tcPr>
            <w:tcW w:w="800" w:type="dxa"/>
            <w:tcBorders>
              <w:top w:val="nil"/>
              <w:left w:val="nil"/>
              <w:bottom w:val="nil"/>
              <w:right w:val="nil"/>
            </w:tcBorders>
            <w:shd w:val="clear" w:color="auto" w:fill="auto"/>
            <w:noWrap/>
            <w:vAlign w:val="bottom"/>
            <w:hideMark/>
          </w:tcPr>
          <w:p w14:paraId="2BC70C4F" w14:textId="77777777" w:rsidR="00EA45BE" w:rsidRPr="00EA45BE" w:rsidRDefault="00EA45BE" w:rsidP="00EA45BE">
            <w:pPr>
              <w:widowControl/>
              <w:jc w:val="right"/>
              <w:rPr>
                <w:color w:val="000000"/>
              </w:rPr>
            </w:pPr>
            <w:r w:rsidRPr="00EA45BE">
              <w:rPr>
                <w:color w:val="000000"/>
              </w:rPr>
              <w:t>0.17</w:t>
            </w:r>
          </w:p>
        </w:tc>
        <w:tc>
          <w:tcPr>
            <w:tcW w:w="1010" w:type="dxa"/>
            <w:tcBorders>
              <w:top w:val="nil"/>
              <w:left w:val="nil"/>
              <w:bottom w:val="nil"/>
              <w:right w:val="nil"/>
            </w:tcBorders>
            <w:shd w:val="clear" w:color="auto" w:fill="auto"/>
            <w:noWrap/>
            <w:vAlign w:val="bottom"/>
            <w:hideMark/>
          </w:tcPr>
          <w:p w14:paraId="0E300978" w14:textId="77777777" w:rsidR="00EA45BE" w:rsidRPr="00EA45BE" w:rsidRDefault="00EA45BE" w:rsidP="00EA45BE">
            <w:pPr>
              <w:widowControl/>
              <w:jc w:val="right"/>
              <w:rPr>
                <w:color w:val="000000"/>
              </w:rPr>
            </w:pPr>
            <w:r w:rsidRPr="00EA45BE">
              <w:rPr>
                <w:color w:val="000000"/>
              </w:rPr>
              <w:t>134</w:t>
            </w:r>
          </w:p>
        </w:tc>
        <w:tc>
          <w:tcPr>
            <w:tcW w:w="800" w:type="dxa"/>
            <w:tcBorders>
              <w:top w:val="nil"/>
              <w:left w:val="nil"/>
              <w:bottom w:val="nil"/>
              <w:right w:val="nil"/>
            </w:tcBorders>
            <w:shd w:val="clear" w:color="auto" w:fill="auto"/>
            <w:noWrap/>
            <w:vAlign w:val="bottom"/>
            <w:hideMark/>
          </w:tcPr>
          <w:p w14:paraId="63E8011B" w14:textId="77777777" w:rsidR="00EA45BE" w:rsidRPr="00EA45BE" w:rsidRDefault="00EA45BE" w:rsidP="00EA45BE">
            <w:pPr>
              <w:widowControl/>
              <w:jc w:val="right"/>
              <w:rPr>
                <w:color w:val="000000"/>
              </w:rPr>
            </w:pPr>
            <w:r w:rsidRPr="00EA45BE">
              <w:rPr>
                <w:color w:val="000000"/>
              </w:rPr>
              <w:t>0.03</w:t>
            </w:r>
          </w:p>
        </w:tc>
        <w:tc>
          <w:tcPr>
            <w:tcW w:w="800" w:type="dxa"/>
            <w:tcBorders>
              <w:top w:val="nil"/>
              <w:left w:val="nil"/>
              <w:bottom w:val="nil"/>
              <w:right w:val="nil"/>
            </w:tcBorders>
            <w:shd w:val="clear" w:color="auto" w:fill="auto"/>
            <w:noWrap/>
            <w:vAlign w:val="bottom"/>
            <w:hideMark/>
          </w:tcPr>
          <w:p w14:paraId="567F51B5" w14:textId="77777777" w:rsidR="00EA45BE" w:rsidRPr="00EA45BE" w:rsidRDefault="00EA45BE" w:rsidP="00EA45BE">
            <w:pPr>
              <w:widowControl/>
              <w:jc w:val="right"/>
              <w:rPr>
                <w:color w:val="000000"/>
              </w:rPr>
            </w:pPr>
            <w:r w:rsidRPr="00EA45BE">
              <w:rPr>
                <w:color w:val="000000"/>
              </w:rPr>
              <w:t>0.17</w:t>
            </w:r>
          </w:p>
        </w:tc>
      </w:tr>
      <w:tr w:rsidR="00EA45BE" w:rsidRPr="00EA45BE" w14:paraId="0AC4E720" w14:textId="77777777" w:rsidTr="002040D4">
        <w:trPr>
          <w:trHeight w:val="310"/>
        </w:trPr>
        <w:tc>
          <w:tcPr>
            <w:tcW w:w="1800" w:type="dxa"/>
            <w:tcBorders>
              <w:top w:val="nil"/>
              <w:left w:val="nil"/>
              <w:bottom w:val="nil"/>
              <w:right w:val="nil"/>
            </w:tcBorders>
            <w:shd w:val="clear" w:color="auto" w:fill="auto"/>
            <w:noWrap/>
            <w:vAlign w:val="bottom"/>
            <w:hideMark/>
          </w:tcPr>
          <w:p w14:paraId="4117933C" w14:textId="77777777" w:rsidR="00EA45BE" w:rsidRPr="00EA45BE" w:rsidRDefault="00EA45BE" w:rsidP="00EA45BE">
            <w:pPr>
              <w:widowControl/>
              <w:rPr>
                <w:color w:val="000000"/>
              </w:rPr>
            </w:pPr>
            <w:r w:rsidRPr="00EA45BE">
              <w:rPr>
                <w:color w:val="000000"/>
              </w:rPr>
              <w:t xml:space="preserve">PL </w:t>
            </w:r>
            <w:proofErr w:type="spellStart"/>
            <w:r w:rsidRPr="00EA45BE">
              <w:rPr>
                <w:color w:val="000000"/>
              </w:rPr>
              <w:t>gainvla</w:t>
            </w:r>
            <w:proofErr w:type="spellEnd"/>
          </w:p>
        </w:tc>
        <w:tc>
          <w:tcPr>
            <w:tcW w:w="1106" w:type="dxa"/>
            <w:tcBorders>
              <w:top w:val="nil"/>
              <w:left w:val="nil"/>
              <w:bottom w:val="nil"/>
              <w:right w:val="nil"/>
            </w:tcBorders>
            <w:shd w:val="clear" w:color="auto" w:fill="auto"/>
            <w:noWrap/>
            <w:vAlign w:val="bottom"/>
            <w:hideMark/>
          </w:tcPr>
          <w:p w14:paraId="407831C0" w14:textId="77777777" w:rsidR="00EA45BE" w:rsidRPr="00EA45BE" w:rsidRDefault="00EA45BE" w:rsidP="00EA45BE">
            <w:pPr>
              <w:widowControl/>
              <w:jc w:val="right"/>
              <w:rPr>
                <w:color w:val="000000"/>
              </w:rPr>
            </w:pPr>
            <w:r w:rsidRPr="00EA45BE">
              <w:rPr>
                <w:color w:val="000000"/>
              </w:rPr>
              <w:t>232</w:t>
            </w:r>
          </w:p>
        </w:tc>
        <w:tc>
          <w:tcPr>
            <w:tcW w:w="756" w:type="dxa"/>
            <w:tcBorders>
              <w:top w:val="nil"/>
              <w:left w:val="nil"/>
              <w:bottom w:val="nil"/>
              <w:right w:val="nil"/>
            </w:tcBorders>
            <w:shd w:val="clear" w:color="auto" w:fill="auto"/>
            <w:noWrap/>
            <w:vAlign w:val="bottom"/>
            <w:hideMark/>
          </w:tcPr>
          <w:p w14:paraId="5E195B21" w14:textId="77777777" w:rsidR="00EA45BE" w:rsidRPr="00EA45BE" w:rsidRDefault="00EA45BE" w:rsidP="00EA45BE">
            <w:pPr>
              <w:widowControl/>
              <w:jc w:val="right"/>
              <w:rPr>
                <w:color w:val="000000"/>
              </w:rPr>
            </w:pPr>
            <w:r w:rsidRPr="00EA45BE">
              <w:rPr>
                <w:color w:val="000000"/>
              </w:rPr>
              <w:t>0.53</w:t>
            </w:r>
          </w:p>
        </w:tc>
        <w:tc>
          <w:tcPr>
            <w:tcW w:w="800" w:type="dxa"/>
            <w:tcBorders>
              <w:top w:val="nil"/>
              <w:left w:val="nil"/>
              <w:bottom w:val="nil"/>
              <w:right w:val="nil"/>
            </w:tcBorders>
            <w:shd w:val="clear" w:color="auto" w:fill="auto"/>
            <w:noWrap/>
            <w:vAlign w:val="bottom"/>
            <w:hideMark/>
          </w:tcPr>
          <w:p w14:paraId="0DC9ECAA" w14:textId="77777777" w:rsidR="00EA45BE" w:rsidRPr="00EA45BE" w:rsidRDefault="00EA45BE" w:rsidP="00EA45BE">
            <w:pPr>
              <w:widowControl/>
              <w:jc w:val="right"/>
              <w:rPr>
                <w:color w:val="000000"/>
              </w:rPr>
            </w:pPr>
            <w:r w:rsidRPr="00EA45BE">
              <w:rPr>
                <w:color w:val="000000"/>
              </w:rPr>
              <w:t>0.25</w:t>
            </w:r>
          </w:p>
        </w:tc>
        <w:tc>
          <w:tcPr>
            <w:tcW w:w="1000" w:type="dxa"/>
            <w:tcBorders>
              <w:top w:val="nil"/>
              <w:left w:val="nil"/>
              <w:bottom w:val="nil"/>
              <w:right w:val="nil"/>
            </w:tcBorders>
            <w:shd w:val="clear" w:color="auto" w:fill="auto"/>
            <w:noWrap/>
            <w:vAlign w:val="bottom"/>
            <w:hideMark/>
          </w:tcPr>
          <w:p w14:paraId="1688E9E9" w14:textId="77777777" w:rsidR="00EA45BE" w:rsidRPr="00EA45BE" w:rsidRDefault="00EA45BE" w:rsidP="00EA45BE">
            <w:pPr>
              <w:widowControl/>
              <w:jc w:val="right"/>
              <w:rPr>
                <w:color w:val="000000"/>
              </w:rPr>
            </w:pPr>
            <w:r w:rsidRPr="00EA45BE">
              <w:rPr>
                <w:color w:val="000000"/>
              </w:rPr>
              <w:t>107</w:t>
            </w:r>
          </w:p>
        </w:tc>
        <w:tc>
          <w:tcPr>
            <w:tcW w:w="800" w:type="dxa"/>
            <w:tcBorders>
              <w:top w:val="nil"/>
              <w:left w:val="nil"/>
              <w:bottom w:val="nil"/>
              <w:right w:val="nil"/>
            </w:tcBorders>
            <w:shd w:val="clear" w:color="auto" w:fill="auto"/>
            <w:noWrap/>
            <w:vAlign w:val="bottom"/>
            <w:hideMark/>
          </w:tcPr>
          <w:p w14:paraId="1D82534F" w14:textId="77777777" w:rsidR="00EA45BE" w:rsidRPr="00EA45BE" w:rsidRDefault="00EA45BE" w:rsidP="00EA45BE">
            <w:pPr>
              <w:widowControl/>
              <w:jc w:val="right"/>
              <w:rPr>
                <w:color w:val="000000"/>
              </w:rPr>
            </w:pPr>
            <w:r w:rsidRPr="00EA45BE">
              <w:rPr>
                <w:color w:val="000000"/>
              </w:rPr>
              <w:t>0.57</w:t>
            </w:r>
          </w:p>
        </w:tc>
        <w:tc>
          <w:tcPr>
            <w:tcW w:w="805" w:type="dxa"/>
            <w:tcBorders>
              <w:top w:val="nil"/>
              <w:left w:val="nil"/>
              <w:bottom w:val="nil"/>
              <w:right w:val="nil"/>
            </w:tcBorders>
            <w:shd w:val="clear" w:color="auto" w:fill="auto"/>
            <w:noWrap/>
            <w:vAlign w:val="bottom"/>
            <w:hideMark/>
          </w:tcPr>
          <w:p w14:paraId="2BC2B200" w14:textId="77777777" w:rsidR="00EA45BE" w:rsidRPr="00EA45BE" w:rsidRDefault="00EA45BE" w:rsidP="00EA45BE">
            <w:pPr>
              <w:widowControl/>
              <w:jc w:val="right"/>
              <w:rPr>
                <w:color w:val="000000"/>
              </w:rPr>
            </w:pPr>
            <w:r w:rsidRPr="00EA45BE">
              <w:rPr>
                <w:color w:val="000000"/>
              </w:rPr>
              <w:t>0.26</w:t>
            </w:r>
          </w:p>
        </w:tc>
        <w:tc>
          <w:tcPr>
            <w:tcW w:w="1005" w:type="dxa"/>
            <w:tcBorders>
              <w:top w:val="nil"/>
              <w:left w:val="nil"/>
              <w:bottom w:val="nil"/>
              <w:right w:val="nil"/>
            </w:tcBorders>
            <w:shd w:val="clear" w:color="auto" w:fill="auto"/>
            <w:noWrap/>
            <w:vAlign w:val="bottom"/>
            <w:hideMark/>
          </w:tcPr>
          <w:p w14:paraId="67337B98" w14:textId="77777777" w:rsidR="00EA45BE" w:rsidRPr="00EA45BE" w:rsidRDefault="00EA45BE" w:rsidP="00EA45BE">
            <w:pPr>
              <w:widowControl/>
              <w:jc w:val="right"/>
              <w:rPr>
                <w:color w:val="000000"/>
              </w:rPr>
            </w:pPr>
            <w:r w:rsidRPr="00EA45BE">
              <w:rPr>
                <w:color w:val="000000"/>
              </w:rPr>
              <w:t>74</w:t>
            </w:r>
          </w:p>
        </w:tc>
        <w:tc>
          <w:tcPr>
            <w:tcW w:w="800" w:type="dxa"/>
            <w:tcBorders>
              <w:top w:val="nil"/>
              <w:left w:val="nil"/>
              <w:bottom w:val="nil"/>
              <w:right w:val="nil"/>
            </w:tcBorders>
            <w:shd w:val="clear" w:color="auto" w:fill="auto"/>
            <w:noWrap/>
            <w:vAlign w:val="bottom"/>
            <w:hideMark/>
          </w:tcPr>
          <w:p w14:paraId="3D196F01" w14:textId="77777777" w:rsidR="00EA45BE" w:rsidRPr="00EA45BE" w:rsidRDefault="00EA45BE" w:rsidP="00EA45BE">
            <w:pPr>
              <w:widowControl/>
              <w:jc w:val="right"/>
              <w:rPr>
                <w:color w:val="000000"/>
              </w:rPr>
            </w:pPr>
            <w:r w:rsidRPr="00EA45BE">
              <w:rPr>
                <w:color w:val="000000"/>
              </w:rPr>
              <w:t>0.56</w:t>
            </w:r>
          </w:p>
        </w:tc>
        <w:tc>
          <w:tcPr>
            <w:tcW w:w="800" w:type="dxa"/>
            <w:tcBorders>
              <w:top w:val="nil"/>
              <w:left w:val="nil"/>
              <w:bottom w:val="nil"/>
              <w:right w:val="nil"/>
            </w:tcBorders>
            <w:shd w:val="clear" w:color="auto" w:fill="auto"/>
            <w:noWrap/>
            <w:vAlign w:val="bottom"/>
            <w:hideMark/>
          </w:tcPr>
          <w:p w14:paraId="13C44BB6" w14:textId="77777777" w:rsidR="00EA45BE" w:rsidRPr="00EA45BE" w:rsidRDefault="00EA45BE" w:rsidP="00EA45BE">
            <w:pPr>
              <w:widowControl/>
              <w:jc w:val="right"/>
              <w:rPr>
                <w:color w:val="000000"/>
              </w:rPr>
            </w:pPr>
            <w:r w:rsidRPr="00EA45BE">
              <w:rPr>
                <w:color w:val="000000"/>
              </w:rPr>
              <w:t>0.25</w:t>
            </w:r>
          </w:p>
        </w:tc>
        <w:tc>
          <w:tcPr>
            <w:tcW w:w="1010" w:type="dxa"/>
            <w:tcBorders>
              <w:top w:val="nil"/>
              <w:left w:val="nil"/>
              <w:bottom w:val="nil"/>
              <w:right w:val="nil"/>
            </w:tcBorders>
            <w:shd w:val="clear" w:color="auto" w:fill="auto"/>
            <w:noWrap/>
            <w:vAlign w:val="bottom"/>
            <w:hideMark/>
          </w:tcPr>
          <w:p w14:paraId="6C99507E" w14:textId="77777777" w:rsidR="00EA45BE" w:rsidRPr="00EA45BE" w:rsidRDefault="00EA45BE" w:rsidP="00EA45BE">
            <w:pPr>
              <w:widowControl/>
              <w:jc w:val="right"/>
              <w:rPr>
                <w:color w:val="000000"/>
              </w:rPr>
            </w:pPr>
            <w:r w:rsidRPr="00EA45BE">
              <w:rPr>
                <w:color w:val="000000"/>
              </w:rPr>
              <w:t>134</w:t>
            </w:r>
          </w:p>
        </w:tc>
        <w:tc>
          <w:tcPr>
            <w:tcW w:w="800" w:type="dxa"/>
            <w:tcBorders>
              <w:top w:val="nil"/>
              <w:left w:val="nil"/>
              <w:bottom w:val="nil"/>
              <w:right w:val="nil"/>
            </w:tcBorders>
            <w:shd w:val="clear" w:color="auto" w:fill="auto"/>
            <w:noWrap/>
            <w:vAlign w:val="bottom"/>
            <w:hideMark/>
          </w:tcPr>
          <w:p w14:paraId="50B1E7A3" w14:textId="77777777" w:rsidR="00EA45BE" w:rsidRPr="00EA45BE" w:rsidRDefault="00EA45BE" w:rsidP="00EA45BE">
            <w:pPr>
              <w:widowControl/>
              <w:jc w:val="right"/>
              <w:rPr>
                <w:color w:val="000000"/>
              </w:rPr>
            </w:pPr>
            <w:r w:rsidRPr="00EA45BE">
              <w:rPr>
                <w:color w:val="000000"/>
              </w:rPr>
              <w:t>0.52</w:t>
            </w:r>
          </w:p>
        </w:tc>
        <w:tc>
          <w:tcPr>
            <w:tcW w:w="800" w:type="dxa"/>
            <w:tcBorders>
              <w:top w:val="nil"/>
              <w:left w:val="nil"/>
              <w:bottom w:val="nil"/>
              <w:right w:val="nil"/>
            </w:tcBorders>
            <w:shd w:val="clear" w:color="auto" w:fill="auto"/>
            <w:noWrap/>
            <w:vAlign w:val="bottom"/>
            <w:hideMark/>
          </w:tcPr>
          <w:p w14:paraId="5410276A" w14:textId="77777777" w:rsidR="00EA45BE" w:rsidRPr="00EA45BE" w:rsidRDefault="00EA45BE" w:rsidP="00EA45BE">
            <w:pPr>
              <w:widowControl/>
              <w:jc w:val="right"/>
              <w:rPr>
                <w:color w:val="000000"/>
              </w:rPr>
            </w:pPr>
            <w:r w:rsidRPr="00EA45BE">
              <w:rPr>
                <w:color w:val="000000"/>
              </w:rPr>
              <w:t>0.28</w:t>
            </w:r>
          </w:p>
        </w:tc>
      </w:tr>
      <w:tr w:rsidR="00EA45BE" w:rsidRPr="00EA45BE" w14:paraId="2CADD37B" w14:textId="77777777" w:rsidTr="002040D4">
        <w:trPr>
          <w:trHeight w:val="310"/>
        </w:trPr>
        <w:tc>
          <w:tcPr>
            <w:tcW w:w="1800" w:type="dxa"/>
            <w:tcBorders>
              <w:top w:val="nil"/>
              <w:left w:val="nil"/>
              <w:bottom w:val="nil"/>
              <w:right w:val="nil"/>
            </w:tcBorders>
            <w:shd w:val="clear" w:color="auto" w:fill="auto"/>
            <w:noWrap/>
            <w:vAlign w:val="bottom"/>
            <w:hideMark/>
          </w:tcPr>
          <w:p w14:paraId="3EE37364" w14:textId="77777777" w:rsidR="00EA45BE" w:rsidRPr="00EA45BE" w:rsidRDefault="00EA45BE" w:rsidP="00EA45BE">
            <w:pPr>
              <w:widowControl/>
              <w:rPr>
                <w:color w:val="000000"/>
              </w:rPr>
            </w:pPr>
            <w:r w:rsidRPr="00EA45BE">
              <w:rPr>
                <w:color w:val="000000"/>
              </w:rPr>
              <w:t>EI context</w:t>
            </w:r>
          </w:p>
        </w:tc>
        <w:tc>
          <w:tcPr>
            <w:tcW w:w="1106" w:type="dxa"/>
            <w:tcBorders>
              <w:top w:val="nil"/>
              <w:left w:val="nil"/>
              <w:bottom w:val="nil"/>
              <w:right w:val="nil"/>
            </w:tcBorders>
            <w:shd w:val="clear" w:color="auto" w:fill="auto"/>
            <w:noWrap/>
            <w:vAlign w:val="bottom"/>
            <w:hideMark/>
          </w:tcPr>
          <w:p w14:paraId="36CEA915" w14:textId="77777777" w:rsidR="00EA45BE" w:rsidRPr="00EA45BE" w:rsidRDefault="00EA45BE" w:rsidP="00EA45BE">
            <w:pPr>
              <w:widowControl/>
              <w:jc w:val="right"/>
              <w:rPr>
                <w:color w:val="000000"/>
              </w:rPr>
            </w:pPr>
            <w:r w:rsidRPr="00EA45BE">
              <w:rPr>
                <w:color w:val="000000"/>
              </w:rPr>
              <w:t>215</w:t>
            </w:r>
          </w:p>
        </w:tc>
        <w:tc>
          <w:tcPr>
            <w:tcW w:w="756" w:type="dxa"/>
            <w:tcBorders>
              <w:top w:val="nil"/>
              <w:left w:val="nil"/>
              <w:bottom w:val="nil"/>
              <w:right w:val="nil"/>
            </w:tcBorders>
            <w:shd w:val="clear" w:color="auto" w:fill="auto"/>
            <w:noWrap/>
            <w:vAlign w:val="bottom"/>
            <w:hideMark/>
          </w:tcPr>
          <w:p w14:paraId="313957BB" w14:textId="77777777" w:rsidR="00EA45BE" w:rsidRPr="00EA45BE" w:rsidRDefault="00EA45BE" w:rsidP="00EA45BE">
            <w:pPr>
              <w:widowControl/>
              <w:jc w:val="right"/>
              <w:rPr>
                <w:color w:val="000000"/>
              </w:rPr>
            </w:pPr>
            <w:r w:rsidRPr="00EA45BE">
              <w:rPr>
                <w:color w:val="000000"/>
              </w:rPr>
              <w:t>74.39</w:t>
            </w:r>
          </w:p>
        </w:tc>
        <w:tc>
          <w:tcPr>
            <w:tcW w:w="800" w:type="dxa"/>
            <w:tcBorders>
              <w:top w:val="nil"/>
              <w:left w:val="nil"/>
              <w:bottom w:val="nil"/>
              <w:right w:val="nil"/>
            </w:tcBorders>
            <w:shd w:val="clear" w:color="auto" w:fill="auto"/>
            <w:noWrap/>
            <w:vAlign w:val="bottom"/>
            <w:hideMark/>
          </w:tcPr>
          <w:p w14:paraId="7FE7773F" w14:textId="77777777" w:rsidR="00EA45BE" w:rsidRPr="00EA45BE" w:rsidRDefault="00EA45BE" w:rsidP="00EA45BE">
            <w:pPr>
              <w:widowControl/>
              <w:jc w:val="right"/>
              <w:rPr>
                <w:color w:val="000000"/>
              </w:rPr>
            </w:pPr>
            <w:r w:rsidRPr="00EA45BE">
              <w:rPr>
                <w:color w:val="000000"/>
              </w:rPr>
              <w:t>33.82</w:t>
            </w:r>
          </w:p>
        </w:tc>
        <w:tc>
          <w:tcPr>
            <w:tcW w:w="1000" w:type="dxa"/>
            <w:tcBorders>
              <w:top w:val="nil"/>
              <w:left w:val="nil"/>
              <w:bottom w:val="nil"/>
              <w:right w:val="nil"/>
            </w:tcBorders>
            <w:shd w:val="clear" w:color="auto" w:fill="auto"/>
            <w:noWrap/>
            <w:vAlign w:val="bottom"/>
            <w:hideMark/>
          </w:tcPr>
          <w:p w14:paraId="6DD6B5AD" w14:textId="77777777" w:rsidR="00EA45BE" w:rsidRPr="00EA45BE" w:rsidRDefault="00EA45BE" w:rsidP="00EA45BE">
            <w:pPr>
              <w:widowControl/>
              <w:jc w:val="right"/>
              <w:rPr>
                <w:color w:val="000000"/>
              </w:rPr>
            </w:pPr>
            <w:r w:rsidRPr="00EA45BE">
              <w:rPr>
                <w:color w:val="000000"/>
              </w:rPr>
              <w:t>104</w:t>
            </w:r>
          </w:p>
        </w:tc>
        <w:tc>
          <w:tcPr>
            <w:tcW w:w="800" w:type="dxa"/>
            <w:tcBorders>
              <w:top w:val="nil"/>
              <w:left w:val="nil"/>
              <w:bottom w:val="nil"/>
              <w:right w:val="nil"/>
            </w:tcBorders>
            <w:shd w:val="clear" w:color="auto" w:fill="auto"/>
            <w:noWrap/>
            <w:vAlign w:val="bottom"/>
            <w:hideMark/>
          </w:tcPr>
          <w:p w14:paraId="6104AF8C" w14:textId="77777777" w:rsidR="00EA45BE" w:rsidRPr="00EA45BE" w:rsidRDefault="00EA45BE" w:rsidP="00EA45BE">
            <w:pPr>
              <w:widowControl/>
              <w:jc w:val="right"/>
              <w:rPr>
                <w:color w:val="000000"/>
              </w:rPr>
            </w:pPr>
            <w:r w:rsidRPr="00EA45BE">
              <w:rPr>
                <w:color w:val="000000"/>
              </w:rPr>
              <w:t>64.47</w:t>
            </w:r>
          </w:p>
        </w:tc>
        <w:tc>
          <w:tcPr>
            <w:tcW w:w="805" w:type="dxa"/>
            <w:tcBorders>
              <w:top w:val="nil"/>
              <w:left w:val="nil"/>
              <w:bottom w:val="nil"/>
              <w:right w:val="nil"/>
            </w:tcBorders>
            <w:shd w:val="clear" w:color="auto" w:fill="auto"/>
            <w:noWrap/>
            <w:vAlign w:val="bottom"/>
            <w:hideMark/>
          </w:tcPr>
          <w:p w14:paraId="0BCF77E3" w14:textId="77777777" w:rsidR="00EA45BE" w:rsidRPr="00EA45BE" w:rsidRDefault="00EA45BE" w:rsidP="00EA45BE">
            <w:pPr>
              <w:widowControl/>
              <w:jc w:val="right"/>
              <w:rPr>
                <w:color w:val="000000"/>
              </w:rPr>
            </w:pPr>
            <w:r w:rsidRPr="00EA45BE">
              <w:rPr>
                <w:color w:val="000000"/>
              </w:rPr>
              <w:t>45.58</w:t>
            </w:r>
          </w:p>
        </w:tc>
        <w:tc>
          <w:tcPr>
            <w:tcW w:w="1005" w:type="dxa"/>
            <w:tcBorders>
              <w:top w:val="nil"/>
              <w:left w:val="nil"/>
              <w:bottom w:val="nil"/>
              <w:right w:val="nil"/>
            </w:tcBorders>
            <w:shd w:val="clear" w:color="auto" w:fill="auto"/>
            <w:noWrap/>
            <w:vAlign w:val="bottom"/>
            <w:hideMark/>
          </w:tcPr>
          <w:p w14:paraId="3136F3C4" w14:textId="77777777" w:rsidR="00EA45BE" w:rsidRPr="00EA45BE" w:rsidRDefault="00EA45BE" w:rsidP="00EA45BE">
            <w:pPr>
              <w:widowControl/>
              <w:jc w:val="right"/>
              <w:rPr>
                <w:color w:val="000000"/>
              </w:rPr>
            </w:pPr>
            <w:r w:rsidRPr="00EA45BE">
              <w:rPr>
                <w:color w:val="000000"/>
              </w:rPr>
              <w:t>71</w:t>
            </w:r>
          </w:p>
        </w:tc>
        <w:tc>
          <w:tcPr>
            <w:tcW w:w="800" w:type="dxa"/>
            <w:tcBorders>
              <w:top w:val="nil"/>
              <w:left w:val="nil"/>
              <w:bottom w:val="nil"/>
              <w:right w:val="nil"/>
            </w:tcBorders>
            <w:shd w:val="clear" w:color="auto" w:fill="auto"/>
            <w:noWrap/>
            <w:vAlign w:val="bottom"/>
            <w:hideMark/>
          </w:tcPr>
          <w:p w14:paraId="243277CD" w14:textId="77777777" w:rsidR="00EA45BE" w:rsidRPr="00EA45BE" w:rsidRDefault="00EA45BE" w:rsidP="00EA45BE">
            <w:pPr>
              <w:widowControl/>
              <w:jc w:val="right"/>
              <w:rPr>
                <w:color w:val="000000"/>
              </w:rPr>
            </w:pPr>
            <w:r w:rsidRPr="00EA45BE">
              <w:rPr>
                <w:color w:val="000000"/>
              </w:rPr>
              <w:t>69.14</w:t>
            </w:r>
          </w:p>
        </w:tc>
        <w:tc>
          <w:tcPr>
            <w:tcW w:w="800" w:type="dxa"/>
            <w:tcBorders>
              <w:top w:val="nil"/>
              <w:left w:val="nil"/>
              <w:bottom w:val="nil"/>
              <w:right w:val="nil"/>
            </w:tcBorders>
            <w:shd w:val="clear" w:color="auto" w:fill="auto"/>
            <w:noWrap/>
            <w:vAlign w:val="bottom"/>
            <w:hideMark/>
          </w:tcPr>
          <w:p w14:paraId="3F2AC5E5" w14:textId="77777777" w:rsidR="00EA45BE" w:rsidRPr="00EA45BE" w:rsidRDefault="00EA45BE" w:rsidP="00EA45BE">
            <w:pPr>
              <w:widowControl/>
              <w:jc w:val="right"/>
              <w:rPr>
                <w:color w:val="000000"/>
              </w:rPr>
            </w:pPr>
            <w:r w:rsidRPr="00EA45BE">
              <w:rPr>
                <w:color w:val="000000"/>
              </w:rPr>
              <w:t>41.44</w:t>
            </w:r>
          </w:p>
        </w:tc>
        <w:tc>
          <w:tcPr>
            <w:tcW w:w="1010" w:type="dxa"/>
            <w:tcBorders>
              <w:top w:val="nil"/>
              <w:left w:val="nil"/>
              <w:bottom w:val="nil"/>
              <w:right w:val="nil"/>
            </w:tcBorders>
            <w:shd w:val="clear" w:color="auto" w:fill="auto"/>
            <w:noWrap/>
            <w:vAlign w:val="bottom"/>
            <w:hideMark/>
          </w:tcPr>
          <w:p w14:paraId="66F6B489" w14:textId="77777777" w:rsidR="00EA45BE" w:rsidRPr="00EA45BE" w:rsidRDefault="00EA45BE" w:rsidP="00EA45BE">
            <w:pPr>
              <w:widowControl/>
              <w:jc w:val="right"/>
              <w:rPr>
                <w:color w:val="000000"/>
              </w:rPr>
            </w:pPr>
            <w:r w:rsidRPr="00EA45BE">
              <w:rPr>
                <w:color w:val="000000"/>
              </w:rPr>
              <w:t>130</w:t>
            </w:r>
          </w:p>
        </w:tc>
        <w:tc>
          <w:tcPr>
            <w:tcW w:w="800" w:type="dxa"/>
            <w:tcBorders>
              <w:top w:val="nil"/>
              <w:left w:val="nil"/>
              <w:bottom w:val="nil"/>
              <w:right w:val="nil"/>
            </w:tcBorders>
            <w:shd w:val="clear" w:color="auto" w:fill="auto"/>
            <w:noWrap/>
            <w:vAlign w:val="bottom"/>
            <w:hideMark/>
          </w:tcPr>
          <w:p w14:paraId="2178DD83" w14:textId="77777777" w:rsidR="00EA45BE" w:rsidRPr="00EA45BE" w:rsidRDefault="00EA45BE" w:rsidP="00EA45BE">
            <w:pPr>
              <w:widowControl/>
              <w:jc w:val="right"/>
              <w:rPr>
                <w:color w:val="000000"/>
              </w:rPr>
            </w:pPr>
            <w:r w:rsidRPr="00EA45BE">
              <w:rPr>
                <w:color w:val="000000"/>
              </w:rPr>
              <w:t>79.88</w:t>
            </w:r>
          </w:p>
        </w:tc>
        <w:tc>
          <w:tcPr>
            <w:tcW w:w="800" w:type="dxa"/>
            <w:tcBorders>
              <w:top w:val="nil"/>
              <w:left w:val="nil"/>
              <w:bottom w:val="nil"/>
              <w:right w:val="nil"/>
            </w:tcBorders>
            <w:shd w:val="clear" w:color="auto" w:fill="auto"/>
            <w:noWrap/>
            <w:vAlign w:val="bottom"/>
            <w:hideMark/>
          </w:tcPr>
          <w:p w14:paraId="34D6BA17" w14:textId="77777777" w:rsidR="00EA45BE" w:rsidRPr="00EA45BE" w:rsidRDefault="00EA45BE" w:rsidP="00EA45BE">
            <w:pPr>
              <w:widowControl/>
              <w:jc w:val="right"/>
              <w:rPr>
                <w:color w:val="000000"/>
              </w:rPr>
            </w:pPr>
            <w:r w:rsidRPr="00EA45BE">
              <w:rPr>
                <w:color w:val="000000"/>
              </w:rPr>
              <w:t>29.06</w:t>
            </w:r>
          </w:p>
        </w:tc>
      </w:tr>
      <w:tr w:rsidR="00EA45BE" w:rsidRPr="00EA45BE" w14:paraId="3C1BBF97" w14:textId="77777777" w:rsidTr="002040D4">
        <w:trPr>
          <w:trHeight w:val="310"/>
        </w:trPr>
        <w:tc>
          <w:tcPr>
            <w:tcW w:w="1800" w:type="dxa"/>
            <w:tcBorders>
              <w:top w:val="nil"/>
              <w:left w:val="nil"/>
              <w:bottom w:val="nil"/>
              <w:right w:val="nil"/>
            </w:tcBorders>
            <w:shd w:val="clear" w:color="auto" w:fill="auto"/>
            <w:noWrap/>
            <w:vAlign w:val="bottom"/>
            <w:hideMark/>
          </w:tcPr>
          <w:p w14:paraId="2396E855" w14:textId="77777777" w:rsidR="00EA45BE" w:rsidRPr="00EA45BE" w:rsidRDefault="00EA45BE" w:rsidP="00EA45BE">
            <w:pPr>
              <w:widowControl/>
              <w:rPr>
                <w:color w:val="000000"/>
              </w:rPr>
            </w:pPr>
            <w:r w:rsidRPr="00EA45BE">
              <w:rPr>
                <w:color w:val="000000"/>
              </w:rPr>
              <w:t>MF inverted</w:t>
            </w:r>
          </w:p>
        </w:tc>
        <w:tc>
          <w:tcPr>
            <w:tcW w:w="1106" w:type="dxa"/>
            <w:tcBorders>
              <w:top w:val="nil"/>
              <w:left w:val="nil"/>
              <w:bottom w:val="nil"/>
              <w:right w:val="nil"/>
            </w:tcBorders>
            <w:shd w:val="clear" w:color="auto" w:fill="auto"/>
            <w:noWrap/>
            <w:vAlign w:val="bottom"/>
            <w:hideMark/>
          </w:tcPr>
          <w:p w14:paraId="6F5BC5C4" w14:textId="77777777" w:rsidR="00EA45BE" w:rsidRPr="00EA45BE" w:rsidRDefault="00EA45BE" w:rsidP="00EA45BE">
            <w:pPr>
              <w:widowControl/>
              <w:jc w:val="right"/>
              <w:rPr>
                <w:color w:val="000000"/>
              </w:rPr>
            </w:pPr>
            <w:r w:rsidRPr="00EA45BE">
              <w:rPr>
                <w:color w:val="000000"/>
              </w:rPr>
              <w:t>208</w:t>
            </w:r>
          </w:p>
        </w:tc>
        <w:tc>
          <w:tcPr>
            <w:tcW w:w="756" w:type="dxa"/>
            <w:tcBorders>
              <w:top w:val="nil"/>
              <w:left w:val="nil"/>
              <w:bottom w:val="nil"/>
              <w:right w:val="nil"/>
            </w:tcBorders>
            <w:shd w:val="clear" w:color="auto" w:fill="auto"/>
            <w:noWrap/>
            <w:vAlign w:val="bottom"/>
            <w:hideMark/>
          </w:tcPr>
          <w:p w14:paraId="2EBED595" w14:textId="77777777" w:rsidR="00EA45BE" w:rsidRPr="00EA45BE" w:rsidRDefault="00EA45BE" w:rsidP="00EA45BE">
            <w:pPr>
              <w:widowControl/>
              <w:jc w:val="right"/>
              <w:rPr>
                <w:color w:val="000000"/>
              </w:rPr>
            </w:pPr>
            <w:r w:rsidRPr="00EA45BE">
              <w:rPr>
                <w:color w:val="000000"/>
              </w:rPr>
              <w:t>37.76</w:t>
            </w:r>
          </w:p>
        </w:tc>
        <w:tc>
          <w:tcPr>
            <w:tcW w:w="800" w:type="dxa"/>
            <w:tcBorders>
              <w:top w:val="nil"/>
              <w:left w:val="nil"/>
              <w:bottom w:val="nil"/>
              <w:right w:val="nil"/>
            </w:tcBorders>
            <w:shd w:val="clear" w:color="auto" w:fill="auto"/>
            <w:noWrap/>
            <w:vAlign w:val="bottom"/>
            <w:hideMark/>
          </w:tcPr>
          <w:p w14:paraId="6A1485D3" w14:textId="77777777" w:rsidR="00EA45BE" w:rsidRPr="00EA45BE" w:rsidRDefault="00EA45BE" w:rsidP="00EA45BE">
            <w:pPr>
              <w:widowControl/>
              <w:jc w:val="right"/>
              <w:rPr>
                <w:color w:val="000000"/>
              </w:rPr>
            </w:pPr>
            <w:r w:rsidRPr="00EA45BE">
              <w:rPr>
                <w:color w:val="000000"/>
              </w:rPr>
              <w:t>23.09</w:t>
            </w:r>
          </w:p>
        </w:tc>
        <w:tc>
          <w:tcPr>
            <w:tcW w:w="1000" w:type="dxa"/>
            <w:tcBorders>
              <w:top w:val="nil"/>
              <w:left w:val="nil"/>
              <w:bottom w:val="nil"/>
              <w:right w:val="nil"/>
            </w:tcBorders>
            <w:shd w:val="clear" w:color="auto" w:fill="auto"/>
            <w:noWrap/>
            <w:vAlign w:val="bottom"/>
            <w:hideMark/>
          </w:tcPr>
          <w:p w14:paraId="305EE18B" w14:textId="77777777" w:rsidR="00EA45BE" w:rsidRPr="00EA45BE" w:rsidRDefault="00EA45BE" w:rsidP="00EA45BE">
            <w:pPr>
              <w:widowControl/>
              <w:jc w:val="right"/>
              <w:rPr>
                <w:color w:val="000000"/>
              </w:rPr>
            </w:pPr>
            <w:r w:rsidRPr="00EA45BE">
              <w:rPr>
                <w:color w:val="000000"/>
              </w:rPr>
              <w:t>98</w:t>
            </w:r>
          </w:p>
        </w:tc>
        <w:tc>
          <w:tcPr>
            <w:tcW w:w="800" w:type="dxa"/>
            <w:tcBorders>
              <w:top w:val="nil"/>
              <w:left w:val="nil"/>
              <w:bottom w:val="nil"/>
              <w:right w:val="nil"/>
            </w:tcBorders>
            <w:shd w:val="clear" w:color="auto" w:fill="auto"/>
            <w:noWrap/>
            <w:vAlign w:val="bottom"/>
            <w:hideMark/>
          </w:tcPr>
          <w:p w14:paraId="42FF6EEF" w14:textId="77777777" w:rsidR="00EA45BE" w:rsidRPr="00EA45BE" w:rsidRDefault="00EA45BE" w:rsidP="00EA45BE">
            <w:pPr>
              <w:widowControl/>
              <w:jc w:val="right"/>
              <w:rPr>
                <w:color w:val="000000"/>
              </w:rPr>
            </w:pPr>
            <w:r w:rsidRPr="00EA45BE">
              <w:rPr>
                <w:color w:val="000000"/>
              </w:rPr>
              <w:t>30.23</w:t>
            </w:r>
          </w:p>
        </w:tc>
        <w:tc>
          <w:tcPr>
            <w:tcW w:w="805" w:type="dxa"/>
            <w:tcBorders>
              <w:top w:val="nil"/>
              <w:left w:val="nil"/>
              <w:bottom w:val="nil"/>
              <w:right w:val="nil"/>
            </w:tcBorders>
            <w:shd w:val="clear" w:color="auto" w:fill="auto"/>
            <w:noWrap/>
            <w:vAlign w:val="bottom"/>
            <w:hideMark/>
          </w:tcPr>
          <w:p w14:paraId="5C4F8DB4" w14:textId="77777777" w:rsidR="00EA45BE" w:rsidRPr="00EA45BE" w:rsidRDefault="00EA45BE" w:rsidP="00EA45BE">
            <w:pPr>
              <w:widowControl/>
              <w:jc w:val="right"/>
              <w:rPr>
                <w:color w:val="000000"/>
              </w:rPr>
            </w:pPr>
            <w:r w:rsidRPr="00EA45BE">
              <w:rPr>
                <w:color w:val="000000"/>
              </w:rPr>
              <w:t>19.06</w:t>
            </w:r>
          </w:p>
        </w:tc>
        <w:tc>
          <w:tcPr>
            <w:tcW w:w="1005" w:type="dxa"/>
            <w:tcBorders>
              <w:top w:val="nil"/>
              <w:left w:val="nil"/>
              <w:bottom w:val="nil"/>
              <w:right w:val="nil"/>
            </w:tcBorders>
            <w:shd w:val="clear" w:color="auto" w:fill="auto"/>
            <w:noWrap/>
            <w:vAlign w:val="bottom"/>
            <w:hideMark/>
          </w:tcPr>
          <w:p w14:paraId="72FC2C25" w14:textId="77777777" w:rsidR="00EA45BE" w:rsidRPr="00EA45BE" w:rsidRDefault="00EA45BE" w:rsidP="00EA45BE">
            <w:pPr>
              <w:widowControl/>
              <w:jc w:val="right"/>
              <w:rPr>
                <w:color w:val="000000"/>
              </w:rPr>
            </w:pPr>
            <w:r w:rsidRPr="00EA45BE">
              <w:rPr>
                <w:color w:val="000000"/>
              </w:rPr>
              <w:t>69</w:t>
            </w:r>
          </w:p>
        </w:tc>
        <w:tc>
          <w:tcPr>
            <w:tcW w:w="800" w:type="dxa"/>
            <w:tcBorders>
              <w:top w:val="nil"/>
              <w:left w:val="nil"/>
              <w:bottom w:val="nil"/>
              <w:right w:val="nil"/>
            </w:tcBorders>
            <w:shd w:val="clear" w:color="auto" w:fill="auto"/>
            <w:noWrap/>
            <w:vAlign w:val="bottom"/>
            <w:hideMark/>
          </w:tcPr>
          <w:p w14:paraId="4F368E03" w14:textId="77777777" w:rsidR="00EA45BE" w:rsidRPr="00EA45BE" w:rsidRDefault="00EA45BE" w:rsidP="00EA45BE">
            <w:pPr>
              <w:widowControl/>
              <w:jc w:val="right"/>
              <w:rPr>
                <w:color w:val="000000"/>
              </w:rPr>
            </w:pPr>
            <w:r w:rsidRPr="00EA45BE">
              <w:rPr>
                <w:color w:val="000000"/>
              </w:rPr>
              <w:t>27.23</w:t>
            </w:r>
          </w:p>
        </w:tc>
        <w:tc>
          <w:tcPr>
            <w:tcW w:w="800" w:type="dxa"/>
            <w:tcBorders>
              <w:top w:val="nil"/>
              <w:left w:val="nil"/>
              <w:bottom w:val="nil"/>
              <w:right w:val="nil"/>
            </w:tcBorders>
            <w:shd w:val="clear" w:color="auto" w:fill="auto"/>
            <w:noWrap/>
            <w:vAlign w:val="bottom"/>
            <w:hideMark/>
          </w:tcPr>
          <w:p w14:paraId="7AF2EB9E" w14:textId="77777777" w:rsidR="00EA45BE" w:rsidRPr="00EA45BE" w:rsidRDefault="00EA45BE" w:rsidP="00EA45BE">
            <w:pPr>
              <w:widowControl/>
              <w:jc w:val="right"/>
              <w:rPr>
                <w:color w:val="000000"/>
              </w:rPr>
            </w:pPr>
            <w:r w:rsidRPr="00EA45BE">
              <w:rPr>
                <w:color w:val="000000"/>
              </w:rPr>
              <w:t>18.94</w:t>
            </w:r>
          </w:p>
        </w:tc>
        <w:tc>
          <w:tcPr>
            <w:tcW w:w="1010" w:type="dxa"/>
            <w:tcBorders>
              <w:top w:val="nil"/>
              <w:left w:val="nil"/>
              <w:bottom w:val="nil"/>
              <w:right w:val="nil"/>
            </w:tcBorders>
            <w:shd w:val="clear" w:color="auto" w:fill="auto"/>
            <w:noWrap/>
            <w:vAlign w:val="bottom"/>
            <w:hideMark/>
          </w:tcPr>
          <w:p w14:paraId="54460721" w14:textId="77777777" w:rsidR="00EA45BE" w:rsidRPr="00EA45BE" w:rsidRDefault="00EA45BE" w:rsidP="00EA45BE">
            <w:pPr>
              <w:widowControl/>
              <w:jc w:val="right"/>
              <w:rPr>
                <w:color w:val="000000"/>
              </w:rPr>
            </w:pPr>
            <w:r w:rsidRPr="00EA45BE">
              <w:rPr>
                <w:color w:val="000000"/>
              </w:rPr>
              <w:t>116</w:t>
            </w:r>
          </w:p>
        </w:tc>
        <w:tc>
          <w:tcPr>
            <w:tcW w:w="800" w:type="dxa"/>
            <w:tcBorders>
              <w:top w:val="nil"/>
              <w:left w:val="nil"/>
              <w:bottom w:val="nil"/>
              <w:right w:val="nil"/>
            </w:tcBorders>
            <w:shd w:val="clear" w:color="auto" w:fill="auto"/>
            <w:noWrap/>
            <w:vAlign w:val="bottom"/>
            <w:hideMark/>
          </w:tcPr>
          <w:p w14:paraId="1D8C6B36" w14:textId="77777777" w:rsidR="00EA45BE" w:rsidRPr="00EA45BE" w:rsidRDefault="00EA45BE" w:rsidP="00EA45BE">
            <w:pPr>
              <w:widowControl/>
              <w:jc w:val="right"/>
              <w:rPr>
                <w:color w:val="000000"/>
              </w:rPr>
            </w:pPr>
            <w:r w:rsidRPr="00EA45BE">
              <w:rPr>
                <w:color w:val="000000"/>
              </w:rPr>
              <w:t>27.61</w:t>
            </w:r>
          </w:p>
        </w:tc>
        <w:tc>
          <w:tcPr>
            <w:tcW w:w="800" w:type="dxa"/>
            <w:tcBorders>
              <w:top w:val="nil"/>
              <w:left w:val="nil"/>
              <w:bottom w:val="nil"/>
              <w:right w:val="nil"/>
            </w:tcBorders>
            <w:shd w:val="clear" w:color="auto" w:fill="auto"/>
            <w:noWrap/>
            <w:vAlign w:val="bottom"/>
            <w:hideMark/>
          </w:tcPr>
          <w:p w14:paraId="2EF9B183" w14:textId="77777777" w:rsidR="00EA45BE" w:rsidRPr="00EA45BE" w:rsidRDefault="00EA45BE" w:rsidP="00EA45BE">
            <w:pPr>
              <w:widowControl/>
              <w:jc w:val="right"/>
              <w:rPr>
                <w:color w:val="000000"/>
              </w:rPr>
            </w:pPr>
            <w:r w:rsidRPr="00EA45BE">
              <w:rPr>
                <w:color w:val="000000"/>
              </w:rPr>
              <w:t>21.08</w:t>
            </w:r>
          </w:p>
        </w:tc>
      </w:tr>
      <w:tr w:rsidR="00EA45BE" w:rsidRPr="00EA45BE" w14:paraId="365FF814" w14:textId="77777777" w:rsidTr="002040D4">
        <w:trPr>
          <w:trHeight w:val="310"/>
        </w:trPr>
        <w:tc>
          <w:tcPr>
            <w:tcW w:w="1800" w:type="dxa"/>
            <w:tcBorders>
              <w:top w:val="nil"/>
              <w:left w:val="nil"/>
              <w:bottom w:val="single" w:sz="4" w:space="0" w:color="auto"/>
              <w:right w:val="nil"/>
            </w:tcBorders>
            <w:shd w:val="clear" w:color="auto" w:fill="auto"/>
            <w:noWrap/>
            <w:vAlign w:val="bottom"/>
            <w:hideMark/>
          </w:tcPr>
          <w:p w14:paraId="0F91C4E6" w14:textId="77777777" w:rsidR="00EA45BE" w:rsidRPr="00EA45BE" w:rsidRDefault="00EA45BE" w:rsidP="00EA45BE">
            <w:pPr>
              <w:widowControl/>
              <w:rPr>
                <w:color w:val="000000"/>
              </w:rPr>
            </w:pPr>
            <w:r w:rsidRPr="00EA45BE">
              <w:rPr>
                <w:color w:val="000000"/>
              </w:rPr>
              <w:t>MF upright</w:t>
            </w:r>
          </w:p>
        </w:tc>
        <w:tc>
          <w:tcPr>
            <w:tcW w:w="1106" w:type="dxa"/>
            <w:tcBorders>
              <w:top w:val="nil"/>
              <w:left w:val="nil"/>
              <w:bottom w:val="single" w:sz="4" w:space="0" w:color="auto"/>
              <w:right w:val="nil"/>
            </w:tcBorders>
            <w:shd w:val="clear" w:color="auto" w:fill="auto"/>
            <w:noWrap/>
            <w:vAlign w:val="bottom"/>
            <w:hideMark/>
          </w:tcPr>
          <w:p w14:paraId="663B5224" w14:textId="77777777" w:rsidR="00EA45BE" w:rsidRPr="00EA45BE" w:rsidRDefault="00EA45BE" w:rsidP="00EA45BE">
            <w:pPr>
              <w:widowControl/>
              <w:jc w:val="right"/>
              <w:rPr>
                <w:color w:val="000000"/>
              </w:rPr>
            </w:pPr>
            <w:r w:rsidRPr="00EA45BE">
              <w:rPr>
                <w:color w:val="000000"/>
              </w:rPr>
              <w:t>206</w:t>
            </w:r>
          </w:p>
        </w:tc>
        <w:tc>
          <w:tcPr>
            <w:tcW w:w="756" w:type="dxa"/>
            <w:tcBorders>
              <w:top w:val="nil"/>
              <w:left w:val="nil"/>
              <w:bottom w:val="single" w:sz="4" w:space="0" w:color="auto"/>
              <w:right w:val="nil"/>
            </w:tcBorders>
            <w:shd w:val="clear" w:color="auto" w:fill="auto"/>
            <w:noWrap/>
            <w:vAlign w:val="bottom"/>
            <w:hideMark/>
          </w:tcPr>
          <w:p w14:paraId="0CCB1DD3" w14:textId="77777777" w:rsidR="00EA45BE" w:rsidRPr="00EA45BE" w:rsidRDefault="00EA45BE" w:rsidP="00EA45BE">
            <w:pPr>
              <w:widowControl/>
              <w:jc w:val="right"/>
              <w:rPr>
                <w:color w:val="000000"/>
              </w:rPr>
            </w:pPr>
            <w:r w:rsidRPr="00EA45BE">
              <w:rPr>
                <w:color w:val="000000"/>
              </w:rPr>
              <w:t>79.50</w:t>
            </w:r>
          </w:p>
        </w:tc>
        <w:tc>
          <w:tcPr>
            <w:tcW w:w="800" w:type="dxa"/>
            <w:tcBorders>
              <w:top w:val="nil"/>
              <w:left w:val="nil"/>
              <w:bottom w:val="single" w:sz="4" w:space="0" w:color="auto"/>
              <w:right w:val="nil"/>
            </w:tcBorders>
            <w:shd w:val="clear" w:color="auto" w:fill="auto"/>
            <w:noWrap/>
            <w:vAlign w:val="bottom"/>
            <w:hideMark/>
          </w:tcPr>
          <w:p w14:paraId="6743ECF5" w14:textId="77777777" w:rsidR="00EA45BE" w:rsidRPr="00EA45BE" w:rsidRDefault="00EA45BE" w:rsidP="00EA45BE">
            <w:pPr>
              <w:widowControl/>
              <w:jc w:val="right"/>
              <w:rPr>
                <w:color w:val="000000"/>
              </w:rPr>
            </w:pPr>
            <w:r w:rsidRPr="00EA45BE">
              <w:rPr>
                <w:color w:val="000000"/>
              </w:rPr>
              <w:t>13.04</w:t>
            </w:r>
          </w:p>
        </w:tc>
        <w:tc>
          <w:tcPr>
            <w:tcW w:w="1000" w:type="dxa"/>
            <w:tcBorders>
              <w:top w:val="nil"/>
              <w:left w:val="nil"/>
              <w:bottom w:val="single" w:sz="4" w:space="0" w:color="auto"/>
              <w:right w:val="nil"/>
            </w:tcBorders>
            <w:shd w:val="clear" w:color="auto" w:fill="auto"/>
            <w:noWrap/>
            <w:vAlign w:val="bottom"/>
            <w:hideMark/>
          </w:tcPr>
          <w:p w14:paraId="33E673E2" w14:textId="77777777" w:rsidR="00EA45BE" w:rsidRPr="00EA45BE" w:rsidRDefault="00EA45BE" w:rsidP="00EA45BE">
            <w:pPr>
              <w:widowControl/>
              <w:jc w:val="right"/>
              <w:rPr>
                <w:color w:val="000000"/>
              </w:rPr>
            </w:pPr>
            <w:r w:rsidRPr="00EA45BE">
              <w:rPr>
                <w:color w:val="000000"/>
              </w:rPr>
              <w:t>98</w:t>
            </w:r>
          </w:p>
        </w:tc>
        <w:tc>
          <w:tcPr>
            <w:tcW w:w="800" w:type="dxa"/>
            <w:tcBorders>
              <w:top w:val="nil"/>
              <w:left w:val="nil"/>
              <w:bottom w:val="single" w:sz="4" w:space="0" w:color="auto"/>
              <w:right w:val="nil"/>
            </w:tcBorders>
            <w:shd w:val="clear" w:color="auto" w:fill="auto"/>
            <w:noWrap/>
            <w:vAlign w:val="bottom"/>
            <w:hideMark/>
          </w:tcPr>
          <w:p w14:paraId="2AF868C3" w14:textId="77777777" w:rsidR="00EA45BE" w:rsidRPr="00EA45BE" w:rsidRDefault="00EA45BE" w:rsidP="00EA45BE">
            <w:pPr>
              <w:widowControl/>
              <w:jc w:val="right"/>
              <w:rPr>
                <w:color w:val="000000"/>
              </w:rPr>
            </w:pPr>
            <w:r w:rsidRPr="00EA45BE">
              <w:rPr>
                <w:color w:val="000000"/>
              </w:rPr>
              <w:t>77.74</w:t>
            </w:r>
          </w:p>
        </w:tc>
        <w:tc>
          <w:tcPr>
            <w:tcW w:w="805" w:type="dxa"/>
            <w:tcBorders>
              <w:top w:val="nil"/>
              <w:left w:val="nil"/>
              <w:bottom w:val="single" w:sz="4" w:space="0" w:color="auto"/>
              <w:right w:val="nil"/>
            </w:tcBorders>
            <w:shd w:val="clear" w:color="auto" w:fill="auto"/>
            <w:noWrap/>
            <w:vAlign w:val="bottom"/>
            <w:hideMark/>
          </w:tcPr>
          <w:p w14:paraId="16D7DB82" w14:textId="77777777" w:rsidR="00EA45BE" w:rsidRPr="00EA45BE" w:rsidRDefault="00EA45BE" w:rsidP="00EA45BE">
            <w:pPr>
              <w:widowControl/>
              <w:jc w:val="right"/>
              <w:rPr>
                <w:color w:val="000000"/>
              </w:rPr>
            </w:pPr>
            <w:r w:rsidRPr="00EA45BE">
              <w:rPr>
                <w:color w:val="000000"/>
              </w:rPr>
              <w:t>11.19</w:t>
            </w:r>
          </w:p>
        </w:tc>
        <w:tc>
          <w:tcPr>
            <w:tcW w:w="1005" w:type="dxa"/>
            <w:tcBorders>
              <w:top w:val="nil"/>
              <w:left w:val="nil"/>
              <w:bottom w:val="single" w:sz="4" w:space="0" w:color="auto"/>
              <w:right w:val="nil"/>
            </w:tcBorders>
            <w:shd w:val="clear" w:color="auto" w:fill="auto"/>
            <w:noWrap/>
            <w:vAlign w:val="bottom"/>
            <w:hideMark/>
          </w:tcPr>
          <w:p w14:paraId="720CB575" w14:textId="77777777" w:rsidR="00EA45BE" w:rsidRPr="00EA45BE" w:rsidRDefault="00EA45BE" w:rsidP="00EA45BE">
            <w:pPr>
              <w:widowControl/>
              <w:jc w:val="right"/>
              <w:rPr>
                <w:color w:val="000000"/>
              </w:rPr>
            </w:pPr>
            <w:r w:rsidRPr="00EA45BE">
              <w:rPr>
                <w:color w:val="000000"/>
              </w:rPr>
              <w:t>69</w:t>
            </w:r>
          </w:p>
        </w:tc>
        <w:tc>
          <w:tcPr>
            <w:tcW w:w="800" w:type="dxa"/>
            <w:tcBorders>
              <w:top w:val="nil"/>
              <w:left w:val="nil"/>
              <w:bottom w:val="single" w:sz="4" w:space="0" w:color="auto"/>
              <w:right w:val="nil"/>
            </w:tcBorders>
            <w:shd w:val="clear" w:color="auto" w:fill="auto"/>
            <w:noWrap/>
            <w:vAlign w:val="bottom"/>
            <w:hideMark/>
          </w:tcPr>
          <w:p w14:paraId="6C9A4249" w14:textId="77777777" w:rsidR="00EA45BE" w:rsidRPr="00EA45BE" w:rsidRDefault="00EA45BE" w:rsidP="00EA45BE">
            <w:pPr>
              <w:widowControl/>
              <w:jc w:val="right"/>
              <w:rPr>
                <w:color w:val="000000"/>
              </w:rPr>
            </w:pPr>
            <w:r w:rsidRPr="00EA45BE">
              <w:rPr>
                <w:color w:val="000000"/>
              </w:rPr>
              <w:t>77.01</w:t>
            </w:r>
          </w:p>
        </w:tc>
        <w:tc>
          <w:tcPr>
            <w:tcW w:w="800" w:type="dxa"/>
            <w:tcBorders>
              <w:top w:val="nil"/>
              <w:left w:val="nil"/>
              <w:bottom w:val="single" w:sz="4" w:space="0" w:color="auto"/>
              <w:right w:val="nil"/>
            </w:tcBorders>
            <w:shd w:val="clear" w:color="auto" w:fill="auto"/>
            <w:noWrap/>
            <w:vAlign w:val="bottom"/>
            <w:hideMark/>
          </w:tcPr>
          <w:p w14:paraId="74EDE33A" w14:textId="77777777" w:rsidR="00EA45BE" w:rsidRPr="00EA45BE" w:rsidRDefault="00EA45BE" w:rsidP="00EA45BE">
            <w:pPr>
              <w:widowControl/>
              <w:jc w:val="right"/>
              <w:rPr>
                <w:color w:val="000000"/>
              </w:rPr>
            </w:pPr>
            <w:r w:rsidRPr="00EA45BE">
              <w:rPr>
                <w:color w:val="000000"/>
              </w:rPr>
              <w:t>13.92</w:t>
            </w:r>
          </w:p>
        </w:tc>
        <w:tc>
          <w:tcPr>
            <w:tcW w:w="1010" w:type="dxa"/>
            <w:tcBorders>
              <w:top w:val="nil"/>
              <w:left w:val="nil"/>
              <w:bottom w:val="single" w:sz="4" w:space="0" w:color="auto"/>
              <w:right w:val="nil"/>
            </w:tcBorders>
            <w:shd w:val="clear" w:color="auto" w:fill="auto"/>
            <w:noWrap/>
            <w:vAlign w:val="bottom"/>
            <w:hideMark/>
          </w:tcPr>
          <w:p w14:paraId="653319E2" w14:textId="77777777" w:rsidR="00EA45BE" w:rsidRPr="00EA45BE" w:rsidRDefault="00EA45BE" w:rsidP="00EA45BE">
            <w:pPr>
              <w:widowControl/>
              <w:jc w:val="right"/>
              <w:rPr>
                <w:color w:val="000000"/>
              </w:rPr>
            </w:pPr>
            <w:r w:rsidRPr="00EA45BE">
              <w:rPr>
                <w:color w:val="000000"/>
              </w:rPr>
              <w:t>116</w:t>
            </w:r>
          </w:p>
        </w:tc>
        <w:tc>
          <w:tcPr>
            <w:tcW w:w="800" w:type="dxa"/>
            <w:tcBorders>
              <w:top w:val="nil"/>
              <w:left w:val="nil"/>
              <w:bottom w:val="single" w:sz="4" w:space="0" w:color="auto"/>
              <w:right w:val="nil"/>
            </w:tcBorders>
            <w:shd w:val="clear" w:color="auto" w:fill="auto"/>
            <w:noWrap/>
            <w:vAlign w:val="bottom"/>
            <w:hideMark/>
          </w:tcPr>
          <w:p w14:paraId="7474F001" w14:textId="77777777" w:rsidR="00EA45BE" w:rsidRPr="00EA45BE" w:rsidRDefault="00EA45BE" w:rsidP="00EA45BE">
            <w:pPr>
              <w:widowControl/>
              <w:jc w:val="right"/>
              <w:rPr>
                <w:color w:val="000000"/>
              </w:rPr>
            </w:pPr>
            <w:r w:rsidRPr="00EA45BE">
              <w:rPr>
                <w:color w:val="000000"/>
              </w:rPr>
              <w:t>76.74</w:t>
            </w:r>
          </w:p>
        </w:tc>
        <w:tc>
          <w:tcPr>
            <w:tcW w:w="800" w:type="dxa"/>
            <w:tcBorders>
              <w:top w:val="nil"/>
              <w:left w:val="nil"/>
              <w:bottom w:val="single" w:sz="4" w:space="0" w:color="auto"/>
              <w:right w:val="nil"/>
            </w:tcBorders>
            <w:shd w:val="clear" w:color="auto" w:fill="auto"/>
            <w:noWrap/>
            <w:vAlign w:val="bottom"/>
            <w:hideMark/>
          </w:tcPr>
          <w:p w14:paraId="45284EB3" w14:textId="77777777" w:rsidR="00EA45BE" w:rsidRPr="00EA45BE" w:rsidRDefault="00EA45BE" w:rsidP="00EA45BE">
            <w:pPr>
              <w:widowControl/>
              <w:jc w:val="right"/>
              <w:rPr>
                <w:color w:val="000000"/>
              </w:rPr>
            </w:pPr>
            <w:r w:rsidRPr="00EA45BE">
              <w:rPr>
                <w:color w:val="000000"/>
              </w:rPr>
              <w:t>13.86</w:t>
            </w:r>
          </w:p>
        </w:tc>
      </w:tr>
      <w:tr w:rsidR="009E69B2" w:rsidRPr="00EA45BE" w14:paraId="44032B05" w14:textId="77777777" w:rsidTr="002040D4">
        <w:trPr>
          <w:trHeight w:val="310"/>
        </w:trPr>
        <w:tc>
          <w:tcPr>
            <w:tcW w:w="12278" w:type="dxa"/>
            <w:gridSpan w:val="13"/>
            <w:tcBorders>
              <w:top w:val="single" w:sz="4" w:space="0" w:color="auto"/>
              <w:left w:val="nil"/>
              <w:bottom w:val="nil"/>
              <w:right w:val="nil"/>
            </w:tcBorders>
            <w:shd w:val="clear" w:color="auto" w:fill="auto"/>
            <w:noWrap/>
            <w:vAlign w:val="bottom"/>
            <w:hideMark/>
          </w:tcPr>
          <w:p w14:paraId="16E7570C" w14:textId="742E90BA" w:rsidR="009E69B2" w:rsidRPr="00EA45BE" w:rsidRDefault="009E69B2" w:rsidP="00EA45BE">
            <w:pPr>
              <w:widowControl/>
              <w:rPr>
                <w:sz w:val="20"/>
                <w:szCs w:val="20"/>
              </w:rPr>
            </w:pPr>
            <w:r w:rsidRPr="00EA45BE">
              <w:rPr>
                <w:i/>
                <w:iCs/>
                <w:color w:val="000000"/>
              </w:rPr>
              <w:t>Note</w:t>
            </w:r>
            <w:proofErr w:type="gramStart"/>
            <w:r w:rsidRPr="00EA45BE">
              <w:rPr>
                <w:color w:val="000000"/>
              </w:rPr>
              <w:t>.</w:t>
            </w:r>
            <w:r>
              <w:rPr>
                <w:color w:val="000000"/>
              </w:rPr>
              <w:t xml:space="preserve"> </w:t>
            </w:r>
            <w:r>
              <w:t>.</w:t>
            </w:r>
            <w:proofErr w:type="gramEnd"/>
            <w:r>
              <w:t xml:space="preserve"> CHR-P = clinical high risk for psychosis, PLE = psychosis like experiences (not meeting CHR-P criteria), CLN = current or recent mental health diagnoses, and HC = healthy controls.</w:t>
            </w:r>
          </w:p>
        </w:tc>
      </w:tr>
    </w:tbl>
    <w:p w14:paraId="594CF13E" w14:textId="77777777" w:rsidR="00BB47EC" w:rsidRDefault="00BB47EC" w:rsidP="0049008B"/>
    <w:p w14:paraId="7A351C04" w14:textId="77777777" w:rsidR="00BB47EC" w:rsidRDefault="00BB47EC" w:rsidP="0049008B"/>
    <w:p w14:paraId="616E8FEF" w14:textId="69949E1C" w:rsidR="00EA45BE" w:rsidRDefault="00EA45BE" w:rsidP="0049008B">
      <w:pPr>
        <w:sectPr w:rsidR="00EA45BE" w:rsidSect="00EA45BE">
          <w:pgSz w:w="15840" w:h="12240" w:orient="landscape"/>
          <w:pgMar w:top="1440" w:right="1440" w:bottom="1440" w:left="1440" w:header="720" w:footer="720" w:gutter="0"/>
          <w:pgNumType w:start="1"/>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800"/>
        <w:gridCol w:w="3065"/>
      </w:tblGrid>
      <w:tr w:rsidR="005D22E8" w:rsidRPr="005D22E8" w14:paraId="6CAF44CF" w14:textId="77777777" w:rsidTr="008734CA">
        <w:trPr>
          <w:trHeight w:val="310"/>
        </w:trPr>
        <w:tc>
          <w:tcPr>
            <w:tcW w:w="8910" w:type="dxa"/>
            <w:gridSpan w:val="3"/>
            <w:tcBorders>
              <w:bottom w:val="single" w:sz="4" w:space="0" w:color="auto"/>
            </w:tcBorders>
            <w:noWrap/>
            <w:hideMark/>
          </w:tcPr>
          <w:p w14:paraId="47CF0994" w14:textId="17393609" w:rsidR="003F54C0" w:rsidRPr="005D22E8" w:rsidRDefault="008734CA">
            <w:r w:rsidRPr="005D22E8">
              <w:lastRenderedPageBreak/>
              <w:t xml:space="preserve">Supplemental </w:t>
            </w:r>
            <w:r w:rsidR="003F54C0" w:rsidRPr="005D22E8">
              <w:t xml:space="preserve">Table </w:t>
            </w:r>
            <w:r w:rsidR="00127754">
              <w:t>2</w:t>
            </w:r>
            <w:r w:rsidR="003F54C0" w:rsidRPr="005D22E8">
              <w:t>. Correlations between NAPLS-RC and tasks in CHR-P sub-sample</w:t>
            </w:r>
          </w:p>
        </w:tc>
      </w:tr>
      <w:tr w:rsidR="003F54C0" w:rsidRPr="003F54C0" w14:paraId="77598BCB" w14:textId="77777777" w:rsidTr="008734CA">
        <w:trPr>
          <w:trHeight w:val="310"/>
        </w:trPr>
        <w:tc>
          <w:tcPr>
            <w:tcW w:w="4045" w:type="dxa"/>
            <w:tcBorders>
              <w:top w:val="single" w:sz="4" w:space="0" w:color="auto"/>
              <w:bottom w:val="single" w:sz="4" w:space="0" w:color="auto"/>
            </w:tcBorders>
            <w:noWrap/>
            <w:hideMark/>
          </w:tcPr>
          <w:p w14:paraId="1AEFB56F" w14:textId="2666888F" w:rsidR="003F54C0" w:rsidRPr="003F54C0" w:rsidRDefault="003F54C0" w:rsidP="003F54C0">
            <w:pPr>
              <w:jc w:val="center"/>
            </w:pPr>
            <w:r>
              <w:t>Task Variable</w:t>
            </w:r>
          </w:p>
        </w:tc>
        <w:tc>
          <w:tcPr>
            <w:tcW w:w="1800" w:type="dxa"/>
            <w:tcBorders>
              <w:top w:val="single" w:sz="4" w:space="0" w:color="auto"/>
              <w:bottom w:val="single" w:sz="4" w:space="0" w:color="auto"/>
            </w:tcBorders>
            <w:noWrap/>
            <w:hideMark/>
          </w:tcPr>
          <w:p w14:paraId="79101D17" w14:textId="77777777" w:rsidR="003F54C0" w:rsidRPr="003F54C0" w:rsidRDefault="003F54C0" w:rsidP="003F54C0">
            <w:pPr>
              <w:jc w:val="center"/>
              <w:rPr>
                <w:i/>
                <w:iCs/>
              </w:rPr>
            </w:pPr>
            <w:r w:rsidRPr="003F54C0">
              <w:rPr>
                <w:i/>
                <w:iCs/>
              </w:rPr>
              <w:t>r</w:t>
            </w:r>
          </w:p>
        </w:tc>
        <w:tc>
          <w:tcPr>
            <w:tcW w:w="3065" w:type="dxa"/>
            <w:tcBorders>
              <w:top w:val="single" w:sz="4" w:space="0" w:color="auto"/>
              <w:bottom w:val="single" w:sz="4" w:space="0" w:color="auto"/>
            </w:tcBorders>
            <w:noWrap/>
            <w:hideMark/>
          </w:tcPr>
          <w:p w14:paraId="7A38FD47" w14:textId="77777777" w:rsidR="003F54C0" w:rsidRPr="003F54C0" w:rsidRDefault="003F54C0" w:rsidP="003F54C0">
            <w:pPr>
              <w:jc w:val="center"/>
              <w:rPr>
                <w:i/>
                <w:iCs/>
              </w:rPr>
            </w:pPr>
            <w:r w:rsidRPr="003F54C0">
              <w:rPr>
                <w:i/>
                <w:iCs/>
              </w:rPr>
              <w:t>p</w:t>
            </w:r>
          </w:p>
        </w:tc>
      </w:tr>
      <w:tr w:rsidR="003F54C0" w:rsidRPr="003F54C0" w14:paraId="27104839" w14:textId="77777777" w:rsidTr="008734CA">
        <w:trPr>
          <w:trHeight w:val="310"/>
        </w:trPr>
        <w:tc>
          <w:tcPr>
            <w:tcW w:w="4045" w:type="dxa"/>
            <w:tcBorders>
              <w:top w:val="single" w:sz="4" w:space="0" w:color="auto"/>
            </w:tcBorders>
            <w:noWrap/>
            <w:hideMark/>
          </w:tcPr>
          <w:p w14:paraId="4154E674" w14:textId="77777777" w:rsidR="003F54C0" w:rsidRPr="003F54C0" w:rsidRDefault="003F54C0">
            <w:r w:rsidRPr="003F54C0">
              <w:t>KB Blocking</w:t>
            </w:r>
          </w:p>
        </w:tc>
        <w:tc>
          <w:tcPr>
            <w:tcW w:w="1800" w:type="dxa"/>
            <w:tcBorders>
              <w:top w:val="single" w:sz="4" w:space="0" w:color="auto"/>
            </w:tcBorders>
            <w:noWrap/>
            <w:hideMark/>
          </w:tcPr>
          <w:p w14:paraId="7119C5C8" w14:textId="77777777" w:rsidR="003F54C0" w:rsidRPr="003F54C0" w:rsidRDefault="003F54C0" w:rsidP="003F54C0">
            <w:pPr>
              <w:jc w:val="right"/>
            </w:pPr>
            <w:r w:rsidRPr="003F54C0">
              <w:t>-.04</w:t>
            </w:r>
          </w:p>
        </w:tc>
        <w:tc>
          <w:tcPr>
            <w:tcW w:w="3065" w:type="dxa"/>
            <w:tcBorders>
              <w:top w:val="single" w:sz="4" w:space="0" w:color="auto"/>
            </w:tcBorders>
            <w:noWrap/>
            <w:hideMark/>
          </w:tcPr>
          <w:p w14:paraId="04C57B1A" w14:textId="77777777" w:rsidR="003F54C0" w:rsidRPr="003F54C0" w:rsidRDefault="003F54C0" w:rsidP="003F54C0">
            <w:pPr>
              <w:jc w:val="right"/>
            </w:pPr>
            <w:r w:rsidRPr="003F54C0">
              <w:t>.566</w:t>
            </w:r>
          </w:p>
        </w:tc>
      </w:tr>
      <w:tr w:rsidR="003F54C0" w:rsidRPr="003F54C0" w14:paraId="3F9257D9" w14:textId="77777777" w:rsidTr="008734CA">
        <w:trPr>
          <w:trHeight w:val="310"/>
        </w:trPr>
        <w:tc>
          <w:tcPr>
            <w:tcW w:w="4045" w:type="dxa"/>
            <w:noWrap/>
            <w:hideMark/>
          </w:tcPr>
          <w:p w14:paraId="36AF79E4" w14:textId="77777777" w:rsidR="003F54C0" w:rsidRPr="003F54C0" w:rsidRDefault="003F54C0">
            <w:r w:rsidRPr="003F54C0">
              <w:t>KB Control</w:t>
            </w:r>
          </w:p>
        </w:tc>
        <w:tc>
          <w:tcPr>
            <w:tcW w:w="1800" w:type="dxa"/>
            <w:noWrap/>
            <w:hideMark/>
          </w:tcPr>
          <w:p w14:paraId="04E3E8BD" w14:textId="77777777" w:rsidR="003F54C0" w:rsidRPr="003F54C0" w:rsidRDefault="003F54C0" w:rsidP="003F54C0">
            <w:pPr>
              <w:jc w:val="right"/>
            </w:pPr>
            <w:r w:rsidRPr="003F54C0">
              <w:t>.16</w:t>
            </w:r>
          </w:p>
        </w:tc>
        <w:tc>
          <w:tcPr>
            <w:tcW w:w="3065" w:type="dxa"/>
            <w:noWrap/>
            <w:hideMark/>
          </w:tcPr>
          <w:p w14:paraId="36644406" w14:textId="77777777" w:rsidR="003F54C0" w:rsidRPr="003F54C0" w:rsidRDefault="003F54C0" w:rsidP="003F54C0">
            <w:pPr>
              <w:jc w:val="right"/>
            </w:pPr>
            <w:r w:rsidRPr="003F54C0">
              <w:t>.061</w:t>
            </w:r>
          </w:p>
        </w:tc>
      </w:tr>
      <w:tr w:rsidR="003F54C0" w:rsidRPr="003F54C0" w14:paraId="327996E9" w14:textId="77777777" w:rsidTr="008734CA">
        <w:trPr>
          <w:trHeight w:val="310"/>
        </w:trPr>
        <w:tc>
          <w:tcPr>
            <w:tcW w:w="4045" w:type="dxa"/>
            <w:noWrap/>
            <w:hideMark/>
          </w:tcPr>
          <w:p w14:paraId="6C40E61D" w14:textId="77777777" w:rsidR="003F54C0" w:rsidRPr="005D22E8" w:rsidRDefault="003F54C0">
            <w:r w:rsidRPr="005D22E8">
              <w:t>PRL WSR</w:t>
            </w:r>
          </w:p>
        </w:tc>
        <w:tc>
          <w:tcPr>
            <w:tcW w:w="1800" w:type="dxa"/>
            <w:noWrap/>
            <w:hideMark/>
          </w:tcPr>
          <w:p w14:paraId="10C8CEEA" w14:textId="77777777" w:rsidR="003F54C0" w:rsidRPr="003F54C0" w:rsidRDefault="003F54C0" w:rsidP="003F54C0">
            <w:pPr>
              <w:jc w:val="right"/>
              <w:rPr>
                <w:b/>
                <w:bCs/>
              </w:rPr>
            </w:pPr>
            <w:r w:rsidRPr="003F54C0">
              <w:rPr>
                <w:b/>
                <w:bCs/>
              </w:rPr>
              <w:t>.19</w:t>
            </w:r>
          </w:p>
        </w:tc>
        <w:tc>
          <w:tcPr>
            <w:tcW w:w="3065" w:type="dxa"/>
            <w:noWrap/>
            <w:hideMark/>
          </w:tcPr>
          <w:p w14:paraId="02B69B89" w14:textId="77777777" w:rsidR="003F54C0" w:rsidRPr="003F54C0" w:rsidRDefault="003F54C0" w:rsidP="003F54C0">
            <w:pPr>
              <w:jc w:val="right"/>
              <w:rPr>
                <w:b/>
                <w:bCs/>
              </w:rPr>
            </w:pPr>
            <w:r w:rsidRPr="003F54C0">
              <w:rPr>
                <w:b/>
                <w:bCs/>
              </w:rPr>
              <w:t>.008</w:t>
            </w:r>
          </w:p>
        </w:tc>
      </w:tr>
      <w:tr w:rsidR="003F54C0" w:rsidRPr="003F54C0" w14:paraId="2A2F8ECC" w14:textId="77777777" w:rsidTr="008734CA">
        <w:trPr>
          <w:trHeight w:val="310"/>
        </w:trPr>
        <w:tc>
          <w:tcPr>
            <w:tcW w:w="4045" w:type="dxa"/>
            <w:noWrap/>
            <w:hideMark/>
          </w:tcPr>
          <w:p w14:paraId="7D9F2EB4" w14:textId="77777777" w:rsidR="003F54C0" w:rsidRPr="005D22E8" w:rsidRDefault="003F54C0">
            <w:r w:rsidRPr="005D22E8">
              <w:t>PRL LSR</w:t>
            </w:r>
          </w:p>
        </w:tc>
        <w:tc>
          <w:tcPr>
            <w:tcW w:w="1800" w:type="dxa"/>
            <w:noWrap/>
            <w:hideMark/>
          </w:tcPr>
          <w:p w14:paraId="5ECF99DD" w14:textId="77777777" w:rsidR="003F54C0" w:rsidRPr="003F54C0" w:rsidRDefault="003F54C0" w:rsidP="003F54C0">
            <w:pPr>
              <w:jc w:val="right"/>
              <w:rPr>
                <w:b/>
                <w:bCs/>
              </w:rPr>
            </w:pPr>
            <w:r w:rsidRPr="003F54C0">
              <w:rPr>
                <w:b/>
                <w:bCs/>
              </w:rPr>
              <w:t>-.14</w:t>
            </w:r>
          </w:p>
        </w:tc>
        <w:tc>
          <w:tcPr>
            <w:tcW w:w="3065" w:type="dxa"/>
            <w:noWrap/>
            <w:hideMark/>
          </w:tcPr>
          <w:p w14:paraId="5D4E9178" w14:textId="77777777" w:rsidR="003F54C0" w:rsidRPr="003F54C0" w:rsidRDefault="003F54C0" w:rsidP="003F54C0">
            <w:pPr>
              <w:jc w:val="right"/>
              <w:rPr>
                <w:b/>
                <w:bCs/>
              </w:rPr>
            </w:pPr>
            <w:r w:rsidRPr="003F54C0">
              <w:rPr>
                <w:b/>
                <w:bCs/>
              </w:rPr>
              <w:t>.042</w:t>
            </w:r>
          </w:p>
        </w:tc>
      </w:tr>
      <w:tr w:rsidR="003F54C0" w:rsidRPr="003F54C0" w14:paraId="61A903F1" w14:textId="77777777" w:rsidTr="008734CA">
        <w:trPr>
          <w:trHeight w:val="310"/>
        </w:trPr>
        <w:tc>
          <w:tcPr>
            <w:tcW w:w="4045" w:type="dxa"/>
            <w:noWrap/>
            <w:hideMark/>
          </w:tcPr>
          <w:p w14:paraId="7D85F8A7" w14:textId="77777777" w:rsidR="003F54C0" w:rsidRPr="005D22E8" w:rsidRDefault="003F54C0">
            <w:r w:rsidRPr="005D22E8">
              <w:t>SWS d'</w:t>
            </w:r>
          </w:p>
        </w:tc>
        <w:tc>
          <w:tcPr>
            <w:tcW w:w="1800" w:type="dxa"/>
            <w:noWrap/>
            <w:hideMark/>
          </w:tcPr>
          <w:p w14:paraId="17A128FD" w14:textId="77777777" w:rsidR="003F54C0" w:rsidRPr="003F54C0" w:rsidRDefault="003F54C0" w:rsidP="003F54C0">
            <w:pPr>
              <w:jc w:val="right"/>
              <w:rPr>
                <w:b/>
                <w:bCs/>
              </w:rPr>
            </w:pPr>
            <w:r w:rsidRPr="003F54C0">
              <w:rPr>
                <w:b/>
                <w:bCs/>
              </w:rPr>
              <w:t>.17</w:t>
            </w:r>
          </w:p>
        </w:tc>
        <w:tc>
          <w:tcPr>
            <w:tcW w:w="3065" w:type="dxa"/>
            <w:noWrap/>
            <w:hideMark/>
          </w:tcPr>
          <w:p w14:paraId="1CAE3160" w14:textId="77777777" w:rsidR="003F54C0" w:rsidRPr="003F54C0" w:rsidRDefault="003F54C0" w:rsidP="003F54C0">
            <w:pPr>
              <w:jc w:val="right"/>
              <w:rPr>
                <w:b/>
                <w:bCs/>
              </w:rPr>
            </w:pPr>
            <w:r w:rsidRPr="003F54C0">
              <w:rPr>
                <w:b/>
                <w:bCs/>
              </w:rPr>
              <w:t>.023</w:t>
            </w:r>
          </w:p>
        </w:tc>
      </w:tr>
      <w:tr w:rsidR="003F54C0" w:rsidRPr="003F54C0" w14:paraId="1A3D16C4" w14:textId="77777777" w:rsidTr="008734CA">
        <w:trPr>
          <w:trHeight w:val="310"/>
        </w:trPr>
        <w:tc>
          <w:tcPr>
            <w:tcW w:w="4045" w:type="dxa"/>
            <w:noWrap/>
            <w:hideMark/>
          </w:tcPr>
          <w:p w14:paraId="2C092D1D" w14:textId="77777777" w:rsidR="003F54C0" w:rsidRPr="005D22E8" w:rsidRDefault="003F54C0">
            <w:r w:rsidRPr="005D22E8">
              <w:t>SWS c</w:t>
            </w:r>
          </w:p>
        </w:tc>
        <w:tc>
          <w:tcPr>
            <w:tcW w:w="1800" w:type="dxa"/>
            <w:noWrap/>
            <w:hideMark/>
          </w:tcPr>
          <w:p w14:paraId="77146EF9" w14:textId="77777777" w:rsidR="003F54C0" w:rsidRPr="003F54C0" w:rsidRDefault="003F54C0" w:rsidP="003F54C0">
            <w:pPr>
              <w:jc w:val="right"/>
            </w:pPr>
            <w:r w:rsidRPr="003F54C0">
              <w:t>-.04</w:t>
            </w:r>
          </w:p>
        </w:tc>
        <w:tc>
          <w:tcPr>
            <w:tcW w:w="3065" w:type="dxa"/>
            <w:noWrap/>
            <w:hideMark/>
          </w:tcPr>
          <w:p w14:paraId="65F2448F" w14:textId="77777777" w:rsidR="003F54C0" w:rsidRPr="003F54C0" w:rsidRDefault="003F54C0" w:rsidP="003F54C0">
            <w:pPr>
              <w:jc w:val="right"/>
            </w:pPr>
            <w:r w:rsidRPr="003F54C0">
              <w:t>.555</w:t>
            </w:r>
          </w:p>
        </w:tc>
      </w:tr>
      <w:tr w:rsidR="003F54C0" w:rsidRPr="003F54C0" w14:paraId="35DB0174" w14:textId="77777777" w:rsidTr="008734CA">
        <w:trPr>
          <w:trHeight w:val="310"/>
        </w:trPr>
        <w:tc>
          <w:tcPr>
            <w:tcW w:w="4045" w:type="dxa"/>
            <w:noWrap/>
            <w:hideMark/>
          </w:tcPr>
          <w:p w14:paraId="349F1780" w14:textId="77777777" w:rsidR="003F54C0" w:rsidRPr="005D22E8" w:rsidRDefault="003F54C0">
            <w:r w:rsidRPr="005D22E8">
              <w:t>CH ν (prior)</w:t>
            </w:r>
          </w:p>
        </w:tc>
        <w:tc>
          <w:tcPr>
            <w:tcW w:w="1800" w:type="dxa"/>
            <w:noWrap/>
            <w:hideMark/>
          </w:tcPr>
          <w:p w14:paraId="5655491D" w14:textId="77777777" w:rsidR="003F54C0" w:rsidRPr="003F54C0" w:rsidRDefault="003F54C0" w:rsidP="003F54C0">
            <w:pPr>
              <w:jc w:val="right"/>
            </w:pPr>
            <w:r w:rsidRPr="003F54C0">
              <w:t>.02</w:t>
            </w:r>
          </w:p>
        </w:tc>
        <w:tc>
          <w:tcPr>
            <w:tcW w:w="3065" w:type="dxa"/>
            <w:noWrap/>
            <w:hideMark/>
          </w:tcPr>
          <w:p w14:paraId="20E2BF8B" w14:textId="77777777" w:rsidR="003F54C0" w:rsidRPr="003F54C0" w:rsidRDefault="003F54C0" w:rsidP="003F54C0">
            <w:pPr>
              <w:jc w:val="right"/>
            </w:pPr>
            <w:r w:rsidRPr="003F54C0">
              <w:t>.741</w:t>
            </w:r>
          </w:p>
        </w:tc>
      </w:tr>
      <w:tr w:rsidR="003F54C0" w:rsidRPr="003F54C0" w14:paraId="24B4B5AF" w14:textId="77777777" w:rsidTr="008734CA">
        <w:trPr>
          <w:trHeight w:val="310"/>
        </w:trPr>
        <w:tc>
          <w:tcPr>
            <w:tcW w:w="4045" w:type="dxa"/>
            <w:noWrap/>
            <w:hideMark/>
          </w:tcPr>
          <w:p w14:paraId="2DD37D55" w14:textId="77777777" w:rsidR="003F54C0" w:rsidRPr="005D22E8" w:rsidRDefault="003F54C0">
            <w:r w:rsidRPr="005D22E8">
              <w:t>CH ɷ3</w:t>
            </w:r>
          </w:p>
        </w:tc>
        <w:tc>
          <w:tcPr>
            <w:tcW w:w="1800" w:type="dxa"/>
            <w:noWrap/>
            <w:hideMark/>
          </w:tcPr>
          <w:p w14:paraId="257BF694" w14:textId="77777777" w:rsidR="003F54C0" w:rsidRPr="003F54C0" w:rsidRDefault="003F54C0" w:rsidP="003F54C0">
            <w:pPr>
              <w:jc w:val="right"/>
              <w:rPr>
                <w:b/>
                <w:bCs/>
              </w:rPr>
            </w:pPr>
            <w:r w:rsidRPr="003F54C0">
              <w:rPr>
                <w:b/>
                <w:bCs/>
              </w:rPr>
              <w:t>.16</w:t>
            </w:r>
          </w:p>
        </w:tc>
        <w:tc>
          <w:tcPr>
            <w:tcW w:w="3065" w:type="dxa"/>
            <w:noWrap/>
            <w:hideMark/>
          </w:tcPr>
          <w:p w14:paraId="1FAF574C" w14:textId="77777777" w:rsidR="003F54C0" w:rsidRPr="003F54C0" w:rsidRDefault="003F54C0" w:rsidP="003F54C0">
            <w:pPr>
              <w:jc w:val="right"/>
              <w:rPr>
                <w:b/>
                <w:bCs/>
              </w:rPr>
            </w:pPr>
            <w:r w:rsidRPr="003F54C0">
              <w:rPr>
                <w:b/>
                <w:bCs/>
              </w:rPr>
              <w:t>.025</w:t>
            </w:r>
          </w:p>
        </w:tc>
      </w:tr>
      <w:tr w:rsidR="003F54C0" w:rsidRPr="003F54C0" w14:paraId="6768EE5E" w14:textId="77777777" w:rsidTr="008734CA">
        <w:trPr>
          <w:trHeight w:val="310"/>
        </w:trPr>
        <w:tc>
          <w:tcPr>
            <w:tcW w:w="4045" w:type="dxa"/>
            <w:noWrap/>
            <w:hideMark/>
          </w:tcPr>
          <w:p w14:paraId="43AAC175" w14:textId="77777777" w:rsidR="003F54C0" w:rsidRPr="003F54C0" w:rsidRDefault="003F54C0">
            <w:r w:rsidRPr="003F54C0">
              <w:t>HR positive</w:t>
            </w:r>
          </w:p>
        </w:tc>
        <w:tc>
          <w:tcPr>
            <w:tcW w:w="1800" w:type="dxa"/>
            <w:noWrap/>
            <w:hideMark/>
          </w:tcPr>
          <w:p w14:paraId="08CC78E7" w14:textId="77777777" w:rsidR="003F54C0" w:rsidRPr="003F54C0" w:rsidRDefault="003F54C0" w:rsidP="003F54C0">
            <w:pPr>
              <w:jc w:val="right"/>
            </w:pPr>
            <w:r w:rsidRPr="003F54C0">
              <w:t>.11</w:t>
            </w:r>
          </w:p>
        </w:tc>
        <w:tc>
          <w:tcPr>
            <w:tcW w:w="3065" w:type="dxa"/>
            <w:noWrap/>
            <w:hideMark/>
          </w:tcPr>
          <w:p w14:paraId="2746EFC4" w14:textId="77777777" w:rsidR="003F54C0" w:rsidRPr="003F54C0" w:rsidRDefault="003F54C0" w:rsidP="003F54C0">
            <w:pPr>
              <w:jc w:val="right"/>
            </w:pPr>
            <w:r w:rsidRPr="003F54C0">
              <w:t>.134</w:t>
            </w:r>
          </w:p>
        </w:tc>
      </w:tr>
      <w:tr w:rsidR="003F54C0" w:rsidRPr="003F54C0" w14:paraId="1F026A8F" w14:textId="77777777" w:rsidTr="008734CA">
        <w:trPr>
          <w:trHeight w:val="310"/>
        </w:trPr>
        <w:tc>
          <w:tcPr>
            <w:tcW w:w="4045" w:type="dxa"/>
            <w:noWrap/>
            <w:hideMark/>
          </w:tcPr>
          <w:p w14:paraId="3F8D86E2" w14:textId="77777777" w:rsidR="003F54C0" w:rsidRPr="003F54C0" w:rsidRDefault="003F54C0">
            <w:r w:rsidRPr="003F54C0">
              <w:t>EEFRT hard</w:t>
            </w:r>
          </w:p>
        </w:tc>
        <w:tc>
          <w:tcPr>
            <w:tcW w:w="1800" w:type="dxa"/>
            <w:noWrap/>
            <w:hideMark/>
          </w:tcPr>
          <w:p w14:paraId="337C53CF" w14:textId="77777777" w:rsidR="003F54C0" w:rsidRPr="003F54C0" w:rsidRDefault="003F54C0" w:rsidP="003F54C0">
            <w:pPr>
              <w:jc w:val="right"/>
            </w:pPr>
            <w:r w:rsidRPr="003F54C0">
              <w:t>.07</w:t>
            </w:r>
          </w:p>
        </w:tc>
        <w:tc>
          <w:tcPr>
            <w:tcW w:w="3065" w:type="dxa"/>
            <w:noWrap/>
            <w:hideMark/>
          </w:tcPr>
          <w:p w14:paraId="43A7FF85" w14:textId="77777777" w:rsidR="003F54C0" w:rsidRPr="003F54C0" w:rsidRDefault="003F54C0" w:rsidP="003F54C0">
            <w:pPr>
              <w:jc w:val="right"/>
            </w:pPr>
            <w:r w:rsidRPr="003F54C0">
              <w:t>.361</w:t>
            </w:r>
          </w:p>
        </w:tc>
      </w:tr>
      <w:tr w:rsidR="003F54C0" w:rsidRPr="003F54C0" w14:paraId="6E642766" w14:textId="77777777" w:rsidTr="008734CA">
        <w:trPr>
          <w:trHeight w:val="310"/>
        </w:trPr>
        <w:tc>
          <w:tcPr>
            <w:tcW w:w="4045" w:type="dxa"/>
            <w:noWrap/>
            <w:hideMark/>
          </w:tcPr>
          <w:p w14:paraId="3ABEB03D" w14:textId="77777777" w:rsidR="003F54C0" w:rsidRPr="003F54C0" w:rsidRDefault="003F54C0">
            <w:r w:rsidRPr="003F54C0">
              <w:t>DD large</w:t>
            </w:r>
          </w:p>
        </w:tc>
        <w:tc>
          <w:tcPr>
            <w:tcW w:w="1800" w:type="dxa"/>
            <w:noWrap/>
            <w:hideMark/>
          </w:tcPr>
          <w:p w14:paraId="407BE828" w14:textId="77777777" w:rsidR="003F54C0" w:rsidRPr="003F54C0" w:rsidRDefault="003F54C0" w:rsidP="003F54C0">
            <w:pPr>
              <w:jc w:val="right"/>
            </w:pPr>
            <w:r w:rsidRPr="003F54C0">
              <w:t>.06</w:t>
            </w:r>
          </w:p>
        </w:tc>
        <w:tc>
          <w:tcPr>
            <w:tcW w:w="3065" w:type="dxa"/>
            <w:noWrap/>
            <w:hideMark/>
          </w:tcPr>
          <w:p w14:paraId="6C8611C2" w14:textId="77777777" w:rsidR="003F54C0" w:rsidRPr="003F54C0" w:rsidRDefault="003F54C0" w:rsidP="003F54C0">
            <w:pPr>
              <w:jc w:val="right"/>
            </w:pPr>
            <w:r w:rsidRPr="003F54C0">
              <w:t>.402</w:t>
            </w:r>
          </w:p>
        </w:tc>
      </w:tr>
      <w:tr w:rsidR="003F54C0" w:rsidRPr="003F54C0" w14:paraId="408D744B" w14:textId="77777777" w:rsidTr="008734CA">
        <w:trPr>
          <w:trHeight w:val="310"/>
        </w:trPr>
        <w:tc>
          <w:tcPr>
            <w:tcW w:w="4045" w:type="dxa"/>
            <w:noWrap/>
            <w:hideMark/>
          </w:tcPr>
          <w:p w14:paraId="134871DD" w14:textId="77777777" w:rsidR="003F54C0" w:rsidRPr="003F54C0" w:rsidRDefault="003F54C0">
            <w:r w:rsidRPr="003F54C0">
              <w:t>CFT speed</w:t>
            </w:r>
          </w:p>
        </w:tc>
        <w:tc>
          <w:tcPr>
            <w:tcW w:w="1800" w:type="dxa"/>
            <w:noWrap/>
            <w:hideMark/>
          </w:tcPr>
          <w:p w14:paraId="5D44DDDC" w14:textId="77777777" w:rsidR="003F54C0" w:rsidRPr="003F54C0" w:rsidRDefault="003F54C0" w:rsidP="003F54C0">
            <w:pPr>
              <w:jc w:val="right"/>
            </w:pPr>
            <w:r w:rsidRPr="003F54C0">
              <w:t>.10</w:t>
            </w:r>
          </w:p>
        </w:tc>
        <w:tc>
          <w:tcPr>
            <w:tcW w:w="3065" w:type="dxa"/>
            <w:noWrap/>
            <w:hideMark/>
          </w:tcPr>
          <w:p w14:paraId="36003211" w14:textId="77777777" w:rsidR="003F54C0" w:rsidRPr="003F54C0" w:rsidRDefault="003F54C0" w:rsidP="003F54C0">
            <w:pPr>
              <w:jc w:val="right"/>
            </w:pPr>
            <w:r w:rsidRPr="003F54C0">
              <w:t>.225</w:t>
            </w:r>
          </w:p>
        </w:tc>
      </w:tr>
      <w:tr w:rsidR="003F54C0" w:rsidRPr="003F54C0" w14:paraId="16E13770" w14:textId="77777777" w:rsidTr="008734CA">
        <w:trPr>
          <w:trHeight w:val="310"/>
        </w:trPr>
        <w:tc>
          <w:tcPr>
            <w:tcW w:w="4045" w:type="dxa"/>
            <w:noWrap/>
            <w:hideMark/>
          </w:tcPr>
          <w:p w14:paraId="0DB32AFB" w14:textId="77777777" w:rsidR="003F54C0" w:rsidRPr="003F54C0" w:rsidRDefault="003F54C0">
            <w:r w:rsidRPr="003F54C0">
              <w:t>GLIAT learning</w:t>
            </w:r>
          </w:p>
        </w:tc>
        <w:tc>
          <w:tcPr>
            <w:tcW w:w="1800" w:type="dxa"/>
            <w:noWrap/>
            <w:hideMark/>
          </w:tcPr>
          <w:p w14:paraId="2D848878" w14:textId="77777777" w:rsidR="003F54C0" w:rsidRPr="003F54C0" w:rsidRDefault="003F54C0" w:rsidP="003F54C0">
            <w:pPr>
              <w:jc w:val="right"/>
            </w:pPr>
            <w:r w:rsidRPr="003F54C0">
              <w:t>.01</w:t>
            </w:r>
          </w:p>
        </w:tc>
        <w:tc>
          <w:tcPr>
            <w:tcW w:w="3065" w:type="dxa"/>
            <w:noWrap/>
            <w:hideMark/>
          </w:tcPr>
          <w:p w14:paraId="507440A7" w14:textId="77777777" w:rsidR="003F54C0" w:rsidRPr="003F54C0" w:rsidRDefault="003F54C0" w:rsidP="003F54C0">
            <w:pPr>
              <w:jc w:val="right"/>
            </w:pPr>
            <w:r w:rsidRPr="003F54C0">
              <w:t>.896</w:t>
            </w:r>
          </w:p>
        </w:tc>
      </w:tr>
      <w:tr w:rsidR="003F54C0" w:rsidRPr="003F54C0" w14:paraId="4FB595BE" w14:textId="77777777" w:rsidTr="008734CA">
        <w:trPr>
          <w:trHeight w:val="310"/>
        </w:trPr>
        <w:tc>
          <w:tcPr>
            <w:tcW w:w="4045" w:type="dxa"/>
            <w:noWrap/>
            <w:hideMark/>
          </w:tcPr>
          <w:p w14:paraId="59188553" w14:textId="77777777" w:rsidR="003F54C0" w:rsidRPr="003F54C0" w:rsidRDefault="003F54C0">
            <w:r w:rsidRPr="003F54C0">
              <w:t>GLIAT transfer</w:t>
            </w:r>
          </w:p>
        </w:tc>
        <w:tc>
          <w:tcPr>
            <w:tcW w:w="1800" w:type="dxa"/>
            <w:noWrap/>
            <w:hideMark/>
          </w:tcPr>
          <w:p w14:paraId="1CBF9F7D" w14:textId="77777777" w:rsidR="003F54C0" w:rsidRPr="003F54C0" w:rsidRDefault="003F54C0" w:rsidP="003F54C0">
            <w:pPr>
              <w:jc w:val="right"/>
            </w:pPr>
            <w:r w:rsidRPr="003F54C0">
              <w:t>.02</w:t>
            </w:r>
          </w:p>
        </w:tc>
        <w:tc>
          <w:tcPr>
            <w:tcW w:w="3065" w:type="dxa"/>
            <w:noWrap/>
            <w:hideMark/>
          </w:tcPr>
          <w:p w14:paraId="7E564C2F" w14:textId="77777777" w:rsidR="003F54C0" w:rsidRPr="003F54C0" w:rsidRDefault="003F54C0" w:rsidP="003F54C0">
            <w:pPr>
              <w:jc w:val="right"/>
            </w:pPr>
            <w:r w:rsidRPr="003F54C0">
              <w:t>.746</w:t>
            </w:r>
          </w:p>
        </w:tc>
      </w:tr>
      <w:tr w:rsidR="003F54C0" w:rsidRPr="003F54C0" w14:paraId="7296E498" w14:textId="77777777" w:rsidTr="008734CA">
        <w:trPr>
          <w:trHeight w:val="310"/>
        </w:trPr>
        <w:tc>
          <w:tcPr>
            <w:tcW w:w="4045" w:type="dxa"/>
            <w:noWrap/>
            <w:hideMark/>
          </w:tcPr>
          <w:p w14:paraId="043E7ECE" w14:textId="77777777" w:rsidR="003F54C0" w:rsidRPr="003F54C0" w:rsidRDefault="003F54C0">
            <w:r w:rsidRPr="003F54C0">
              <w:t>EI context</w:t>
            </w:r>
          </w:p>
        </w:tc>
        <w:tc>
          <w:tcPr>
            <w:tcW w:w="1800" w:type="dxa"/>
            <w:noWrap/>
            <w:hideMark/>
          </w:tcPr>
          <w:p w14:paraId="6C936413" w14:textId="77777777" w:rsidR="003F54C0" w:rsidRPr="003F54C0" w:rsidRDefault="003F54C0" w:rsidP="003F54C0">
            <w:pPr>
              <w:jc w:val="right"/>
            </w:pPr>
            <w:r w:rsidRPr="003F54C0">
              <w:t>.07</w:t>
            </w:r>
          </w:p>
        </w:tc>
        <w:tc>
          <w:tcPr>
            <w:tcW w:w="3065" w:type="dxa"/>
            <w:noWrap/>
            <w:hideMark/>
          </w:tcPr>
          <w:p w14:paraId="6D73126E" w14:textId="77777777" w:rsidR="003F54C0" w:rsidRPr="003F54C0" w:rsidRDefault="003F54C0" w:rsidP="003F54C0">
            <w:pPr>
              <w:jc w:val="right"/>
            </w:pPr>
            <w:r w:rsidRPr="003F54C0">
              <w:t>.324</w:t>
            </w:r>
          </w:p>
        </w:tc>
      </w:tr>
      <w:tr w:rsidR="003F54C0" w:rsidRPr="003F54C0" w14:paraId="137511C6" w14:textId="77777777" w:rsidTr="008734CA">
        <w:trPr>
          <w:trHeight w:val="310"/>
        </w:trPr>
        <w:tc>
          <w:tcPr>
            <w:tcW w:w="4045" w:type="dxa"/>
            <w:noWrap/>
            <w:hideMark/>
          </w:tcPr>
          <w:p w14:paraId="21CC84F2" w14:textId="77777777" w:rsidR="003F54C0" w:rsidRPr="003F54C0" w:rsidRDefault="003F54C0">
            <w:r w:rsidRPr="003F54C0">
              <w:t>MF inverted</w:t>
            </w:r>
          </w:p>
        </w:tc>
        <w:tc>
          <w:tcPr>
            <w:tcW w:w="1800" w:type="dxa"/>
            <w:noWrap/>
            <w:hideMark/>
          </w:tcPr>
          <w:p w14:paraId="3E14F6C8" w14:textId="77777777" w:rsidR="003F54C0" w:rsidRPr="003F54C0" w:rsidRDefault="003F54C0" w:rsidP="003F54C0">
            <w:pPr>
              <w:jc w:val="right"/>
            </w:pPr>
            <w:r w:rsidRPr="003F54C0">
              <w:t>-.02</w:t>
            </w:r>
          </w:p>
        </w:tc>
        <w:tc>
          <w:tcPr>
            <w:tcW w:w="3065" w:type="dxa"/>
            <w:noWrap/>
            <w:hideMark/>
          </w:tcPr>
          <w:p w14:paraId="454C1958" w14:textId="77777777" w:rsidR="003F54C0" w:rsidRPr="003F54C0" w:rsidRDefault="003F54C0" w:rsidP="003F54C0">
            <w:pPr>
              <w:jc w:val="right"/>
            </w:pPr>
            <w:r w:rsidRPr="003F54C0">
              <w:t>.842</w:t>
            </w:r>
          </w:p>
        </w:tc>
      </w:tr>
      <w:tr w:rsidR="003F54C0" w:rsidRPr="003F54C0" w14:paraId="4A655C7D" w14:textId="77777777" w:rsidTr="008734CA">
        <w:trPr>
          <w:trHeight w:val="310"/>
        </w:trPr>
        <w:tc>
          <w:tcPr>
            <w:tcW w:w="4045" w:type="dxa"/>
            <w:tcBorders>
              <w:bottom w:val="single" w:sz="4" w:space="0" w:color="auto"/>
            </w:tcBorders>
            <w:noWrap/>
            <w:hideMark/>
          </w:tcPr>
          <w:p w14:paraId="0D379361" w14:textId="77777777" w:rsidR="003F54C0" w:rsidRPr="003F54C0" w:rsidRDefault="003F54C0">
            <w:r w:rsidRPr="003F54C0">
              <w:t>MF upright</w:t>
            </w:r>
          </w:p>
        </w:tc>
        <w:tc>
          <w:tcPr>
            <w:tcW w:w="1800" w:type="dxa"/>
            <w:tcBorders>
              <w:bottom w:val="single" w:sz="4" w:space="0" w:color="auto"/>
            </w:tcBorders>
            <w:noWrap/>
            <w:hideMark/>
          </w:tcPr>
          <w:p w14:paraId="281D976D" w14:textId="77777777" w:rsidR="003F54C0" w:rsidRPr="003F54C0" w:rsidRDefault="003F54C0" w:rsidP="003F54C0">
            <w:pPr>
              <w:jc w:val="right"/>
            </w:pPr>
            <w:r w:rsidRPr="003F54C0">
              <w:t>.04</w:t>
            </w:r>
          </w:p>
        </w:tc>
        <w:tc>
          <w:tcPr>
            <w:tcW w:w="3065" w:type="dxa"/>
            <w:tcBorders>
              <w:bottom w:val="single" w:sz="4" w:space="0" w:color="auto"/>
            </w:tcBorders>
            <w:noWrap/>
            <w:hideMark/>
          </w:tcPr>
          <w:p w14:paraId="12470A5D" w14:textId="77777777" w:rsidR="003F54C0" w:rsidRPr="003F54C0" w:rsidRDefault="003F54C0" w:rsidP="003F54C0">
            <w:pPr>
              <w:jc w:val="right"/>
            </w:pPr>
            <w:r w:rsidRPr="003F54C0">
              <w:t>.626</w:t>
            </w:r>
          </w:p>
        </w:tc>
      </w:tr>
      <w:tr w:rsidR="003F54C0" w:rsidRPr="003F54C0" w14:paraId="34849BC9" w14:textId="77777777" w:rsidTr="008734CA">
        <w:trPr>
          <w:trHeight w:val="310"/>
        </w:trPr>
        <w:tc>
          <w:tcPr>
            <w:tcW w:w="8910" w:type="dxa"/>
            <w:gridSpan w:val="3"/>
            <w:tcBorders>
              <w:top w:val="single" w:sz="4" w:space="0" w:color="auto"/>
            </w:tcBorders>
            <w:noWrap/>
            <w:hideMark/>
          </w:tcPr>
          <w:p w14:paraId="20E60CC5" w14:textId="29382CF8" w:rsidR="003F54C0" w:rsidRPr="003F54C0" w:rsidRDefault="003F54C0">
            <w:r w:rsidRPr="003F54C0">
              <w:rPr>
                <w:i/>
                <w:iCs/>
              </w:rPr>
              <w:t>Note.</w:t>
            </w:r>
            <w:r>
              <w:t xml:space="preserve"> All task variables have been keyed in the direction of greater pathology</w:t>
            </w:r>
            <w:r w:rsidR="001E54C0">
              <w:t>; however, MF variables have been found to relate to CHR-P status in the opposite direction (see manuscript)</w:t>
            </w:r>
            <w:r>
              <w:t>. Significant (</w:t>
            </w:r>
            <w:r>
              <w:rPr>
                <w:i/>
                <w:iCs/>
              </w:rPr>
              <w:t xml:space="preserve">p </w:t>
            </w:r>
            <w:r>
              <w:t>&lt; .05) correlations are in bold.</w:t>
            </w:r>
          </w:p>
        </w:tc>
      </w:tr>
    </w:tbl>
    <w:p w14:paraId="289D0150" w14:textId="77777777" w:rsidR="00FE4C2D" w:rsidRDefault="00FE4C2D" w:rsidP="003F54C0"/>
    <w:p w14:paraId="03571A03" w14:textId="77777777" w:rsidR="00FE4C2D" w:rsidRDefault="0010415F">
      <w:pPr>
        <w:ind w:right="-570"/>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1710"/>
        <w:gridCol w:w="2975"/>
      </w:tblGrid>
      <w:tr w:rsidR="005D22E8" w:rsidRPr="005D22E8" w14:paraId="55DE1099" w14:textId="77777777" w:rsidTr="008734CA">
        <w:trPr>
          <w:trHeight w:val="310"/>
        </w:trPr>
        <w:tc>
          <w:tcPr>
            <w:tcW w:w="8100" w:type="dxa"/>
            <w:gridSpan w:val="3"/>
            <w:noWrap/>
            <w:hideMark/>
          </w:tcPr>
          <w:p w14:paraId="76AC9506" w14:textId="5E03AEC3" w:rsidR="001E54C0" w:rsidRPr="005D22E8" w:rsidRDefault="008734CA">
            <w:r w:rsidRPr="005D22E8">
              <w:lastRenderedPageBreak/>
              <w:t xml:space="preserve">Supplemental </w:t>
            </w:r>
            <w:r w:rsidR="001E54C0" w:rsidRPr="005D22E8">
              <w:t xml:space="preserve">Table </w:t>
            </w:r>
            <w:r w:rsidR="00127754">
              <w:t>3</w:t>
            </w:r>
            <w:r w:rsidR="001E54C0" w:rsidRPr="005D22E8">
              <w:t>. Correlations between NAPLS-RC and tasks in full sample</w:t>
            </w:r>
          </w:p>
        </w:tc>
      </w:tr>
      <w:tr w:rsidR="001E54C0" w:rsidRPr="001E54C0" w14:paraId="12B0DE80" w14:textId="77777777" w:rsidTr="008734CA">
        <w:trPr>
          <w:trHeight w:val="310"/>
        </w:trPr>
        <w:tc>
          <w:tcPr>
            <w:tcW w:w="3415" w:type="dxa"/>
            <w:tcBorders>
              <w:top w:val="single" w:sz="4" w:space="0" w:color="auto"/>
              <w:bottom w:val="single" w:sz="4" w:space="0" w:color="auto"/>
            </w:tcBorders>
            <w:noWrap/>
            <w:hideMark/>
          </w:tcPr>
          <w:p w14:paraId="432F9C84" w14:textId="64FC1CC0" w:rsidR="001E54C0" w:rsidRPr="00491249" w:rsidRDefault="00491249" w:rsidP="001E54C0">
            <w:pPr>
              <w:jc w:val="center"/>
            </w:pPr>
            <w:r>
              <w:t>Task Variable</w:t>
            </w:r>
          </w:p>
        </w:tc>
        <w:tc>
          <w:tcPr>
            <w:tcW w:w="1710" w:type="dxa"/>
            <w:tcBorders>
              <w:top w:val="single" w:sz="4" w:space="0" w:color="auto"/>
              <w:bottom w:val="single" w:sz="4" w:space="0" w:color="auto"/>
            </w:tcBorders>
            <w:noWrap/>
            <w:hideMark/>
          </w:tcPr>
          <w:p w14:paraId="1494531D" w14:textId="77777777" w:rsidR="001E54C0" w:rsidRPr="001E54C0" w:rsidRDefault="001E54C0" w:rsidP="001E54C0">
            <w:pPr>
              <w:jc w:val="center"/>
              <w:rPr>
                <w:i/>
                <w:iCs/>
              </w:rPr>
            </w:pPr>
            <w:r w:rsidRPr="001E54C0">
              <w:rPr>
                <w:i/>
                <w:iCs/>
              </w:rPr>
              <w:t>r</w:t>
            </w:r>
          </w:p>
        </w:tc>
        <w:tc>
          <w:tcPr>
            <w:tcW w:w="2975" w:type="dxa"/>
            <w:tcBorders>
              <w:top w:val="single" w:sz="4" w:space="0" w:color="auto"/>
              <w:bottom w:val="single" w:sz="4" w:space="0" w:color="auto"/>
            </w:tcBorders>
            <w:noWrap/>
            <w:hideMark/>
          </w:tcPr>
          <w:p w14:paraId="19454D3D" w14:textId="77777777" w:rsidR="001E54C0" w:rsidRPr="001E54C0" w:rsidRDefault="001E54C0" w:rsidP="001E54C0">
            <w:pPr>
              <w:jc w:val="center"/>
              <w:rPr>
                <w:i/>
                <w:iCs/>
              </w:rPr>
            </w:pPr>
            <w:r w:rsidRPr="001E54C0">
              <w:rPr>
                <w:i/>
                <w:iCs/>
              </w:rPr>
              <w:t>p</w:t>
            </w:r>
          </w:p>
        </w:tc>
      </w:tr>
      <w:tr w:rsidR="001E54C0" w:rsidRPr="001E54C0" w14:paraId="7EBBDC08" w14:textId="77777777" w:rsidTr="008734CA">
        <w:trPr>
          <w:trHeight w:val="310"/>
        </w:trPr>
        <w:tc>
          <w:tcPr>
            <w:tcW w:w="3415" w:type="dxa"/>
            <w:tcBorders>
              <w:top w:val="single" w:sz="4" w:space="0" w:color="auto"/>
            </w:tcBorders>
            <w:noWrap/>
            <w:hideMark/>
          </w:tcPr>
          <w:p w14:paraId="265496F7" w14:textId="77777777" w:rsidR="001E54C0" w:rsidRPr="001E54C0" w:rsidRDefault="001E54C0">
            <w:r w:rsidRPr="001E54C0">
              <w:t>KB Blocking</w:t>
            </w:r>
          </w:p>
        </w:tc>
        <w:tc>
          <w:tcPr>
            <w:tcW w:w="1710" w:type="dxa"/>
            <w:tcBorders>
              <w:top w:val="single" w:sz="4" w:space="0" w:color="auto"/>
            </w:tcBorders>
            <w:noWrap/>
            <w:hideMark/>
          </w:tcPr>
          <w:p w14:paraId="163039A1" w14:textId="77777777" w:rsidR="001E54C0" w:rsidRPr="001E54C0" w:rsidRDefault="001E54C0" w:rsidP="001E54C0">
            <w:pPr>
              <w:jc w:val="right"/>
            </w:pPr>
            <w:r w:rsidRPr="001E54C0">
              <w:t>-.01</w:t>
            </w:r>
          </w:p>
        </w:tc>
        <w:tc>
          <w:tcPr>
            <w:tcW w:w="2975" w:type="dxa"/>
            <w:tcBorders>
              <w:top w:val="single" w:sz="4" w:space="0" w:color="auto"/>
            </w:tcBorders>
            <w:noWrap/>
            <w:hideMark/>
          </w:tcPr>
          <w:p w14:paraId="531F9C4B" w14:textId="77777777" w:rsidR="001E54C0" w:rsidRPr="001E54C0" w:rsidRDefault="001E54C0" w:rsidP="001E54C0">
            <w:pPr>
              <w:jc w:val="right"/>
            </w:pPr>
            <w:r w:rsidRPr="001E54C0">
              <w:t>.860</w:t>
            </w:r>
          </w:p>
        </w:tc>
      </w:tr>
      <w:tr w:rsidR="001E54C0" w:rsidRPr="001E54C0" w14:paraId="2E5AFD6D" w14:textId="77777777" w:rsidTr="008734CA">
        <w:trPr>
          <w:trHeight w:val="310"/>
        </w:trPr>
        <w:tc>
          <w:tcPr>
            <w:tcW w:w="3415" w:type="dxa"/>
            <w:noWrap/>
            <w:hideMark/>
          </w:tcPr>
          <w:p w14:paraId="07F5299A" w14:textId="77777777" w:rsidR="001E54C0" w:rsidRPr="005D22E8" w:rsidRDefault="001E54C0">
            <w:r w:rsidRPr="005D22E8">
              <w:t>KB Control</w:t>
            </w:r>
          </w:p>
        </w:tc>
        <w:tc>
          <w:tcPr>
            <w:tcW w:w="1710" w:type="dxa"/>
            <w:noWrap/>
            <w:hideMark/>
          </w:tcPr>
          <w:p w14:paraId="6349B4D0" w14:textId="77777777" w:rsidR="001E54C0" w:rsidRPr="001E54C0" w:rsidRDefault="001E54C0" w:rsidP="001E54C0">
            <w:pPr>
              <w:jc w:val="right"/>
            </w:pPr>
            <w:r w:rsidRPr="001E54C0">
              <w:t>.09</w:t>
            </w:r>
          </w:p>
        </w:tc>
        <w:tc>
          <w:tcPr>
            <w:tcW w:w="2975" w:type="dxa"/>
            <w:noWrap/>
            <w:hideMark/>
          </w:tcPr>
          <w:p w14:paraId="1DAA6E6D" w14:textId="77777777" w:rsidR="001E54C0" w:rsidRPr="001E54C0" w:rsidRDefault="001E54C0" w:rsidP="001E54C0">
            <w:pPr>
              <w:jc w:val="right"/>
            </w:pPr>
            <w:r w:rsidRPr="001E54C0">
              <w:t>.080</w:t>
            </w:r>
          </w:p>
        </w:tc>
      </w:tr>
      <w:tr w:rsidR="001E54C0" w:rsidRPr="001E54C0" w14:paraId="374F8FF7" w14:textId="77777777" w:rsidTr="008734CA">
        <w:trPr>
          <w:trHeight w:val="310"/>
        </w:trPr>
        <w:tc>
          <w:tcPr>
            <w:tcW w:w="3415" w:type="dxa"/>
            <w:noWrap/>
            <w:hideMark/>
          </w:tcPr>
          <w:p w14:paraId="73B9106B" w14:textId="77777777" w:rsidR="001E54C0" w:rsidRPr="005D22E8" w:rsidRDefault="001E54C0">
            <w:r w:rsidRPr="005D22E8">
              <w:t>PRL WSR</w:t>
            </w:r>
          </w:p>
        </w:tc>
        <w:tc>
          <w:tcPr>
            <w:tcW w:w="1710" w:type="dxa"/>
            <w:noWrap/>
            <w:hideMark/>
          </w:tcPr>
          <w:p w14:paraId="1DB7C033" w14:textId="77777777" w:rsidR="001E54C0" w:rsidRPr="001E54C0" w:rsidRDefault="001E54C0" w:rsidP="001E54C0">
            <w:pPr>
              <w:jc w:val="right"/>
              <w:rPr>
                <w:b/>
                <w:bCs/>
              </w:rPr>
            </w:pPr>
            <w:r w:rsidRPr="001E54C0">
              <w:rPr>
                <w:b/>
                <w:bCs/>
              </w:rPr>
              <w:t>.18</w:t>
            </w:r>
          </w:p>
        </w:tc>
        <w:tc>
          <w:tcPr>
            <w:tcW w:w="2975" w:type="dxa"/>
            <w:noWrap/>
            <w:hideMark/>
          </w:tcPr>
          <w:p w14:paraId="2D552A96" w14:textId="77777777" w:rsidR="001E54C0" w:rsidRPr="001E54C0" w:rsidRDefault="001E54C0" w:rsidP="001E54C0">
            <w:pPr>
              <w:jc w:val="right"/>
              <w:rPr>
                <w:b/>
                <w:bCs/>
              </w:rPr>
            </w:pPr>
            <w:r w:rsidRPr="001E54C0">
              <w:rPr>
                <w:b/>
                <w:bCs/>
              </w:rPr>
              <w:t>.000</w:t>
            </w:r>
          </w:p>
        </w:tc>
      </w:tr>
      <w:tr w:rsidR="001E54C0" w:rsidRPr="001E54C0" w14:paraId="0782D1BC" w14:textId="77777777" w:rsidTr="008734CA">
        <w:trPr>
          <w:trHeight w:val="310"/>
        </w:trPr>
        <w:tc>
          <w:tcPr>
            <w:tcW w:w="3415" w:type="dxa"/>
            <w:noWrap/>
            <w:hideMark/>
          </w:tcPr>
          <w:p w14:paraId="0252B78C" w14:textId="77777777" w:rsidR="001E54C0" w:rsidRPr="005D22E8" w:rsidRDefault="001E54C0">
            <w:r w:rsidRPr="005D22E8">
              <w:t>PRL LSR</w:t>
            </w:r>
          </w:p>
        </w:tc>
        <w:tc>
          <w:tcPr>
            <w:tcW w:w="1710" w:type="dxa"/>
            <w:noWrap/>
            <w:hideMark/>
          </w:tcPr>
          <w:p w14:paraId="3A582DE8" w14:textId="77777777" w:rsidR="001E54C0" w:rsidRPr="001E54C0" w:rsidRDefault="001E54C0" w:rsidP="001E54C0">
            <w:pPr>
              <w:jc w:val="right"/>
              <w:rPr>
                <w:b/>
                <w:bCs/>
              </w:rPr>
            </w:pPr>
            <w:r w:rsidRPr="001E54C0">
              <w:rPr>
                <w:b/>
                <w:bCs/>
              </w:rPr>
              <w:t>-.12</w:t>
            </w:r>
          </w:p>
        </w:tc>
        <w:tc>
          <w:tcPr>
            <w:tcW w:w="2975" w:type="dxa"/>
            <w:noWrap/>
            <w:hideMark/>
          </w:tcPr>
          <w:p w14:paraId="63E5F207" w14:textId="77777777" w:rsidR="001E54C0" w:rsidRPr="001E54C0" w:rsidRDefault="001E54C0" w:rsidP="001E54C0">
            <w:pPr>
              <w:jc w:val="right"/>
              <w:rPr>
                <w:b/>
                <w:bCs/>
              </w:rPr>
            </w:pPr>
            <w:r w:rsidRPr="001E54C0">
              <w:rPr>
                <w:b/>
                <w:bCs/>
              </w:rPr>
              <w:t>.007</w:t>
            </w:r>
          </w:p>
        </w:tc>
      </w:tr>
      <w:tr w:rsidR="001E54C0" w:rsidRPr="001E54C0" w14:paraId="4887017F" w14:textId="77777777" w:rsidTr="008734CA">
        <w:trPr>
          <w:trHeight w:val="310"/>
        </w:trPr>
        <w:tc>
          <w:tcPr>
            <w:tcW w:w="3415" w:type="dxa"/>
            <w:noWrap/>
            <w:hideMark/>
          </w:tcPr>
          <w:p w14:paraId="40B4CEF2" w14:textId="77777777" w:rsidR="001E54C0" w:rsidRPr="005D22E8" w:rsidRDefault="001E54C0">
            <w:r w:rsidRPr="005D22E8">
              <w:t>SWS d'</w:t>
            </w:r>
          </w:p>
        </w:tc>
        <w:tc>
          <w:tcPr>
            <w:tcW w:w="1710" w:type="dxa"/>
            <w:noWrap/>
            <w:hideMark/>
          </w:tcPr>
          <w:p w14:paraId="7373F5D9" w14:textId="77777777" w:rsidR="001E54C0" w:rsidRPr="001E54C0" w:rsidRDefault="001E54C0" w:rsidP="001E54C0">
            <w:pPr>
              <w:jc w:val="right"/>
              <w:rPr>
                <w:b/>
                <w:bCs/>
              </w:rPr>
            </w:pPr>
            <w:r w:rsidRPr="001E54C0">
              <w:rPr>
                <w:b/>
                <w:bCs/>
              </w:rPr>
              <w:t>.11</w:t>
            </w:r>
          </w:p>
        </w:tc>
        <w:tc>
          <w:tcPr>
            <w:tcW w:w="2975" w:type="dxa"/>
            <w:noWrap/>
            <w:hideMark/>
          </w:tcPr>
          <w:p w14:paraId="42AB812A" w14:textId="77777777" w:rsidR="001E54C0" w:rsidRPr="001E54C0" w:rsidRDefault="001E54C0" w:rsidP="001E54C0">
            <w:pPr>
              <w:jc w:val="right"/>
              <w:rPr>
                <w:b/>
                <w:bCs/>
              </w:rPr>
            </w:pPr>
            <w:r w:rsidRPr="001E54C0">
              <w:rPr>
                <w:b/>
                <w:bCs/>
              </w:rPr>
              <w:t>.023</w:t>
            </w:r>
          </w:p>
        </w:tc>
      </w:tr>
      <w:tr w:rsidR="001E54C0" w:rsidRPr="001E54C0" w14:paraId="1B013907" w14:textId="77777777" w:rsidTr="008734CA">
        <w:trPr>
          <w:trHeight w:val="310"/>
        </w:trPr>
        <w:tc>
          <w:tcPr>
            <w:tcW w:w="3415" w:type="dxa"/>
            <w:noWrap/>
            <w:hideMark/>
          </w:tcPr>
          <w:p w14:paraId="7E514BC9" w14:textId="77777777" w:rsidR="001E54C0" w:rsidRPr="005D22E8" w:rsidRDefault="001E54C0">
            <w:r w:rsidRPr="005D22E8">
              <w:t>SWS c</w:t>
            </w:r>
          </w:p>
        </w:tc>
        <w:tc>
          <w:tcPr>
            <w:tcW w:w="1710" w:type="dxa"/>
            <w:noWrap/>
            <w:hideMark/>
          </w:tcPr>
          <w:p w14:paraId="0FD55861" w14:textId="77777777" w:rsidR="001E54C0" w:rsidRPr="001E54C0" w:rsidRDefault="001E54C0" w:rsidP="001E54C0">
            <w:pPr>
              <w:jc w:val="right"/>
            </w:pPr>
            <w:r w:rsidRPr="001E54C0">
              <w:t>.04</w:t>
            </w:r>
          </w:p>
        </w:tc>
        <w:tc>
          <w:tcPr>
            <w:tcW w:w="2975" w:type="dxa"/>
            <w:noWrap/>
            <w:hideMark/>
          </w:tcPr>
          <w:p w14:paraId="06AC4C8C" w14:textId="77777777" w:rsidR="001E54C0" w:rsidRPr="001E54C0" w:rsidRDefault="001E54C0" w:rsidP="001E54C0">
            <w:pPr>
              <w:jc w:val="right"/>
            </w:pPr>
            <w:r w:rsidRPr="001E54C0">
              <w:t>.391</w:t>
            </w:r>
          </w:p>
        </w:tc>
      </w:tr>
      <w:tr w:rsidR="001E54C0" w:rsidRPr="001E54C0" w14:paraId="3BE842AC" w14:textId="77777777" w:rsidTr="008734CA">
        <w:trPr>
          <w:trHeight w:val="310"/>
        </w:trPr>
        <w:tc>
          <w:tcPr>
            <w:tcW w:w="3415" w:type="dxa"/>
            <w:noWrap/>
            <w:hideMark/>
          </w:tcPr>
          <w:p w14:paraId="18F594CA" w14:textId="77777777" w:rsidR="001E54C0" w:rsidRPr="005D22E8" w:rsidRDefault="001E54C0">
            <w:r w:rsidRPr="005D22E8">
              <w:t>CH ν (prior)</w:t>
            </w:r>
          </w:p>
        </w:tc>
        <w:tc>
          <w:tcPr>
            <w:tcW w:w="1710" w:type="dxa"/>
            <w:noWrap/>
            <w:hideMark/>
          </w:tcPr>
          <w:p w14:paraId="2059DBA8" w14:textId="77777777" w:rsidR="001E54C0" w:rsidRPr="001E54C0" w:rsidRDefault="001E54C0" w:rsidP="001E54C0">
            <w:pPr>
              <w:jc w:val="right"/>
            </w:pPr>
            <w:r w:rsidRPr="001E54C0">
              <w:t>.07</w:t>
            </w:r>
          </w:p>
        </w:tc>
        <w:tc>
          <w:tcPr>
            <w:tcW w:w="2975" w:type="dxa"/>
            <w:noWrap/>
            <w:hideMark/>
          </w:tcPr>
          <w:p w14:paraId="324C8071" w14:textId="77777777" w:rsidR="001E54C0" w:rsidRPr="001E54C0" w:rsidRDefault="001E54C0" w:rsidP="001E54C0">
            <w:pPr>
              <w:jc w:val="right"/>
            </w:pPr>
            <w:r w:rsidRPr="001E54C0">
              <w:t>.190</w:t>
            </w:r>
          </w:p>
        </w:tc>
      </w:tr>
      <w:tr w:rsidR="001E54C0" w:rsidRPr="001E54C0" w14:paraId="46A5B949" w14:textId="77777777" w:rsidTr="008734CA">
        <w:trPr>
          <w:trHeight w:val="310"/>
        </w:trPr>
        <w:tc>
          <w:tcPr>
            <w:tcW w:w="3415" w:type="dxa"/>
            <w:noWrap/>
            <w:hideMark/>
          </w:tcPr>
          <w:p w14:paraId="58528F3C" w14:textId="77777777" w:rsidR="001E54C0" w:rsidRPr="005D22E8" w:rsidRDefault="001E54C0">
            <w:r w:rsidRPr="005D22E8">
              <w:t>CH ɷ3</w:t>
            </w:r>
          </w:p>
        </w:tc>
        <w:tc>
          <w:tcPr>
            <w:tcW w:w="1710" w:type="dxa"/>
            <w:noWrap/>
            <w:hideMark/>
          </w:tcPr>
          <w:p w14:paraId="724DC6F6" w14:textId="77777777" w:rsidR="001E54C0" w:rsidRPr="001E54C0" w:rsidRDefault="001E54C0" w:rsidP="001E54C0">
            <w:pPr>
              <w:jc w:val="right"/>
              <w:rPr>
                <w:b/>
                <w:bCs/>
              </w:rPr>
            </w:pPr>
            <w:r w:rsidRPr="001E54C0">
              <w:rPr>
                <w:b/>
                <w:bCs/>
              </w:rPr>
              <w:t>.10</w:t>
            </w:r>
          </w:p>
        </w:tc>
        <w:tc>
          <w:tcPr>
            <w:tcW w:w="2975" w:type="dxa"/>
            <w:noWrap/>
            <w:hideMark/>
          </w:tcPr>
          <w:p w14:paraId="2CD6C73A" w14:textId="77777777" w:rsidR="001E54C0" w:rsidRPr="001E54C0" w:rsidRDefault="001E54C0" w:rsidP="001E54C0">
            <w:pPr>
              <w:jc w:val="right"/>
              <w:rPr>
                <w:b/>
                <w:bCs/>
              </w:rPr>
            </w:pPr>
            <w:r w:rsidRPr="001E54C0">
              <w:rPr>
                <w:b/>
                <w:bCs/>
              </w:rPr>
              <w:t>.045</w:t>
            </w:r>
          </w:p>
        </w:tc>
      </w:tr>
      <w:tr w:rsidR="001E54C0" w:rsidRPr="001E54C0" w14:paraId="2C6751F7" w14:textId="77777777" w:rsidTr="008734CA">
        <w:trPr>
          <w:trHeight w:val="310"/>
        </w:trPr>
        <w:tc>
          <w:tcPr>
            <w:tcW w:w="3415" w:type="dxa"/>
            <w:noWrap/>
            <w:hideMark/>
          </w:tcPr>
          <w:p w14:paraId="5EC20EB8" w14:textId="77777777" w:rsidR="001E54C0" w:rsidRPr="005D22E8" w:rsidRDefault="001E54C0">
            <w:r w:rsidRPr="005D22E8">
              <w:t>HR positive</w:t>
            </w:r>
          </w:p>
        </w:tc>
        <w:tc>
          <w:tcPr>
            <w:tcW w:w="1710" w:type="dxa"/>
            <w:noWrap/>
            <w:hideMark/>
          </w:tcPr>
          <w:p w14:paraId="55BB8395" w14:textId="77777777" w:rsidR="001E54C0" w:rsidRPr="001E54C0" w:rsidRDefault="001E54C0" w:rsidP="001E54C0">
            <w:pPr>
              <w:jc w:val="right"/>
              <w:rPr>
                <w:b/>
                <w:bCs/>
              </w:rPr>
            </w:pPr>
            <w:r w:rsidRPr="001E54C0">
              <w:rPr>
                <w:b/>
                <w:bCs/>
              </w:rPr>
              <w:t>.10</w:t>
            </w:r>
          </w:p>
        </w:tc>
        <w:tc>
          <w:tcPr>
            <w:tcW w:w="2975" w:type="dxa"/>
            <w:noWrap/>
            <w:hideMark/>
          </w:tcPr>
          <w:p w14:paraId="15B3C3B2" w14:textId="77777777" w:rsidR="001E54C0" w:rsidRPr="001E54C0" w:rsidRDefault="001E54C0" w:rsidP="001E54C0">
            <w:pPr>
              <w:jc w:val="right"/>
              <w:rPr>
                <w:b/>
                <w:bCs/>
              </w:rPr>
            </w:pPr>
            <w:r w:rsidRPr="001E54C0">
              <w:rPr>
                <w:b/>
                <w:bCs/>
              </w:rPr>
              <w:t>.034</w:t>
            </w:r>
          </w:p>
        </w:tc>
      </w:tr>
      <w:tr w:rsidR="001E54C0" w:rsidRPr="001E54C0" w14:paraId="0334FD58" w14:textId="77777777" w:rsidTr="008734CA">
        <w:trPr>
          <w:trHeight w:val="310"/>
        </w:trPr>
        <w:tc>
          <w:tcPr>
            <w:tcW w:w="3415" w:type="dxa"/>
            <w:noWrap/>
            <w:hideMark/>
          </w:tcPr>
          <w:p w14:paraId="12C04374" w14:textId="77777777" w:rsidR="001E54C0" w:rsidRPr="005D22E8" w:rsidRDefault="001E54C0">
            <w:r w:rsidRPr="005D22E8">
              <w:t>EEFRT hard</w:t>
            </w:r>
          </w:p>
        </w:tc>
        <w:tc>
          <w:tcPr>
            <w:tcW w:w="1710" w:type="dxa"/>
            <w:noWrap/>
            <w:hideMark/>
          </w:tcPr>
          <w:p w14:paraId="74E880FE" w14:textId="77777777" w:rsidR="001E54C0" w:rsidRPr="001E54C0" w:rsidRDefault="001E54C0" w:rsidP="001E54C0">
            <w:pPr>
              <w:jc w:val="right"/>
            </w:pPr>
            <w:r w:rsidRPr="001E54C0">
              <w:t>.08</w:t>
            </w:r>
          </w:p>
        </w:tc>
        <w:tc>
          <w:tcPr>
            <w:tcW w:w="2975" w:type="dxa"/>
            <w:noWrap/>
            <w:hideMark/>
          </w:tcPr>
          <w:p w14:paraId="16A997E6" w14:textId="77777777" w:rsidR="001E54C0" w:rsidRPr="001E54C0" w:rsidRDefault="001E54C0" w:rsidP="001E54C0">
            <w:pPr>
              <w:jc w:val="right"/>
            </w:pPr>
            <w:r w:rsidRPr="001E54C0">
              <w:t>.108</w:t>
            </w:r>
          </w:p>
        </w:tc>
      </w:tr>
      <w:tr w:rsidR="001E54C0" w:rsidRPr="001E54C0" w14:paraId="1B9C54BA" w14:textId="77777777" w:rsidTr="008734CA">
        <w:trPr>
          <w:trHeight w:val="310"/>
        </w:trPr>
        <w:tc>
          <w:tcPr>
            <w:tcW w:w="3415" w:type="dxa"/>
            <w:noWrap/>
            <w:hideMark/>
          </w:tcPr>
          <w:p w14:paraId="22E7C195" w14:textId="77777777" w:rsidR="001E54C0" w:rsidRPr="005D22E8" w:rsidRDefault="001E54C0">
            <w:r w:rsidRPr="005D22E8">
              <w:t>DD large</w:t>
            </w:r>
          </w:p>
        </w:tc>
        <w:tc>
          <w:tcPr>
            <w:tcW w:w="1710" w:type="dxa"/>
            <w:noWrap/>
            <w:hideMark/>
          </w:tcPr>
          <w:p w14:paraId="2FFA35D8" w14:textId="77777777" w:rsidR="001E54C0" w:rsidRPr="001E54C0" w:rsidRDefault="001E54C0" w:rsidP="001E54C0">
            <w:pPr>
              <w:jc w:val="right"/>
            </w:pPr>
            <w:r w:rsidRPr="001E54C0">
              <w:t>-.02</w:t>
            </w:r>
          </w:p>
        </w:tc>
        <w:tc>
          <w:tcPr>
            <w:tcW w:w="2975" w:type="dxa"/>
            <w:noWrap/>
            <w:hideMark/>
          </w:tcPr>
          <w:p w14:paraId="2CF0593D" w14:textId="77777777" w:rsidR="001E54C0" w:rsidRPr="001E54C0" w:rsidRDefault="001E54C0" w:rsidP="001E54C0">
            <w:pPr>
              <w:jc w:val="right"/>
            </w:pPr>
            <w:r w:rsidRPr="001E54C0">
              <w:t>.713</w:t>
            </w:r>
          </w:p>
        </w:tc>
      </w:tr>
      <w:tr w:rsidR="001E54C0" w:rsidRPr="001E54C0" w14:paraId="08CC6B30" w14:textId="77777777" w:rsidTr="008734CA">
        <w:trPr>
          <w:trHeight w:val="310"/>
        </w:trPr>
        <w:tc>
          <w:tcPr>
            <w:tcW w:w="3415" w:type="dxa"/>
            <w:noWrap/>
            <w:hideMark/>
          </w:tcPr>
          <w:p w14:paraId="576B15B2" w14:textId="77777777" w:rsidR="001E54C0" w:rsidRPr="005D22E8" w:rsidRDefault="001E54C0">
            <w:r w:rsidRPr="005D22E8">
              <w:t>CFT speed</w:t>
            </w:r>
          </w:p>
        </w:tc>
        <w:tc>
          <w:tcPr>
            <w:tcW w:w="1710" w:type="dxa"/>
            <w:noWrap/>
            <w:hideMark/>
          </w:tcPr>
          <w:p w14:paraId="422C3B5C" w14:textId="77777777" w:rsidR="001E54C0" w:rsidRPr="001E54C0" w:rsidRDefault="001E54C0" w:rsidP="001E54C0">
            <w:pPr>
              <w:jc w:val="right"/>
            </w:pPr>
            <w:r w:rsidRPr="001E54C0">
              <w:t>.09</w:t>
            </w:r>
          </w:p>
        </w:tc>
        <w:tc>
          <w:tcPr>
            <w:tcW w:w="2975" w:type="dxa"/>
            <w:noWrap/>
            <w:hideMark/>
          </w:tcPr>
          <w:p w14:paraId="35EE0F44" w14:textId="77777777" w:rsidR="001E54C0" w:rsidRPr="001E54C0" w:rsidRDefault="001E54C0" w:rsidP="001E54C0">
            <w:pPr>
              <w:jc w:val="right"/>
            </w:pPr>
            <w:r w:rsidRPr="001E54C0">
              <w:t>.065</w:t>
            </w:r>
          </w:p>
        </w:tc>
      </w:tr>
      <w:tr w:rsidR="001E54C0" w:rsidRPr="001E54C0" w14:paraId="3CBB9CC6" w14:textId="77777777" w:rsidTr="008734CA">
        <w:trPr>
          <w:trHeight w:val="310"/>
        </w:trPr>
        <w:tc>
          <w:tcPr>
            <w:tcW w:w="3415" w:type="dxa"/>
            <w:noWrap/>
            <w:hideMark/>
          </w:tcPr>
          <w:p w14:paraId="2538CEDB" w14:textId="77777777" w:rsidR="001E54C0" w:rsidRPr="005D22E8" w:rsidRDefault="001E54C0">
            <w:r w:rsidRPr="005D22E8">
              <w:t>GLIAT learning</w:t>
            </w:r>
          </w:p>
        </w:tc>
        <w:tc>
          <w:tcPr>
            <w:tcW w:w="1710" w:type="dxa"/>
            <w:noWrap/>
            <w:hideMark/>
          </w:tcPr>
          <w:p w14:paraId="0F6466CD" w14:textId="77777777" w:rsidR="001E54C0" w:rsidRPr="001E54C0" w:rsidRDefault="001E54C0" w:rsidP="001E54C0">
            <w:pPr>
              <w:jc w:val="right"/>
            </w:pPr>
            <w:r w:rsidRPr="001E54C0">
              <w:t>.00</w:t>
            </w:r>
          </w:p>
        </w:tc>
        <w:tc>
          <w:tcPr>
            <w:tcW w:w="2975" w:type="dxa"/>
            <w:noWrap/>
            <w:hideMark/>
          </w:tcPr>
          <w:p w14:paraId="19C885A4" w14:textId="77777777" w:rsidR="001E54C0" w:rsidRPr="001E54C0" w:rsidRDefault="001E54C0" w:rsidP="001E54C0">
            <w:pPr>
              <w:jc w:val="right"/>
            </w:pPr>
            <w:r w:rsidRPr="001E54C0">
              <w:t>.966</w:t>
            </w:r>
          </w:p>
        </w:tc>
      </w:tr>
      <w:tr w:rsidR="001E54C0" w:rsidRPr="001E54C0" w14:paraId="29FE1460" w14:textId="77777777" w:rsidTr="008734CA">
        <w:trPr>
          <w:trHeight w:val="310"/>
        </w:trPr>
        <w:tc>
          <w:tcPr>
            <w:tcW w:w="3415" w:type="dxa"/>
            <w:noWrap/>
            <w:hideMark/>
          </w:tcPr>
          <w:p w14:paraId="047A3A9D" w14:textId="77777777" w:rsidR="001E54C0" w:rsidRPr="005D22E8" w:rsidRDefault="001E54C0">
            <w:r w:rsidRPr="005D22E8">
              <w:t>GLIAT transfer</w:t>
            </w:r>
          </w:p>
        </w:tc>
        <w:tc>
          <w:tcPr>
            <w:tcW w:w="1710" w:type="dxa"/>
            <w:noWrap/>
            <w:hideMark/>
          </w:tcPr>
          <w:p w14:paraId="602754FA" w14:textId="77777777" w:rsidR="001E54C0" w:rsidRPr="001E54C0" w:rsidRDefault="001E54C0" w:rsidP="001E54C0">
            <w:pPr>
              <w:jc w:val="right"/>
            </w:pPr>
            <w:r w:rsidRPr="001E54C0">
              <w:t>.02</w:t>
            </w:r>
          </w:p>
        </w:tc>
        <w:tc>
          <w:tcPr>
            <w:tcW w:w="2975" w:type="dxa"/>
            <w:noWrap/>
            <w:hideMark/>
          </w:tcPr>
          <w:p w14:paraId="5FF3E0A5" w14:textId="77777777" w:rsidR="001E54C0" w:rsidRPr="001E54C0" w:rsidRDefault="001E54C0" w:rsidP="001E54C0">
            <w:pPr>
              <w:jc w:val="right"/>
            </w:pPr>
            <w:r w:rsidRPr="001E54C0">
              <w:t>.688</w:t>
            </w:r>
          </w:p>
        </w:tc>
      </w:tr>
      <w:tr w:rsidR="001E54C0" w:rsidRPr="001E54C0" w14:paraId="760BC290" w14:textId="77777777" w:rsidTr="008734CA">
        <w:trPr>
          <w:trHeight w:val="310"/>
        </w:trPr>
        <w:tc>
          <w:tcPr>
            <w:tcW w:w="3415" w:type="dxa"/>
            <w:noWrap/>
            <w:hideMark/>
          </w:tcPr>
          <w:p w14:paraId="13607913" w14:textId="77777777" w:rsidR="001E54C0" w:rsidRPr="005D22E8" w:rsidRDefault="001E54C0">
            <w:r w:rsidRPr="005D22E8">
              <w:t>EI context</w:t>
            </w:r>
          </w:p>
        </w:tc>
        <w:tc>
          <w:tcPr>
            <w:tcW w:w="1710" w:type="dxa"/>
            <w:noWrap/>
            <w:hideMark/>
          </w:tcPr>
          <w:p w14:paraId="77118B57" w14:textId="77777777" w:rsidR="001E54C0" w:rsidRPr="001E54C0" w:rsidRDefault="001E54C0" w:rsidP="001E54C0">
            <w:pPr>
              <w:jc w:val="right"/>
            </w:pPr>
            <w:r w:rsidRPr="001E54C0">
              <w:t>.04</w:t>
            </w:r>
          </w:p>
        </w:tc>
        <w:tc>
          <w:tcPr>
            <w:tcW w:w="2975" w:type="dxa"/>
            <w:noWrap/>
            <w:hideMark/>
          </w:tcPr>
          <w:p w14:paraId="771B86B5" w14:textId="77777777" w:rsidR="001E54C0" w:rsidRPr="001E54C0" w:rsidRDefault="001E54C0" w:rsidP="001E54C0">
            <w:pPr>
              <w:jc w:val="right"/>
            </w:pPr>
            <w:r w:rsidRPr="001E54C0">
              <w:t>.445</w:t>
            </w:r>
          </w:p>
        </w:tc>
      </w:tr>
      <w:tr w:rsidR="001E54C0" w:rsidRPr="001E54C0" w14:paraId="7307E0B8" w14:textId="77777777" w:rsidTr="008734CA">
        <w:trPr>
          <w:trHeight w:val="310"/>
        </w:trPr>
        <w:tc>
          <w:tcPr>
            <w:tcW w:w="3415" w:type="dxa"/>
            <w:noWrap/>
            <w:hideMark/>
          </w:tcPr>
          <w:p w14:paraId="3C341569" w14:textId="77777777" w:rsidR="001E54C0" w:rsidRPr="005D22E8" w:rsidRDefault="001E54C0">
            <w:r w:rsidRPr="005D22E8">
              <w:t>MF inverted</w:t>
            </w:r>
          </w:p>
        </w:tc>
        <w:tc>
          <w:tcPr>
            <w:tcW w:w="1710" w:type="dxa"/>
            <w:noWrap/>
            <w:hideMark/>
          </w:tcPr>
          <w:p w14:paraId="352623CE" w14:textId="77777777" w:rsidR="001E54C0" w:rsidRPr="001E54C0" w:rsidRDefault="001E54C0" w:rsidP="001E54C0">
            <w:pPr>
              <w:jc w:val="right"/>
              <w:rPr>
                <w:b/>
                <w:bCs/>
              </w:rPr>
            </w:pPr>
            <w:r w:rsidRPr="001E54C0">
              <w:rPr>
                <w:b/>
                <w:bCs/>
              </w:rPr>
              <w:t>-.13</w:t>
            </w:r>
          </w:p>
        </w:tc>
        <w:tc>
          <w:tcPr>
            <w:tcW w:w="2975" w:type="dxa"/>
            <w:noWrap/>
            <w:hideMark/>
          </w:tcPr>
          <w:p w14:paraId="13385454" w14:textId="77777777" w:rsidR="001E54C0" w:rsidRPr="001E54C0" w:rsidRDefault="001E54C0" w:rsidP="001E54C0">
            <w:pPr>
              <w:jc w:val="right"/>
              <w:rPr>
                <w:b/>
                <w:bCs/>
              </w:rPr>
            </w:pPr>
            <w:r w:rsidRPr="001E54C0">
              <w:rPr>
                <w:b/>
                <w:bCs/>
              </w:rPr>
              <w:t>.015</w:t>
            </w:r>
          </w:p>
        </w:tc>
      </w:tr>
      <w:tr w:rsidR="001E54C0" w:rsidRPr="001E54C0" w14:paraId="3566FF51" w14:textId="77777777" w:rsidTr="008734CA">
        <w:trPr>
          <w:trHeight w:val="310"/>
        </w:trPr>
        <w:tc>
          <w:tcPr>
            <w:tcW w:w="3415" w:type="dxa"/>
            <w:tcBorders>
              <w:bottom w:val="single" w:sz="4" w:space="0" w:color="auto"/>
            </w:tcBorders>
            <w:noWrap/>
            <w:hideMark/>
          </w:tcPr>
          <w:p w14:paraId="1044FA9E" w14:textId="77777777" w:rsidR="001E54C0" w:rsidRPr="001E54C0" w:rsidRDefault="001E54C0">
            <w:r w:rsidRPr="001E54C0">
              <w:t>MF upright</w:t>
            </w:r>
          </w:p>
        </w:tc>
        <w:tc>
          <w:tcPr>
            <w:tcW w:w="1710" w:type="dxa"/>
            <w:tcBorders>
              <w:bottom w:val="single" w:sz="4" w:space="0" w:color="auto"/>
            </w:tcBorders>
            <w:noWrap/>
            <w:hideMark/>
          </w:tcPr>
          <w:p w14:paraId="414F37F8" w14:textId="77777777" w:rsidR="001E54C0" w:rsidRPr="001E54C0" w:rsidRDefault="001E54C0" w:rsidP="001E54C0">
            <w:pPr>
              <w:jc w:val="right"/>
            </w:pPr>
            <w:r w:rsidRPr="001E54C0">
              <w:t>-.02</w:t>
            </w:r>
          </w:p>
        </w:tc>
        <w:tc>
          <w:tcPr>
            <w:tcW w:w="2975" w:type="dxa"/>
            <w:tcBorders>
              <w:bottom w:val="single" w:sz="4" w:space="0" w:color="auto"/>
            </w:tcBorders>
            <w:noWrap/>
            <w:hideMark/>
          </w:tcPr>
          <w:p w14:paraId="17230441" w14:textId="77777777" w:rsidR="001E54C0" w:rsidRPr="001E54C0" w:rsidRDefault="001E54C0" w:rsidP="001E54C0">
            <w:pPr>
              <w:jc w:val="right"/>
            </w:pPr>
            <w:r w:rsidRPr="001E54C0">
              <w:t>.707</w:t>
            </w:r>
          </w:p>
        </w:tc>
      </w:tr>
      <w:tr w:rsidR="001E54C0" w:rsidRPr="001E54C0" w14:paraId="05C80AA1" w14:textId="77777777" w:rsidTr="008734CA">
        <w:trPr>
          <w:trHeight w:val="310"/>
        </w:trPr>
        <w:tc>
          <w:tcPr>
            <w:tcW w:w="8100" w:type="dxa"/>
            <w:gridSpan w:val="3"/>
            <w:tcBorders>
              <w:top w:val="single" w:sz="4" w:space="0" w:color="auto"/>
            </w:tcBorders>
            <w:noWrap/>
            <w:hideMark/>
          </w:tcPr>
          <w:p w14:paraId="2C745405" w14:textId="4EE5B752" w:rsidR="001E54C0" w:rsidRPr="001E54C0" w:rsidRDefault="001E54C0">
            <w:r w:rsidRPr="001E54C0">
              <w:rPr>
                <w:i/>
                <w:iCs/>
              </w:rPr>
              <w:t>Note.</w:t>
            </w:r>
            <w:r>
              <w:t xml:space="preserve"> All task variables have been keyed in the direction of greater pathology; however, MF variables have been found to relate to CHR-P status in the opposite direction (see manuscript). Significant (</w:t>
            </w:r>
            <w:r>
              <w:rPr>
                <w:i/>
                <w:iCs/>
              </w:rPr>
              <w:t xml:space="preserve">p </w:t>
            </w:r>
            <w:r>
              <w:t>&lt; .05) correlations are in bold.</w:t>
            </w:r>
          </w:p>
        </w:tc>
      </w:tr>
    </w:tbl>
    <w:p w14:paraId="3F8D9891" w14:textId="77777777" w:rsidR="00FE4C2D" w:rsidRDefault="00FE4C2D" w:rsidP="001E54C0"/>
    <w:p w14:paraId="369AC8BF" w14:textId="77777777" w:rsidR="00FE4C2D" w:rsidRDefault="00FE4C2D" w:rsidP="001E54C0"/>
    <w:p w14:paraId="6B141409" w14:textId="77777777" w:rsidR="00FE4C2D" w:rsidRDefault="0010415F">
      <w:pPr>
        <w:widowControl/>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2078"/>
        <w:gridCol w:w="3155"/>
      </w:tblGrid>
      <w:tr w:rsidR="005D22E8" w:rsidRPr="005D22E8" w14:paraId="6EBA2965" w14:textId="77777777" w:rsidTr="007A44CA">
        <w:trPr>
          <w:trHeight w:val="310"/>
        </w:trPr>
        <w:tc>
          <w:tcPr>
            <w:tcW w:w="8010" w:type="dxa"/>
            <w:gridSpan w:val="3"/>
            <w:noWrap/>
            <w:hideMark/>
          </w:tcPr>
          <w:p w14:paraId="793E867C" w14:textId="16745ED8" w:rsidR="00491249" w:rsidRPr="005D22E8" w:rsidRDefault="007A44CA">
            <w:r w:rsidRPr="005D22E8">
              <w:lastRenderedPageBreak/>
              <w:t xml:space="preserve">Supplemental </w:t>
            </w:r>
            <w:r w:rsidR="00491249" w:rsidRPr="005D22E8">
              <w:t xml:space="preserve">Table </w:t>
            </w:r>
            <w:r w:rsidR="00127754">
              <w:t>4</w:t>
            </w:r>
            <w:r w:rsidR="00491249" w:rsidRPr="005D22E8">
              <w:t>. Multiple regression predicting NAPLS-RC in full sample</w:t>
            </w:r>
          </w:p>
        </w:tc>
      </w:tr>
      <w:tr w:rsidR="00491249" w:rsidRPr="00491249" w14:paraId="0593A1D1" w14:textId="77777777" w:rsidTr="007A44CA">
        <w:trPr>
          <w:trHeight w:val="310"/>
        </w:trPr>
        <w:tc>
          <w:tcPr>
            <w:tcW w:w="2777" w:type="dxa"/>
            <w:tcBorders>
              <w:top w:val="single" w:sz="4" w:space="0" w:color="auto"/>
              <w:bottom w:val="single" w:sz="4" w:space="0" w:color="auto"/>
            </w:tcBorders>
            <w:noWrap/>
            <w:hideMark/>
          </w:tcPr>
          <w:p w14:paraId="76D30CB0" w14:textId="77777777" w:rsidR="00491249" w:rsidRPr="00491249" w:rsidRDefault="00491249" w:rsidP="00491249">
            <w:pPr>
              <w:jc w:val="center"/>
            </w:pPr>
            <w:r w:rsidRPr="00491249">
              <w:t>Predictor</w:t>
            </w:r>
          </w:p>
        </w:tc>
        <w:tc>
          <w:tcPr>
            <w:tcW w:w="2078" w:type="dxa"/>
            <w:tcBorders>
              <w:top w:val="single" w:sz="4" w:space="0" w:color="auto"/>
              <w:bottom w:val="single" w:sz="4" w:space="0" w:color="auto"/>
            </w:tcBorders>
            <w:noWrap/>
            <w:hideMark/>
          </w:tcPr>
          <w:p w14:paraId="199AA5AA" w14:textId="77777777" w:rsidR="00491249" w:rsidRPr="00491249" w:rsidRDefault="00491249" w:rsidP="00491249">
            <w:pPr>
              <w:jc w:val="center"/>
              <w:rPr>
                <w:i/>
                <w:iCs/>
              </w:rPr>
            </w:pPr>
            <w:r w:rsidRPr="00491249">
              <w:rPr>
                <w:i/>
                <w:iCs/>
              </w:rPr>
              <w:t>β</w:t>
            </w:r>
          </w:p>
        </w:tc>
        <w:tc>
          <w:tcPr>
            <w:tcW w:w="3155" w:type="dxa"/>
            <w:tcBorders>
              <w:top w:val="single" w:sz="4" w:space="0" w:color="auto"/>
              <w:bottom w:val="single" w:sz="4" w:space="0" w:color="auto"/>
            </w:tcBorders>
            <w:noWrap/>
            <w:hideMark/>
          </w:tcPr>
          <w:p w14:paraId="5CD2299F" w14:textId="77777777" w:rsidR="00491249" w:rsidRPr="00491249" w:rsidRDefault="00491249" w:rsidP="00491249">
            <w:pPr>
              <w:ind w:left="-116" w:firstLine="116"/>
              <w:jc w:val="center"/>
              <w:rPr>
                <w:i/>
                <w:iCs/>
              </w:rPr>
            </w:pPr>
            <w:r w:rsidRPr="00491249">
              <w:rPr>
                <w:i/>
                <w:iCs/>
              </w:rPr>
              <w:t>p</w:t>
            </w:r>
          </w:p>
        </w:tc>
      </w:tr>
      <w:tr w:rsidR="00491249" w:rsidRPr="00491249" w14:paraId="5F95BC67" w14:textId="77777777" w:rsidTr="007A44CA">
        <w:trPr>
          <w:trHeight w:val="310"/>
        </w:trPr>
        <w:tc>
          <w:tcPr>
            <w:tcW w:w="2777" w:type="dxa"/>
            <w:tcBorders>
              <w:top w:val="single" w:sz="4" w:space="0" w:color="auto"/>
            </w:tcBorders>
            <w:noWrap/>
            <w:hideMark/>
          </w:tcPr>
          <w:p w14:paraId="0BB3755E" w14:textId="77777777" w:rsidR="00491249" w:rsidRPr="00491249" w:rsidRDefault="00491249">
            <w:r w:rsidRPr="00491249">
              <w:t>(Intercept)</w:t>
            </w:r>
          </w:p>
        </w:tc>
        <w:tc>
          <w:tcPr>
            <w:tcW w:w="2078" w:type="dxa"/>
            <w:tcBorders>
              <w:top w:val="single" w:sz="4" w:space="0" w:color="auto"/>
            </w:tcBorders>
            <w:noWrap/>
            <w:hideMark/>
          </w:tcPr>
          <w:p w14:paraId="7EAA5197" w14:textId="77777777" w:rsidR="00491249" w:rsidRPr="00491249" w:rsidRDefault="00491249" w:rsidP="00491249">
            <w:pPr>
              <w:jc w:val="right"/>
            </w:pPr>
            <w:r w:rsidRPr="00491249">
              <w:t>0.00</w:t>
            </w:r>
          </w:p>
        </w:tc>
        <w:tc>
          <w:tcPr>
            <w:tcW w:w="3155" w:type="dxa"/>
            <w:tcBorders>
              <w:top w:val="single" w:sz="4" w:space="0" w:color="auto"/>
            </w:tcBorders>
            <w:noWrap/>
            <w:hideMark/>
          </w:tcPr>
          <w:p w14:paraId="670901C4" w14:textId="77777777" w:rsidR="00491249" w:rsidRPr="00491249" w:rsidRDefault="00491249" w:rsidP="00491249">
            <w:pPr>
              <w:jc w:val="right"/>
            </w:pPr>
            <w:r w:rsidRPr="00491249">
              <w:t>1</w:t>
            </w:r>
          </w:p>
        </w:tc>
      </w:tr>
      <w:tr w:rsidR="00491249" w:rsidRPr="00491249" w14:paraId="6960F79A" w14:textId="77777777" w:rsidTr="007A44CA">
        <w:trPr>
          <w:trHeight w:val="310"/>
        </w:trPr>
        <w:tc>
          <w:tcPr>
            <w:tcW w:w="2777" w:type="dxa"/>
            <w:noWrap/>
            <w:hideMark/>
          </w:tcPr>
          <w:p w14:paraId="0E69B375" w14:textId="77777777" w:rsidR="00491249" w:rsidRPr="00491249" w:rsidRDefault="00491249">
            <w:r w:rsidRPr="00491249">
              <w:t>KB Blocking</w:t>
            </w:r>
          </w:p>
        </w:tc>
        <w:tc>
          <w:tcPr>
            <w:tcW w:w="2078" w:type="dxa"/>
            <w:noWrap/>
            <w:hideMark/>
          </w:tcPr>
          <w:p w14:paraId="08164289" w14:textId="77777777" w:rsidR="00491249" w:rsidRPr="00491249" w:rsidRDefault="00491249" w:rsidP="00491249">
            <w:pPr>
              <w:jc w:val="right"/>
            </w:pPr>
            <w:r w:rsidRPr="00491249">
              <w:t>-0.04</w:t>
            </w:r>
          </w:p>
        </w:tc>
        <w:tc>
          <w:tcPr>
            <w:tcW w:w="3155" w:type="dxa"/>
            <w:noWrap/>
            <w:hideMark/>
          </w:tcPr>
          <w:p w14:paraId="590329A1" w14:textId="77777777" w:rsidR="00491249" w:rsidRPr="00491249" w:rsidRDefault="00491249" w:rsidP="00491249">
            <w:pPr>
              <w:jc w:val="right"/>
            </w:pPr>
            <w:r w:rsidRPr="00491249">
              <w:t>.356</w:t>
            </w:r>
          </w:p>
        </w:tc>
      </w:tr>
      <w:tr w:rsidR="00491249" w:rsidRPr="00491249" w14:paraId="7A5601D4" w14:textId="77777777" w:rsidTr="007A44CA">
        <w:trPr>
          <w:trHeight w:val="310"/>
        </w:trPr>
        <w:tc>
          <w:tcPr>
            <w:tcW w:w="2777" w:type="dxa"/>
            <w:noWrap/>
            <w:hideMark/>
          </w:tcPr>
          <w:p w14:paraId="4807C149" w14:textId="77777777" w:rsidR="00491249" w:rsidRPr="005D22E8" w:rsidRDefault="00491249">
            <w:r w:rsidRPr="005D22E8">
              <w:t>KB Control</w:t>
            </w:r>
          </w:p>
        </w:tc>
        <w:tc>
          <w:tcPr>
            <w:tcW w:w="2078" w:type="dxa"/>
            <w:noWrap/>
            <w:hideMark/>
          </w:tcPr>
          <w:p w14:paraId="6C8EEE66" w14:textId="77777777" w:rsidR="00491249" w:rsidRPr="00491249" w:rsidRDefault="00491249" w:rsidP="00491249">
            <w:pPr>
              <w:jc w:val="right"/>
            </w:pPr>
            <w:r w:rsidRPr="00491249">
              <w:t>0.04</w:t>
            </w:r>
          </w:p>
        </w:tc>
        <w:tc>
          <w:tcPr>
            <w:tcW w:w="3155" w:type="dxa"/>
            <w:noWrap/>
            <w:hideMark/>
          </w:tcPr>
          <w:p w14:paraId="425CB9F0" w14:textId="77777777" w:rsidR="00491249" w:rsidRPr="00491249" w:rsidRDefault="00491249" w:rsidP="00491249">
            <w:pPr>
              <w:jc w:val="right"/>
            </w:pPr>
            <w:r w:rsidRPr="00491249">
              <w:t>.417</w:t>
            </w:r>
          </w:p>
        </w:tc>
      </w:tr>
      <w:tr w:rsidR="00491249" w:rsidRPr="00491249" w14:paraId="72B9C287" w14:textId="77777777" w:rsidTr="007A44CA">
        <w:trPr>
          <w:trHeight w:val="310"/>
        </w:trPr>
        <w:tc>
          <w:tcPr>
            <w:tcW w:w="2777" w:type="dxa"/>
            <w:noWrap/>
            <w:hideMark/>
          </w:tcPr>
          <w:p w14:paraId="50911375" w14:textId="77777777" w:rsidR="00491249" w:rsidRPr="005D22E8" w:rsidRDefault="00491249">
            <w:r w:rsidRPr="005D22E8">
              <w:t>PRL WSR</w:t>
            </w:r>
          </w:p>
        </w:tc>
        <w:tc>
          <w:tcPr>
            <w:tcW w:w="2078" w:type="dxa"/>
            <w:noWrap/>
            <w:hideMark/>
          </w:tcPr>
          <w:p w14:paraId="68A449A4" w14:textId="77777777" w:rsidR="00491249" w:rsidRPr="00491249" w:rsidRDefault="00491249" w:rsidP="00491249">
            <w:pPr>
              <w:jc w:val="right"/>
              <w:rPr>
                <w:b/>
                <w:bCs/>
              </w:rPr>
            </w:pPr>
            <w:r w:rsidRPr="00491249">
              <w:rPr>
                <w:b/>
                <w:bCs/>
              </w:rPr>
              <w:t>0.17</w:t>
            </w:r>
          </w:p>
        </w:tc>
        <w:tc>
          <w:tcPr>
            <w:tcW w:w="3155" w:type="dxa"/>
            <w:noWrap/>
            <w:hideMark/>
          </w:tcPr>
          <w:p w14:paraId="01AA0621" w14:textId="77777777" w:rsidR="00491249" w:rsidRPr="00491249" w:rsidRDefault="00491249" w:rsidP="00491249">
            <w:pPr>
              <w:jc w:val="right"/>
              <w:rPr>
                <w:b/>
                <w:bCs/>
              </w:rPr>
            </w:pPr>
            <w:r w:rsidRPr="00491249">
              <w:rPr>
                <w:b/>
                <w:bCs/>
              </w:rPr>
              <w:t>.001</w:t>
            </w:r>
          </w:p>
        </w:tc>
      </w:tr>
      <w:tr w:rsidR="00491249" w:rsidRPr="00491249" w14:paraId="5CDC659E" w14:textId="77777777" w:rsidTr="007A44CA">
        <w:trPr>
          <w:trHeight w:val="310"/>
        </w:trPr>
        <w:tc>
          <w:tcPr>
            <w:tcW w:w="2777" w:type="dxa"/>
            <w:noWrap/>
            <w:hideMark/>
          </w:tcPr>
          <w:p w14:paraId="5B68AB21" w14:textId="77777777" w:rsidR="00491249" w:rsidRPr="005D22E8" w:rsidRDefault="00491249">
            <w:r w:rsidRPr="005D22E8">
              <w:t>PRL LSR</w:t>
            </w:r>
          </w:p>
        </w:tc>
        <w:tc>
          <w:tcPr>
            <w:tcW w:w="2078" w:type="dxa"/>
            <w:noWrap/>
            <w:hideMark/>
          </w:tcPr>
          <w:p w14:paraId="597A008E" w14:textId="77777777" w:rsidR="00491249" w:rsidRPr="00491249" w:rsidRDefault="00491249" w:rsidP="00491249">
            <w:pPr>
              <w:jc w:val="right"/>
            </w:pPr>
            <w:r w:rsidRPr="00491249">
              <w:t>-0.08</w:t>
            </w:r>
          </w:p>
        </w:tc>
        <w:tc>
          <w:tcPr>
            <w:tcW w:w="3155" w:type="dxa"/>
            <w:noWrap/>
            <w:hideMark/>
          </w:tcPr>
          <w:p w14:paraId="3874332F" w14:textId="77777777" w:rsidR="00491249" w:rsidRPr="00491249" w:rsidRDefault="00491249" w:rsidP="00491249">
            <w:pPr>
              <w:jc w:val="right"/>
            </w:pPr>
            <w:r w:rsidRPr="00491249">
              <w:t>.097</w:t>
            </w:r>
          </w:p>
        </w:tc>
      </w:tr>
      <w:tr w:rsidR="00491249" w:rsidRPr="00491249" w14:paraId="552CE3BE" w14:textId="77777777" w:rsidTr="007A44CA">
        <w:trPr>
          <w:trHeight w:val="310"/>
        </w:trPr>
        <w:tc>
          <w:tcPr>
            <w:tcW w:w="2777" w:type="dxa"/>
            <w:noWrap/>
            <w:hideMark/>
          </w:tcPr>
          <w:p w14:paraId="0E334C8C" w14:textId="77777777" w:rsidR="00491249" w:rsidRPr="005D22E8" w:rsidRDefault="00491249">
            <w:r w:rsidRPr="005D22E8">
              <w:t>SWS d'</w:t>
            </w:r>
          </w:p>
        </w:tc>
        <w:tc>
          <w:tcPr>
            <w:tcW w:w="2078" w:type="dxa"/>
            <w:noWrap/>
            <w:hideMark/>
          </w:tcPr>
          <w:p w14:paraId="610C4AC8" w14:textId="77777777" w:rsidR="00491249" w:rsidRPr="00491249" w:rsidRDefault="00491249" w:rsidP="00491249">
            <w:pPr>
              <w:jc w:val="right"/>
              <w:rPr>
                <w:b/>
                <w:bCs/>
              </w:rPr>
            </w:pPr>
            <w:r w:rsidRPr="00491249">
              <w:rPr>
                <w:b/>
                <w:bCs/>
              </w:rPr>
              <w:t>0.11</w:t>
            </w:r>
          </w:p>
        </w:tc>
        <w:tc>
          <w:tcPr>
            <w:tcW w:w="3155" w:type="dxa"/>
            <w:noWrap/>
            <w:hideMark/>
          </w:tcPr>
          <w:p w14:paraId="2F9DD624" w14:textId="77777777" w:rsidR="00491249" w:rsidRPr="00491249" w:rsidRDefault="00491249" w:rsidP="00491249">
            <w:pPr>
              <w:jc w:val="right"/>
              <w:rPr>
                <w:b/>
                <w:bCs/>
              </w:rPr>
            </w:pPr>
            <w:r w:rsidRPr="00491249">
              <w:rPr>
                <w:b/>
                <w:bCs/>
              </w:rPr>
              <w:t>.026</w:t>
            </w:r>
          </w:p>
        </w:tc>
      </w:tr>
      <w:tr w:rsidR="00491249" w:rsidRPr="00491249" w14:paraId="2B96AB93" w14:textId="77777777" w:rsidTr="007A44CA">
        <w:trPr>
          <w:trHeight w:val="310"/>
        </w:trPr>
        <w:tc>
          <w:tcPr>
            <w:tcW w:w="2777" w:type="dxa"/>
            <w:noWrap/>
            <w:hideMark/>
          </w:tcPr>
          <w:p w14:paraId="3629C07F" w14:textId="77777777" w:rsidR="00491249" w:rsidRPr="005D22E8" w:rsidRDefault="00491249">
            <w:r w:rsidRPr="005D22E8">
              <w:t>SWS c</w:t>
            </w:r>
          </w:p>
        </w:tc>
        <w:tc>
          <w:tcPr>
            <w:tcW w:w="2078" w:type="dxa"/>
            <w:noWrap/>
            <w:hideMark/>
          </w:tcPr>
          <w:p w14:paraId="7ACAA51F" w14:textId="77777777" w:rsidR="00491249" w:rsidRPr="00491249" w:rsidRDefault="00491249" w:rsidP="00491249">
            <w:pPr>
              <w:jc w:val="right"/>
            </w:pPr>
            <w:r w:rsidRPr="00491249">
              <w:t>0.05</w:t>
            </w:r>
          </w:p>
        </w:tc>
        <w:tc>
          <w:tcPr>
            <w:tcW w:w="3155" w:type="dxa"/>
            <w:noWrap/>
            <w:hideMark/>
          </w:tcPr>
          <w:p w14:paraId="4B2D800F" w14:textId="77777777" w:rsidR="00491249" w:rsidRPr="00491249" w:rsidRDefault="00491249" w:rsidP="00491249">
            <w:pPr>
              <w:jc w:val="right"/>
            </w:pPr>
            <w:r w:rsidRPr="00491249">
              <w:t>.331</w:t>
            </w:r>
          </w:p>
        </w:tc>
      </w:tr>
      <w:tr w:rsidR="00491249" w:rsidRPr="00491249" w14:paraId="5D818025" w14:textId="77777777" w:rsidTr="007A44CA">
        <w:trPr>
          <w:trHeight w:val="310"/>
        </w:trPr>
        <w:tc>
          <w:tcPr>
            <w:tcW w:w="2777" w:type="dxa"/>
            <w:noWrap/>
            <w:hideMark/>
          </w:tcPr>
          <w:p w14:paraId="4E40DE00" w14:textId="77777777" w:rsidR="00491249" w:rsidRPr="005D22E8" w:rsidRDefault="00491249">
            <w:r w:rsidRPr="005D22E8">
              <w:t>CH ν (prior)</w:t>
            </w:r>
          </w:p>
        </w:tc>
        <w:tc>
          <w:tcPr>
            <w:tcW w:w="2078" w:type="dxa"/>
            <w:noWrap/>
            <w:hideMark/>
          </w:tcPr>
          <w:p w14:paraId="2991774D" w14:textId="77777777" w:rsidR="00491249" w:rsidRPr="00491249" w:rsidRDefault="00491249" w:rsidP="00491249">
            <w:pPr>
              <w:jc w:val="right"/>
            </w:pPr>
            <w:r w:rsidRPr="00491249">
              <w:t>-0.01</w:t>
            </w:r>
          </w:p>
        </w:tc>
        <w:tc>
          <w:tcPr>
            <w:tcW w:w="3155" w:type="dxa"/>
            <w:noWrap/>
            <w:hideMark/>
          </w:tcPr>
          <w:p w14:paraId="4C9A7B85" w14:textId="77777777" w:rsidR="00491249" w:rsidRPr="00491249" w:rsidRDefault="00491249" w:rsidP="00491249">
            <w:pPr>
              <w:jc w:val="right"/>
            </w:pPr>
            <w:r w:rsidRPr="00491249">
              <w:t>.858</w:t>
            </w:r>
          </w:p>
        </w:tc>
      </w:tr>
      <w:tr w:rsidR="00491249" w:rsidRPr="00491249" w14:paraId="625CA2A2" w14:textId="77777777" w:rsidTr="007A44CA">
        <w:trPr>
          <w:trHeight w:val="310"/>
        </w:trPr>
        <w:tc>
          <w:tcPr>
            <w:tcW w:w="2777" w:type="dxa"/>
            <w:noWrap/>
            <w:hideMark/>
          </w:tcPr>
          <w:p w14:paraId="4C1DFBAF" w14:textId="77777777" w:rsidR="00491249" w:rsidRPr="005D22E8" w:rsidRDefault="00491249">
            <w:r w:rsidRPr="005D22E8">
              <w:t>CH ɷ3</w:t>
            </w:r>
          </w:p>
        </w:tc>
        <w:tc>
          <w:tcPr>
            <w:tcW w:w="2078" w:type="dxa"/>
            <w:noWrap/>
            <w:hideMark/>
          </w:tcPr>
          <w:p w14:paraId="354D4629" w14:textId="77777777" w:rsidR="00491249" w:rsidRPr="00491249" w:rsidRDefault="00491249" w:rsidP="00491249">
            <w:pPr>
              <w:jc w:val="right"/>
            </w:pPr>
            <w:r w:rsidRPr="00491249">
              <w:t>0.09</w:t>
            </w:r>
          </w:p>
        </w:tc>
        <w:tc>
          <w:tcPr>
            <w:tcW w:w="3155" w:type="dxa"/>
            <w:noWrap/>
            <w:hideMark/>
          </w:tcPr>
          <w:p w14:paraId="708967B6" w14:textId="77777777" w:rsidR="00491249" w:rsidRPr="00491249" w:rsidRDefault="00491249" w:rsidP="00491249">
            <w:pPr>
              <w:jc w:val="right"/>
            </w:pPr>
            <w:r w:rsidRPr="00491249">
              <w:t>.075</w:t>
            </w:r>
          </w:p>
        </w:tc>
      </w:tr>
      <w:tr w:rsidR="00491249" w:rsidRPr="00491249" w14:paraId="2CC07C99" w14:textId="77777777" w:rsidTr="007A44CA">
        <w:trPr>
          <w:trHeight w:val="310"/>
        </w:trPr>
        <w:tc>
          <w:tcPr>
            <w:tcW w:w="2777" w:type="dxa"/>
            <w:noWrap/>
            <w:hideMark/>
          </w:tcPr>
          <w:p w14:paraId="16D801E3" w14:textId="77777777" w:rsidR="00491249" w:rsidRPr="005D22E8" w:rsidRDefault="00491249">
            <w:r w:rsidRPr="005D22E8">
              <w:t>HR positive</w:t>
            </w:r>
          </w:p>
        </w:tc>
        <w:tc>
          <w:tcPr>
            <w:tcW w:w="2078" w:type="dxa"/>
            <w:noWrap/>
            <w:hideMark/>
          </w:tcPr>
          <w:p w14:paraId="77CD1D8E" w14:textId="77777777" w:rsidR="00491249" w:rsidRPr="00491249" w:rsidRDefault="00491249" w:rsidP="00491249">
            <w:pPr>
              <w:jc w:val="right"/>
              <w:rPr>
                <w:b/>
                <w:bCs/>
              </w:rPr>
            </w:pPr>
            <w:r w:rsidRPr="00491249">
              <w:rPr>
                <w:b/>
                <w:bCs/>
              </w:rPr>
              <w:t>0.11</w:t>
            </w:r>
          </w:p>
        </w:tc>
        <w:tc>
          <w:tcPr>
            <w:tcW w:w="3155" w:type="dxa"/>
            <w:noWrap/>
            <w:hideMark/>
          </w:tcPr>
          <w:p w14:paraId="12F3C45A" w14:textId="77777777" w:rsidR="00491249" w:rsidRPr="00491249" w:rsidRDefault="00491249" w:rsidP="00491249">
            <w:pPr>
              <w:jc w:val="right"/>
              <w:rPr>
                <w:b/>
                <w:bCs/>
              </w:rPr>
            </w:pPr>
            <w:r w:rsidRPr="00491249">
              <w:rPr>
                <w:b/>
                <w:bCs/>
              </w:rPr>
              <w:t>.021</w:t>
            </w:r>
          </w:p>
        </w:tc>
      </w:tr>
      <w:tr w:rsidR="00491249" w:rsidRPr="00491249" w14:paraId="3E08ECC9" w14:textId="77777777" w:rsidTr="007A44CA">
        <w:trPr>
          <w:trHeight w:val="310"/>
        </w:trPr>
        <w:tc>
          <w:tcPr>
            <w:tcW w:w="2777" w:type="dxa"/>
            <w:noWrap/>
            <w:hideMark/>
          </w:tcPr>
          <w:p w14:paraId="6F78D37E" w14:textId="77777777" w:rsidR="00491249" w:rsidRPr="005D22E8" w:rsidRDefault="00491249">
            <w:r w:rsidRPr="005D22E8">
              <w:t>EEFRT hard</w:t>
            </w:r>
          </w:p>
        </w:tc>
        <w:tc>
          <w:tcPr>
            <w:tcW w:w="2078" w:type="dxa"/>
            <w:noWrap/>
            <w:hideMark/>
          </w:tcPr>
          <w:p w14:paraId="095687C8" w14:textId="77777777" w:rsidR="00491249" w:rsidRPr="00491249" w:rsidRDefault="00491249" w:rsidP="00491249">
            <w:pPr>
              <w:jc w:val="right"/>
            </w:pPr>
            <w:r w:rsidRPr="00491249">
              <w:t>0.06</w:t>
            </w:r>
          </w:p>
        </w:tc>
        <w:tc>
          <w:tcPr>
            <w:tcW w:w="3155" w:type="dxa"/>
            <w:noWrap/>
            <w:hideMark/>
          </w:tcPr>
          <w:p w14:paraId="57A3B2A3" w14:textId="77777777" w:rsidR="00491249" w:rsidRPr="00491249" w:rsidRDefault="00491249" w:rsidP="00491249">
            <w:pPr>
              <w:jc w:val="right"/>
            </w:pPr>
            <w:r w:rsidRPr="00491249">
              <w:t>.201</w:t>
            </w:r>
          </w:p>
        </w:tc>
      </w:tr>
      <w:tr w:rsidR="00491249" w:rsidRPr="00491249" w14:paraId="5D8DC918" w14:textId="77777777" w:rsidTr="007A44CA">
        <w:trPr>
          <w:trHeight w:val="310"/>
        </w:trPr>
        <w:tc>
          <w:tcPr>
            <w:tcW w:w="2777" w:type="dxa"/>
            <w:noWrap/>
            <w:hideMark/>
          </w:tcPr>
          <w:p w14:paraId="77709F20" w14:textId="77777777" w:rsidR="00491249" w:rsidRPr="005D22E8" w:rsidRDefault="00491249">
            <w:r w:rsidRPr="005D22E8">
              <w:t>DD large</w:t>
            </w:r>
          </w:p>
        </w:tc>
        <w:tc>
          <w:tcPr>
            <w:tcW w:w="2078" w:type="dxa"/>
            <w:noWrap/>
            <w:hideMark/>
          </w:tcPr>
          <w:p w14:paraId="36959319" w14:textId="77777777" w:rsidR="00491249" w:rsidRPr="00491249" w:rsidRDefault="00491249" w:rsidP="00491249">
            <w:pPr>
              <w:jc w:val="right"/>
            </w:pPr>
            <w:r w:rsidRPr="00491249">
              <w:t>0.03</w:t>
            </w:r>
          </w:p>
        </w:tc>
        <w:tc>
          <w:tcPr>
            <w:tcW w:w="3155" w:type="dxa"/>
            <w:noWrap/>
            <w:hideMark/>
          </w:tcPr>
          <w:p w14:paraId="23390551" w14:textId="77777777" w:rsidR="00491249" w:rsidRPr="00491249" w:rsidRDefault="00491249" w:rsidP="00491249">
            <w:pPr>
              <w:jc w:val="right"/>
            </w:pPr>
            <w:r w:rsidRPr="00491249">
              <w:t>.469</w:t>
            </w:r>
          </w:p>
        </w:tc>
      </w:tr>
      <w:tr w:rsidR="00491249" w:rsidRPr="00491249" w14:paraId="103D03D5" w14:textId="77777777" w:rsidTr="007A44CA">
        <w:trPr>
          <w:trHeight w:val="310"/>
        </w:trPr>
        <w:tc>
          <w:tcPr>
            <w:tcW w:w="2777" w:type="dxa"/>
            <w:noWrap/>
            <w:hideMark/>
          </w:tcPr>
          <w:p w14:paraId="2368814D" w14:textId="77777777" w:rsidR="00491249" w:rsidRPr="005D22E8" w:rsidRDefault="00491249">
            <w:r w:rsidRPr="005D22E8">
              <w:t>CFT speed</w:t>
            </w:r>
          </w:p>
        </w:tc>
        <w:tc>
          <w:tcPr>
            <w:tcW w:w="2078" w:type="dxa"/>
            <w:noWrap/>
            <w:hideMark/>
          </w:tcPr>
          <w:p w14:paraId="7B3529CE" w14:textId="77777777" w:rsidR="00491249" w:rsidRPr="00491249" w:rsidRDefault="00491249" w:rsidP="00491249">
            <w:pPr>
              <w:jc w:val="right"/>
              <w:rPr>
                <w:b/>
                <w:bCs/>
              </w:rPr>
            </w:pPr>
            <w:r w:rsidRPr="00491249">
              <w:rPr>
                <w:b/>
                <w:bCs/>
              </w:rPr>
              <w:t>0.10</w:t>
            </w:r>
          </w:p>
        </w:tc>
        <w:tc>
          <w:tcPr>
            <w:tcW w:w="3155" w:type="dxa"/>
            <w:noWrap/>
            <w:hideMark/>
          </w:tcPr>
          <w:p w14:paraId="4191C4F0" w14:textId="77777777" w:rsidR="00491249" w:rsidRPr="00491249" w:rsidRDefault="00491249" w:rsidP="00491249">
            <w:pPr>
              <w:jc w:val="right"/>
              <w:rPr>
                <w:b/>
                <w:bCs/>
              </w:rPr>
            </w:pPr>
            <w:r w:rsidRPr="00491249">
              <w:rPr>
                <w:b/>
                <w:bCs/>
              </w:rPr>
              <w:t>.046</w:t>
            </w:r>
          </w:p>
        </w:tc>
      </w:tr>
      <w:tr w:rsidR="00491249" w:rsidRPr="00491249" w14:paraId="517DC482" w14:textId="77777777" w:rsidTr="007A44CA">
        <w:trPr>
          <w:trHeight w:val="310"/>
        </w:trPr>
        <w:tc>
          <w:tcPr>
            <w:tcW w:w="2777" w:type="dxa"/>
            <w:noWrap/>
            <w:hideMark/>
          </w:tcPr>
          <w:p w14:paraId="0FC8B14A" w14:textId="77777777" w:rsidR="00491249" w:rsidRPr="005D22E8" w:rsidRDefault="00491249">
            <w:r w:rsidRPr="005D22E8">
              <w:t>GLIAT learning</w:t>
            </w:r>
          </w:p>
        </w:tc>
        <w:tc>
          <w:tcPr>
            <w:tcW w:w="2078" w:type="dxa"/>
            <w:noWrap/>
            <w:hideMark/>
          </w:tcPr>
          <w:p w14:paraId="21460C1F" w14:textId="77777777" w:rsidR="00491249" w:rsidRPr="00491249" w:rsidRDefault="00491249" w:rsidP="00491249">
            <w:pPr>
              <w:jc w:val="right"/>
            </w:pPr>
            <w:r w:rsidRPr="00491249">
              <w:t>0.01</w:t>
            </w:r>
          </w:p>
        </w:tc>
        <w:tc>
          <w:tcPr>
            <w:tcW w:w="3155" w:type="dxa"/>
            <w:noWrap/>
            <w:hideMark/>
          </w:tcPr>
          <w:p w14:paraId="174BC97F" w14:textId="77777777" w:rsidR="00491249" w:rsidRPr="00491249" w:rsidRDefault="00491249" w:rsidP="00491249">
            <w:pPr>
              <w:jc w:val="right"/>
            </w:pPr>
            <w:r w:rsidRPr="00491249">
              <w:t>.868</w:t>
            </w:r>
          </w:p>
        </w:tc>
      </w:tr>
      <w:tr w:rsidR="00491249" w:rsidRPr="00491249" w14:paraId="33497910" w14:textId="77777777" w:rsidTr="007A44CA">
        <w:trPr>
          <w:trHeight w:val="310"/>
        </w:trPr>
        <w:tc>
          <w:tcPr>
            <w:tcW w:w="2777" w:type="dxa"/>
            <w:noWrap/>
            <w:hideMark/>
          </w:tcPr>
          <w:p w14:paraId="60E891FB" w14:textId="77777777" w:rsidR="00491249" w:rsidRPr="005D22E8" w:rsidRDefault="00491249">
            <w:r w:rsidRPr="005D22E8">
              <w:t>GLIAT transfer</w:t>
            </w:r>
          </w:p>
        </w:tc>
        <w:tc>
          <w:tcPr>
            <w:tcW w:w="2078" w:type="dxa"/>
            <w:noWrap/>
            <w:hideMark/>
          </w:tcPr>
          <w:p w14:paraId="55353375" w14:textId="77777777" w:rsidR="00491249" w:rsidRPr="00491249" w:rsidRDefault="00491249" w:rsidP="00491249">
            <w:pPr>
              <w:jc w:val="right"/>
            </w:pPr>
            <w:r w:rsidRPr="00491249">
              <w:t>0.03</w:t>
            </w:r>
          </w:p>
        </w:tc>
        <w:tc>
          <w:tcPr>
            <w:tcW w:w="3155" w:type="dxa"/>
            <w:noWrap/>
            <w:hideMark/>
          </w:tcPr>
          <w:p w14:paraId="7503F135" w14:textId="77777777" w:rsidR="00491249" w:rsidRPr="00491249" w:rsidRDefault="00491249" w:rsidP="00491249">
            <w:pPr>
              <w:jc w:val="right"/>
            </w:pPr>
            <w:r w:rsidRPr="00491249">
              <w:t>.437</w:t>
            </w:r>
          </w:p>
        </w:tc>
      </w:tr>
      <w:tr w:rsidR="00491249" w:rsidRPr="00491249" w14:paraId="38655CEE" w14:textId="77777777" w:rsidTr="007A44CA">
        <w:trPr>
          <w:trHeight w:val="310"/>
        </w:trPr>
        <w:tc>
          <w:tcPr>
            <w:tcW w:w="2777" w:type="dxa"/>
            <w:noWrap/>
            <w:hideMark/>
          </w:tcPr>
          <w:p w14:paraId="24B62990" w14:textId="77777777" w:rsidR="00491249" w:rsidRPr="005D22E8" w:rsidRDefault="00491249">
            <w:r w:rsidRPr="005D22E8">
              <w:t>EI context</w:t>
            </w:r>
          </w:p>
        </w:tc>
        <w:tc>
          <w:tcPr>
            <w:tcW w:w="2078" w:type="dxa"/>
            <w:noWrap/>
            <w:hideMark/>
          </w:tcPr>
          <w:p w14:paraId="7B654F7A" w14:textId="77777777" w:rsidR="00491249" w:rsidRPr="00491249" w:rsidRDefault="00491249" w:rsidP="00491249">
            <w:pPr>
              <w:jc w:val="right"/>
            </w:pPr>
            <w:r w:rsidRPr="00491249">
              <w:t>0.01</w:t>
            </w:r>
          </w:p>
        </w:tc>
        <w:tc>
          <w:tcPr>
            <w:tcW w:w="3155" w:type="dxa"/>
            <w:noWrap/>
            <w:hideMark/>
          </w:tcPr>
          <w:p w14:paraId="78A6F72C" w14:textId="77777777" w:rsidR="00491249" w:rsidRPr="00491249" w:rsidRDefault="00491249" w:rsidP="00491249">
            <w:pPr>
              <w:jc w:val="right"/>
            </w:pPr>
            <w:r w:rsidRPr="00491249">
              <w:t>.861</w:t>
            </w:r>
          </w:p>
        </w:tc>
      </w:tr>
      <w:tr w:rsidR="00491249" w:rsidRPr="00491249" w14:paraId="4E7F3722" w14:textId="77777777" w:rsidTr="007A44CA">
        <w:trPr>
          <w:trHeight w:val="310"/>
        </w:trPr>
        <w:tc>
          <w:tcPr>
            <w:tcW w:w="2777" w:type="dxa"/>
            <w:noWrap/>
            <w:hideMark/>
          </w:tcPr>
          <w:p w14:paraId="23AAD960" w14:textId="77777777" w:rsidR="00491249" w:rsidRPr="005D22E8" w:rsidRDefault="00491249">
            <w:r w:rsidRPr="005D22E8">
              <w:t>MF inverted</w:t>
            </w:r>
          </w:p>
        </w:tc>
        <w:tc>
          <w:tcPr>
            <w:tcW w:w="2078" w:type="dxa"/>
            <w:noWrap/>
            <w:hideMark/>
          </w:tcPr>
          <w:p w14:paraId="6C61F337" w14:textId="77777777" w:rsidR="00491249" w:rsidRPr="00491249" w:rsidRDefault="00491249" w:rsidP="00491249">
            <w:pPr>
              <w:jc w:val="right"/>
              <w:rPr>
                <w:b/>
                <w:bCs/>
              </w:rPr>
            </w:pPr>
            <w:r w:rsidRPr="00491249">
              <w:rPr>
                <w:b/>
                <w:bCs/>
              </w:rPr>
              <w:t>-0.19</w:t>
            </w:r>
          </w:p>
        </w:tc>
        <w:tc>
          <w:tcPr>
            <w:tcW w:w="3155" w:type="dxa"/>
            <w:noWrap/>
            <w:hideMark/>
          </w:tcPr>
          <w:p w14:paraId="04BC7FCB" w14:textId="77777777" w:rsidR="00491249" w:rsidRPr="00491249" w:rsidRDefault="00491249" w:rsidP="00491249">
            <w:pPr>
              <w:jc w:val="right"/>
              <w:rPr>
                <w:b/>
                <w:bCs/>
              </w:rPr>
            </w:pPr>
            <w:r w:rsidRPr="00491249">
              <w:rPr>
                <w:b/>
                <w:bCs/>
              </w:rPr>
              <w:t>.006</w:t>
            </w:r>
          </w:p>
        </w:tc>
      </w:tr>
      <w:tr w:rsidR="00491249" w:rsidRPr="00491249" w14:paraId="5081D71F" w14:textId="77777777" w:rsidTr="007A44CA">
        <w:trPr>
          <w:trHeight w:val="310"/>
        </w:trPr>
        <w:tc>
          <w:tcPr>
            <w:tcW w:w="2777" w:type="dxa"/>
            <w:tcBorders>
              <w:bottom w:val="single" w:sz="4" w:space="0" w:color="auto"/>
            </w:tcBorders>
            <w:noWrap/>
            <w:hideMark/>
          </w:tcPr>
          <w:p w14:paraId="0172E986" w14:textId="77777777" w:rsidR="00491249" w:rsidRPr="00491249" w:rsidRDefault="00491249">
            <w:r w:rsidRPr="00491249">
              <w:t>MF upright</w:t>
            </w:r>
          </w:p>
        </w:tc>
        <w:tc>
          <w:tcPr>
            <w:tcW w:w="2078" w:type="dxa"/>
            <w:tcBorders>
              <w:bottom w:val="single" w:sz="4" w:space="0" w:color="auto"/>
            </w:tcBorders>
            <w:noWrap/>
            <w:hideMark/>
          </w:tcPr>
          <w:p w14:paraId="307568D0" w14:textId="77777777" w:rsidR="00491249" w:rsidRPr="00491249" w:rsidRDefault="00491249" w:rsidP="00491249">
            <w:pPr>
              <w:jc w:val="right"/>
            </w:pPr>
            <w:r w:rsidRPr="00491249">
              <w:t>0.09</w:t>
            </w:r>
          </w:p>
        </w:tc>
        <w:tc>
          <w:tcPr>
            <w:tcW w:w="3155" w:type="dxa"/>
            <w:tcBorders>
              <w:bottom w:val="single" w:sz="4" w:space="0" w:color="auto"/>
            </w:tcBorders>
            <w:noWrap/>
            <w:hideMark/>
          </w:tcPr>
          <w:p w14:paraId="2342B0B5" w14:textId="77777777" w:rsidR="00491249" w:rsidRPr="00491249" w:rsidRDefault="00491249" w:rsidP="00491249">
            <w:pPr>
              <w:jc w:val="right"/>
            </w:pPr>
            <w:r w:rsidRPr="00491249">
              <w:t>.168</w:t>
            </w:r>
          </w:p>
        </w:tc>
      </w:tr>
      <w:tr w:rsidR="00491249" w:rsidRPr="00491249" w14:paraId="455D9664" w14:textId="77777777" w:rsidTr="007A44CA">
        <w:trPr>
          <w:trHeight w:val="310"/>
        </w:trPr>
        <w:tc>
          <w:tcPr>
            <w:tcW w:w="8010" w:type="dxa"/>
            <w:gridSpan w:val="3"/>
            <w:tcBorders>
              <w:top w:val="single" w:sz="4" w:space="0" w:color="auto"/>
            </w:tcBorders>
            <w:noWrap/>
            <w:hideMark/>
          </w:tcPr>
          <w:p w14:paraId="2280E1A7" w14:textId="4F21CA82" w:rsidR="00491249" w:rsidRPr="00491249" w:rsidRDefault="00491249">
            <w:r w:rsidRPr="001E54C0">
              <w:rPr>
                <w:i/>
                <w:iCs/>
              </w:rPr>
              <w:t>Note.</w:t>
            </w:r>
            <w:r>
              <w:t xml:space="preserve"> All task variables have been keyed in the direction of greater pathology; however, MF variables have been found to relate to CHR-P status in the opposite direction (see manuscript). Significant (</w:t>
            </w:r>
            <w:r>
              <w:rPr>
                <w:i/>
                <w:iCs/>
              </w:rPr>
              <w:t xml:space="preserve">p </w:t>
            </w:r>
            <w:r>
              <w:t>&lt; .05) regression coefficients are in bold.</w:t>
            </w:r>
          </w:p>
        </w:tc>
      </w:tr>
    </w:tbl>
    <w:p w14:paraId="7C519680" w14:textId="77777777" w:rsidR="00FE4C2D" w:rsidRDefault="00FE4C2D" w:rsidP="00491249"/>
    <w:p w14:paraId="789F0D50" w14:textId="77777777" w:rsidR="00491249" w:rsidRDefault="00491249" w:rsidP="00491249"/>
    <w:p w14:paraId="7CAEE665" w14:textId="77777777" w:rsidR="00491249" w:rsidRDefault="00491249" w:rsidP="00491249"/>
    <w:p w14:paraId="30413308" w14:textId="63D03105" w:rsidR="00FE4C2D" w:rsidRDefault="0010415F" w:rsidP="00AF79CC">
      <w:r>
        <w:br w:type="page"/>
      </w:r>
    </w:p>
    <w:p w14:paraId="0AA5DF71" w14:textId="1862A267" w:rsidR="005D22E8" w:rsidRDefault="005D22E8" w:rsidP="005D22E8">
      <w:pPr>
        <w:pStyle w:val="Heading1"/>
      </w:pPr>
      <w:r>
        <w:lastRenderedPageBreak/>
        <w:t>Supplemental References</w:t>
      </w:r>
    </w:p>
    <w:p w14:paraId="5C241F2F" w14:textId="77777777" w:rsidR="00127754" w:rsidRPr="00127754" w:rsidRDefault="00127754" w:rsidP="00127754"/>
    <w:p w14:paraId="2FB4F1F2" w14:textId="77777777" w:rsidR="000F6C2B" w:rsidRPr="000F6C2B" w:rsidRDefault="0010415F" w:rsidP="000F6C2B">
      <w:pPr>
        <w:pStyle w:val="Bibliography"/>
      </w:pPr>
      <w:r>
        <w:fldChar w:fldCharType="begin"/>
      </w:r>
      <w:r w:rsidR="000F6C2B">
        <w:instrText xml:space="preserve"> ADDIN ZOTERO_BIBL {"uncited":[],"omitted":[],"custom":[]} CSL_BIBLIOGRAPHY </w:instrText>
      </w:r>
      <w:r>
        <w:fldChar w:fldCharType="separate"/>
      </w:r>
      <w:r w:rsidR="000F6C2B" w:rsidRPr="000F6C2B">
        <w:t>1.</w:t>
      </w:r>
      <w:r w:rsidR="000F6C2B" w:rsidRPr="000F6C2B">
        <w:tab/>
        <w:t xml:space="preserve">Corlett PR, Fletcher PC. The neurobiology of schizotypy: Fronto-striatal prediction error signal correlates with delusion-like beliefs in healthy people. Neuropsychologia. 2012 Dec 1;50(14):3612–20. </w:t>
      </w:r>
    </w:p>
    <w:p w14:paraId="4BB28C42" w14:textId="77777777" w:rsidR="000F6C2B" w:rsidRPr="000F6C2B" w:rsidRDefault="000F6C2B" w:rsidP="000F6C2B">
      <w:pPr>
        <w:pStyle w:val="Bibliography"/>
      </w:pPr>
      <w:r w:rsidRPr="000F6C2B">
        <w:t>2.</w:t>
      </w:r>
      <w:r w:rsidRPr="000F6C2B">
        <w:tab/>
        <w:t xml:space="preserve">Rossi-Goldthorpe R, Silverstein SM, Gold JM, Schiffman JE, Waltz JA, Williams TF, et al. Different learning aberrations relate to delusions with different contents. Brain. in press; </w:t>
      </w:r>
    </w:p>
    <w:p w14:paraId="1BBB946C" w14:textId="77777777" w:rsidR="000F6C2B" w:rsidRPr="000F6C2B" w:rsidRDefault="000F6C2B" w:rsidP="000F6C2B">
      <w:pPr>
        <w:pStyle w:val="Bibliography"/>
      </w:pPr>
      <w:r w:rsidRPr="000F6C2B">
        <w:t>3.</w:t>
      </w:r>
      <w:r w:rsidRPr="000F6C2B">
        <w:tab/>
        <w:t xml:space="preserve">Suthaharan P, Reed EJ, Leptourgos P, Kenney JG, Uddenberg S, Mathys CD, et al. Paranoia and belief updating during the COVID-19 crisis. Nat Hum Behav. 2021 Sep;5(9):1190–202. </w:t>
      </w:r>
    </w:p>
    <w:p w14:paraId="0639C1EA" w14:textId="77777777" w:rsidR="000F6C2B" w:rsidRPr="000F6C2B" w:rsidRDefault="000F6C2B" w:rsidP="000F6C2B">
      <w:pPr>
        <w:pStyle w:val="Bibliography"/>
      </w:pPr>
      <w:r w:rsidRPr="000F6C2B">
        <w:t>4.</w:t>
      </w:r>
      <w:r w:rsidRPr="000F6C2B">
        <w:tab/>
        <w:t>Sheffield JM, Suthaharan P, Leptourgos P, Corlett PR. Belief Updating and Paranoia in Individuals With Schizophrenia. Biol Psychiatry Cogn Neurosci Neuroimaging [Internet]. 2022 Apr 14 [cited 2022 Jul 20]; Available from: https://www.sciencedirect.com/science/article/pii/S2451902222000799</w:t>
      </w:r>
    </w:p>
    <w:p w14:paraId="70D0D6D7" w14:textId="77777777" w:rsidR="000F6C2B" w:rsidRPr="000F6C2B" w:rsidRDefault="000F6C2B" w:rsidP="000F6C2B">
      <w:pPr>
        <w:pStyle w:val="Bibliography"/>
      </w:pPr>
      <w:r w:rsidRPr="000F6C2B">
        <w:t>5.</w:t>
      </w:r>
      <w:r w:rsidRPr="000F6C2B">
        <w:tab/>
        <w:t xml:space="preserve">Alderson-Day B, Lima CF, Evans S, Krishnan S, Shanmugalingam P, Fernyhough C, et al. Distinct processing of ambiguous speech in people with non-clinical auditory verbal hallucinations. Brain. 2017 Sep 1;140(9):2475–89. </w:t>
      </w:r>
    </w:p>
    <w:p w14:paraId="16CEF616" w14:textId="77777777" w:rsidR="000F6C2B" w:rsidRPr="000F6C2B" w:rsidRDefault="000F6C2B" w:rsidP="000F6C2B">
      <w:pPr>
        <w:pStyle w:val="Bibliography"/>
      </w:pPr>
      <w:r w:rsidRPr="000F6C2B">
        <w:t>6.</w:t>
      </w:r>
      <w:r w:rsidRPr="000F6C2B">
        <w:tab/>
        <w:t xml:space="preserve">Powers AR, Mathys C, Corlett PR. Pavlovian conditioning–induced hallucinations result from overweighting of perceptual priors. Science. 2017 Aug 11;357(6351):596–600. </w:t>
      </w:r>
    </w:p>
    <w:p w14:paraId="1CC366C3" w14:textId="77777777" w:rsidR="000F6C2B" w:rsidRPr="000F6C2B" w:rsidRDefault="000F6C2B" w:rsidP="000F6C2B">
      <w:pPr>
        <w:pStyle w:val="Bibliography"/>
      </w:pPr>
      <w:r w:rsidRPr="000F6C2B">
        <w:t>7.</w:t>
      </w:r>
      <w:r w:rsidRPr="000F6C2B">
        <w:tab/>
        <w:t xml:space="preserve">Gold JM, Waltz JA, Matveeva TM, Kasanova Z, Strauss GP, Herbener ES, et al. Negative Symptoms and the Failure to Represent the Expected Reward Value of Actions: Behavioral and Computational Modeling Evidence. Arch Gen Psychiatry. 2012 Feb 1;69(2):129–38. </w:t>
      </w:r>
    </w:p>
    <w:p w14:paraId="0F4A063C" w14:textId="77777777" w:rsidR="000F6C2B" w:rsidRPr="000F6C2B" w:rsidRDefault="000F6C2B" w:rsidP="000F6C2B">
      <w:pPr>
        <w:pStyle w:val="Bibliography"/>
      </w:pPr>
      <w:r w:rsidRPr="000F6C2B">
        <w:t>8.</w:t>
      </w:r>
      <w:r w:rsidRPr="000F6C2B">
        <w:tab/>
        <w:t xml:space="preserve">Strauss GP, Whearty KM, Morra LF, Sullivan SK, Ossenfort KL, Frost KH. Avolition in schizophrenia is associated with reduced willingness to expend effort for reward on a Progressive Ratio task. Schizophr Res. 2016;170(1):198–204. </w:t>
      </w:r>
    </w:p>
    <w:p w14:paraId="25DDD289" w14:textId="77777777" w:rsidR="000F6C2B" w:rsidRPr="000F6C2B" w:rsidRDefault="000F6C2B" w:rsidP="000F6C2B">
      <w:pPr>
        <w:pStyle w:val="Bibliography"/>
      </w:pPr>
      <w:r w:rsidRPr="000F6C2B">
        <w:t>9.</w:t>
      </w:r>
      <w:r w:rsidRPr="000F6C2B">
        <w:tab/>
        <w:t xml:space="preserve">Treadway MT, Buckholtz JW, Schwartzman AN, Lambert WE, Zald DH. Worth the ‘EEfRT’? The effort expenditure for rewards task as an objective measure of motivation and anhedonia. PloS One. 2009;4(8):e6598. </w:t>
      </w:r>
    </w:p>
    <w:p w14:paraId="49E2A816" w14:textId="77777777" w:rsidR="000F6C2B" w:rsidRPr="000F6C2B" w:rsidRDefault="000F6C2B" w:rsidP="000F6C2B">
      <w:pPr>
        <w:pStyle w:val="Bibliography"/>
      </w:pPr>
      <w:r w:rsidRPr="000F6C2B">
        <w:t>10.</w:t>
      </w:r>
      <w:r w:rsidRPr="000F6C2B">
        <w:tab/>
        <w:t xml:space="preserve">Kirby KN, Petry NM, Bickel WK. Heroin addicts have higher discount rates for delayed rewards than non-drug-using controls. J Exp Psychol Gen. 1999;128(1):78. </w:t>
      </w:r>
    </w:p>
    <w:p w14:paraId="1757376D" w14:textId="77777777" w:rsidR="000F6C2B" w:rsidRPr="000F6C2B" w:rsidRDefault="000F6C2B" w:rsidP="000F6C2B">
      <w:pPr>
        <w:pStyle w:val="Bibliography"/>
      </w:pPr>
      <w:r w:rsidRPr="000F6C2B">
        <w:t>11.</w:t>
      </w:r>
      <w:r w:rsidRPr="000F6C2B">
        <w:tab/>
        <w:t xml:space="preserve">Horan WP, Johnson MW, Green MF. Altered experiential, but not hypothetical, delay discounting in schizophrenia. J Abnorm Psychol. 2017;126(3):301. </w:t>
      </w:r>
    </w:p>
    <w:p w14:paraId="07F60580" w14:textId="77777777" w:rsidR="000F6C2B" w:rsidRPr="000F6C2B" w:rsidRDefault="000F6C2B" w:rsidP="000F6C2B">
      <w:pPr>
        <w:pStyle w:val="Bibliography"/>
      </w:pPr>
      <w:r w:rsidRPr="000F6C2B">
        <w:t>12.</w:t>
      </w:r>
      <w:r w:rsidRPr="000F6C2B">
        <w:tab/>
        <w:t xml:space="preserve">Gray JC, Amlung MT, Acker JD, Sweet LH, MacKillop J. Item-based analysis of delayed reward discounting decision making. Behav Processes. 2014 Mar 1;103:256–60. </w:t>
      </w:r>
    </w:p>
    <w:p w14:paraId="043DBC1F" w14:textId="77777777" w:rsidR="000F6C2B" w:rsidRPr="000F6C2B" w:rsidRDefault="000F6C2B" w:rsidP="000F6C2B">
      <w:pPr>
        <w:pStyle w:val="Bibliography"/>
      </w:pPr>
      <w:r w:rsidRPr="000F6C2B">
        <w:t>13.</w:t>
      </w:r>
      <w:r w:rsidRPr="000F6C2B">
        <w:tab/>
        <w:t xml:space="preserve">Strauss GP, Ruiz I, Visser KH, Crespo LP, Dickinson EK. Diminished Hedonic response in neuroleptic-free youth at ultra high-risk for psychosis. Schizophr Res Cogn. 2018;12:1–7. </w:t>
      </w:r>
    </w:p>
    <w:p w14:paraId="4F66A2B7" w14:textId="77777777" w:rsidR="000F6C2B" w:rsidRPr="000F6C2B" w:rsidRDefault="000F6C2B" w:rsidP="000F6C2B">
      <w:pPr>
        <w:pStyle w:val="Bibliography"/>
        <w:rPr>
          <w:lang w:val="fr-FR"/>
        </w:rPr>
      </w:pPr>
      <w:r w:rsidRPr="000F6C2B">
        <w:lastRenderedPageBreak/>
        <w:t>14.</w:t>
      </w:r>
      <w:r w:rsidRPr="000F6C2B">
        <w:tab/>
        <w:t xml:space="preserve">Moore TM, Reise SP, Gur RE, Hakonarson H, Gur RC. Psychometric properties of the Penn Computerized Neurocognitive Battery. </w:t>
      </w:r>
      <w:r w:rsidRPr="000F6C2B">
        <w:rPr>
          <w:lang w:val="fr-FR"/>
        </w:rPr>
        <w:t xml:space="preserve">Neuropsychology. 2015;29(2):235–46. </w:t>
      </w:r>
    </w:p>
    <w:p w14:paraId="2F7D1BD3" w14:textId="77777777" w:rsidR="000F6C2B" w:rsidRPr="000F6C2B" w:rsidRDefault="000F6C2B" w:rsidP="000F6C2B">
      <w:pPr>
        <w:pStyle w:val="Bibliography"/>
      </w:pPr>
      <w:r w:rsidRPr="000F6C2B">
        <w:rPr>
          <w:lang w:val="fr-FR"/>
        </w:rPr>
        <w:t>15.</w:t>
      </w:r>
      <w:r w:rsidRPr="000F6C2B">
        <w:rPr>
          <w:lang w:val="fr-FR"/>
        </w:rPr>
        <w:tab/>
        <w:t xml:space="preserve">Mittal VA, Ellman LM, Strauss GP, Walker EF, Corlett PR, Schiffman J, et al. </w:t>
      </w:r>
      <w:r w:rsidRPr="000F6C2B">
        <w:t xml:space="preserve">Computerized Assessment of Psychosis Risk. J Psychiatry Brain Sci. 2021;6(3):e210011. </w:t>
      </w:r>
    </w:p>
    <w:p w14:paraId="6DA14338" w14:textId="77777777" w:rsidR="000F6C2B" w:rsidRPr="000F6C2B" w:rsidRDefault="000F6C2B" w:rsidP="000F6C2B">
      <w:pPr>
        <w:pStyle w:val="Bibliography"/>
      </w:pPr>
      <w:r w:rsidRPr="000F6C2B">
        <w:t>16.</w:t>
      </w:r>
      <w:r w:rsidRPr="000F6C2B">
        <w:tab/>
        <w:t xml:space="preserve">Silverstein SM, Keane BP. Perceptual Organization Impairment in Schizophrenia and Associated Brain Mechanisms: Review of Research from 2005 to 2010. Schizophr Bull. 2011 Jul 1;37(4):690–9. </w:t>
      </w:r>
    </w:p>
    <w:p w14:paraId="5E9CA5D1" w14:textId="77777777" w:rsidR="000F6C2B" w:rsidRPr="000F6C2B" w:rsidRDefault="000F6C2B" w:rsidP="000F6C2B">
      <w:pPr>
        <w:pStyle w:val="Bibliography"/>
      </w:pPr>
      <w:r w:rsidRPr="000F6C2B">
        <w:t>17.</w:t>
      </w:r>
      <w:r w:rsidRPr="000F6C2B">
        <w:tab/>
        <w:t xml:space="preserve">Mittal VA, Gupta T, Keane BP, Silverstein SM. Visual context processing dysfunctions in youth at high risk for psychosis: Resistance to the Ebbinghaus illusion and its symptom and social and role functioning correlates. J Abnorm Psychol. 2015;124(4):953–60. </w:t>
      </w:r>
    </w:p>
    <w:p w14:paraId="3A92211C" w14:textId="77777777" w:rsidR="000F6C2B" w:rsidRPr="000F6C2B" w:rsidRDefault="000F6C2B" w:rsidP="000F6C2B">
      <w:pPr>
        <w:pStyle w:val="Bibliography"/>
      </w:pPr>
      <w:r w:rsidRPr="000F6C2B">
        <w:t>18.</w:t>
      </w:r>
      <w:r w:rsidRPr="000F6C2B">
        <w:tab/>
        <w:t xml:space="preserve">Uhlhaas PJ, Silverstein SM. Perceptual Organization in Schizophrenia Spectrum Disorders: Empirical Research and Theoretical Implications. Psychol Bull. 2005;131(4):618–32. </w:t>
      </w:r>
    </w:p>
    <w:p w14:paraId="130D1561" w14:textId="77777777" w:rsidR="000F6C2B" w:rsidRPr="000F6C2B" w:rsidRDefault="000F6C2B" w:rsidP="000F6C2B">
      <w:pPr>
        <w:pStyle w:val="Bibliography"/>
      </w:pPr>
      <w:r w:rsidRPr="000F6C2B">
        <w:t>19.</w:t>
      </w:r>
      <w:r w:rsidRPr="000F6C2B">
        <w:tab/>
        <w:t xml:space="preserve">Uhlhaas PJ, Phillips WA, Silverstein SM. The course and clinical correlates of dysfunctions in visual perceptual organization in schizophrenia during the remission of psychotic symptoms. Schizophr Res. 2005 Jun 15;75(2):183–92. </w:t>
      </w:r>
    </w:p>
    <w:p w14:paraId="77F9D46B" w14:textId="77777777" w:rsidR="000F6C2B" w:rsidRPr="000F6C2B" w:rsidRDefault="000F6C2B" w:rsidP="000F6C2B">
      <w:pPr>
        <w:pStyle w:val="Bibliography"/>
      </w:pPr>
      <w:r w:rsidRPr="000F6C2B">
        <w:t>20.</w:t>
      </w:r>
      <w:r w:rsidRPr="000F6C2B">
        <w:tab/>
        <w:t xml:space="preserve">Rivolta D, Castellanos NP, Stawowsky C, Helbling S, Wibral M, Grützner C, et al. Source-Reconstruction of Event-Related Fields Reveals Hyperfunction and Hypofunction of Cortical Circuits in Antipsychotic-Naive, First-Episode Schizophrenia Patients during Mooney Face Processing. J Neurosci. 2014 Apr 23;34(17):5909–17. </w:t>
      </w:r>
    </w:p>
    <w:p w14:paraId="46571730" w14:textId="77777777" w:rsidR="000F6C2B" w:rsidRPr="000F6C2B" w:rsidRDefault="000F6C2B" w:rsidP="000F6C2B">
      <w:pPr>
        <w:pStyle w:val="Bibliography"/>
      </w:pPr>
      <w:r w:rsidRPr="000F6C2B">
        <w:t>21.</w:t>
      </w:r>
      <w:r w:rsidRPr="000F6C2B">
        <w:tab/>
        <w:t xml:space="preserve">Silverstein SM, Thompson JL, Gold JM, Schiffman J, Waltz JA, Williams TF, et al. Increased face detection responses on the mooney faces test in people at clinical high risk for psychosis. Npj Schizophr. 2021 May 17;7(1):1–7. </w:t>
      </w:r>
    </w:p>
    <w:p w14:paraId="36789858" w14:textId="1C296EC6" w:rsidR="00FE4C2D" w:rsidRDefault="0010415F">
      <w:pPr>
        <w:pBdr>
          <w:top w:val="nil"/>
          <w:left w:val="nil"/>
          <w:bottom w:val="nil"/>
          <w:right w:val="nil"/>
          <w:between w:val="nil"/>
        </w:pBdr>
        <w:ind w:left="384" w:hanging="384"/>
      </w:pPr>
      <w:r>
        <w:fldChar w:fldCharType="end"/>
      </w:r>
    </w:p>
    <w:p w14:paraId="4B793299" w14:textId="77777777" w:rsidR="00FE4C2D" w:rsidRDefault="00FE4C2D">
      <w:pPr>
        <w:pBdr>
          <w:top w:val="nil"/>
          <w:left w:val="nil"/>
          <w:bottom w:val="nil"/>
          <w:right w:val="nil"/>
          <w:between w:val="nil"/>
        </w:pBdr>
        <w:spacing w:line="276" w:lineRule="auto"/>
      </w:pPr>
    </w:p>
    <w:p w14:paraId="0396EE21" w14:textId="38230200" w:rsidR="00FE4C2D" w:rsidRDefault="00FE4C2D">
      <w:pPr>
        <w:pBdr>
          <w:top w:val="nil"/>
          <w:left w:val="nil"/>
          <w:bottom w:val="nil"/>
          <w:right w:val="nil"/>
          <w:between w:val="nil"/>
        </w:pBdr>
        <w:spacing w:line="276" w:lineRule="auto"/>
      </w:pPr>
    </w:p>
    <w:sectPr w:rsidR="00FE4C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2D"/>
    <w:rsid w:val="000D5563"/>
    <w:rsid w:val="000F6C2B"/>
    <w:rsid w:val="0010415F"/>
    <w:rsid w:val="00106ADA"/>
    <w:rsid w:val="00127754"/>
    <w:rsid w:val="001714C0"/>
    <w:rsid w:val="00172312"/>
    <w:rsid w:val="00181284"/>
    <w:rsid w:val="001E3F79"/>
    <w:rsid w:val="001E54C0"/>
    <w:rsid w:val="002040D4"/>
    <w:rsid w:val="00217F3E"/>
    <w:rsid w:val="002221AB"/>
    <w:rsid w:val="00325C9E"/>
    <w:rsid w:val="003F54C0"/>
    <w:rsid w:val="0049008B"/>
    <w:rsid w:val="00491249"/>
    <w:rsid w:val="00561196"/>
    <w:rsid w:val="005D22E8"/>
    <w:rsid w:val="00625062"/>
    <w:rsid w:val="00646E7C"/>
    <w:rsid w:val="006B440E"/>
    <w:rsid w:val="0079798D"/>
    <w:rsid w:val="007A44CA"/>
    <w:rsid w:val="007B776C"/>
    <w:rsid w:val="007E4EEE"/>
    <w:rsid w:val="007E7EBE"/>
    <w:rsid w:val="00813908"/>
    <w:rsid w:val="00823C63"/>
    <w:rsid w:val="008734CA"/>
    <w:rsid w:val="00876C9F"/>
    <w:rsid w:val="009B1F98"/>
    <w:rsid w:val="009E69B2"/>
    <w:rsid w:val="00A219E3"/>
    <w:rsid w:val="00AF79CC"/>
    <w:rsid w:val="00B44BCC"/>
    <w:rsid w:val="00B73763"/>
    <w:rsid w:val="00B94F35"/>
    <w:rsid w:val="00BA230F"/>
    <w:rsid w:val="00BB47EC"/>
    <w:rsid w:val="00BD53F9"/>
    <w:rsid w:val="00CC2AE5"/>
    <w:rsid w:val="00E3713F"/>
    <w:rsid w:val="00EA45BE"/>
    <w:rsid w:val="00F01010"/>
    <w:rsid w:val="00F11A90"/>
    <w:rsid w:val="00F165DE"/>
    <w:rsid w:val="00F54F28"/>
    <w:rsid w:val="00FE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461C"/>
  <w15:docId w15:val="{54AD39C4-22B9-4061-997C-334F7CED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7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EBE"/>
    <w:rPr>
      <w:rFonts w:ascii="Segoe UI" w:hAnsi="Segoe UI" w:cs="Segoe UI"/>
      <w:sz w:val="18"/>
      <w:szCs w:val="18"/>
    </w:rPr>
  </w:style>
  <w:style w:type="paragraph" w:styleId="Bibliography">
    <w:name w:val="Bibliography"/>
    <w:basedOn w:val="Normal"/>
    <w:next w:val="Normal"/>
    <w:uiPriority w:val="37"/>
    <w:unhideWhenUsed/>
    <w:rsid w:val="0010415F"/>
    <w:pPr>
      <w:tabs>
        <w:tab w:val="left" w:pos="384"/>
      </w:tabs>
      <w:spacing w:after="240"/>
      <w:ind w:left="384" w:hanging="384"/>
    </w:pPr>
  </w:style>
  <w:style w:type="table" w:styleId="TableGrid">
    <w:name w:val="Table Grid"/>
    <w:basedOn w:val="TableNormal"/>
    <w:uiPriority w:val="39"/>
    <w:rsid w:val="003F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5C9E"/>
    <w:rPr>
      <w:b/>
      <w:bCs/>
    </w:rPr>
  </w:style>
  <w:style w:type="character" w:customStyle="1" w:styleId="CommentSubjectChar">
    <w:name w:val="Comment Subject Char"/>
    <w:basedOn w:val="CommentTextChar"/>
    <w:link w:val="CommentSubject"/>
    <w:uiPriority w:val="99"/>
    <w:semiHidden/>
    <w:rsid w:val="00325C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03252">
      <w:bodyDiv w:val="1"/>
      <w:marLeft w:val="0"/>
      <w:marRight w:val="0"/>
      <w:marTop w:val="0"/>
      <w:marBottom w:val="0"/>
      <w:divBdr>
        <w:top w:val="none" w:sz="0" w:space="0" w:color="auto"/>
        <w:left w:val="none" w:sz="0" w:space="0" w:color="auto"/>
        <w:bottom w:val="none" w:sz="0" w:space="0" w:color="auto"/>
        <w:right w:val="none" w:sz="0" w:space="0" w:color="auto"/>
      </w:divBdr>
    </w:div>
    <w:div w:id="85007818">
      <w:bodyDiv w:val="1"/>
      <w:marLeft w:val="0"/>
      <w:marRight w:val="0"/>
      <w:marTop w:val="0"/>
      <w:marBottom w:val="0"/>
      <w:divBdr>
        <w:top w:val="none" w:sz="0" w:space="0" w:color="auto"/>
        <w:left w:val="none" w:sz="0" w:space="0" w:color="auto"/>
        <w:bottom w:val="none" w:sz="0" w:space="0" w:color="auto"/>
        <w:right w:val="none" w:sz="0" w:space="0" w:color="auto"/>
      </w:divBdr>
    </w:div>
    <w:div w:id="352076589">
      <w:bodyDiv w:val="1"/>
      <w:marLeft w:val="0"/>
      <w:marRight w:val="0"/>
      <w:marTop w:val="0"/>
      <w:marBottom w:val="0"/>
      <w:divBdr>
        <w:top w:val="none" w:sz="0" w:space="0" w:color="auto"/>
        <w:left w:val="none" w:sz="0" w:space="0" w:color="auto"/>
        <w:bottom w:val="none" w:sz="0" w:space="0" w:color="auto"/>
        <w:right w:val="none" w:sz="0" w:space="0" w:color="auto"/>
      </w:divBdr>
    </w:div>
    <w:div w:id="445006512">
      <w:bodyDiv w:val="1"/>
      <w:marLeft w:val="0"/>
      <w:marRight w:val="0"/>
      <w:marTop w:val="0"/>
      <w:marBottom w:val="0"/>
      <w:divBdr>
        <w:top w:val="none" w:sz="0" w:space="0" w:color="auto"/>
        <w:left w:val="none" w:sz="0" w:space="0" w:color="auto"/>
        <w:bottom w:val="none" w:sz="0" w:space="0" w:color="auto"/>
        <w:right w:val="none" w:sz="0" w:space="0" w:color="auto"/>
      </w:divBdr>
    </w:div>
    <w:div w:id="534275948">
      <w:bodyDiv w:val="1"/>
      <w:marLeft w:val="0"/>
      <w:marRight w:val="0"/>
      <w:marTop w:val="0"/>
      <w:marBottom w:val="0"/>
      <w:divBdr>
        <w:top w:val="none" w:sz="0" w:space="0" w:color="auto"/>
        <w:left w:val="none" w:sz="0" w:space="0" w:color="auto"/>
        <w:bottom w:val="none" w:sz="0" w:space="0" w:color="auto"/>
        <w:right w:val="none" w:sz="0" w:space="0" w:color="auto"/>
      </w:divBdr>
    </w:div>
    <w:div w:id="770779762">
      <w:bodyDiv w:val="1"/>
      <w:marLeft w:val="0"/>
      <w:marRight w:val="0"/>
      <w:marTop w:val="0"/>
      <w:marBottom w:val="0"/>
      <w:divBdr>
        <w:top w:val="none" w:sz="0" w:space="0" w:color="auto"/>
        <w:left w:val="none" w:sz="0" w:space="0" w:color="auto"/>
        <w:bottom w:val="none" w:sz="0" w:space="0" w:color="auto"/>
        <w:right w:val="none" w:sz="0" w:space="0" w:color="auto"/>
      </w:divBdr>
    </w:div>
    <w:div w:id="1145244291">
      <w:bodyDiv w:val="1"/>
      <w:marLeft w:val="0"/>
      <w:marRight w:val="0"/>
      <w:marTop w:val="0"/>
      <w:marBottom w:val="0"/>
      <w:divBdr>
        <w:top w:val="none" w:sz="0" w:space="0" w:color="auto"/>
        <w:left w:val="none" w:sz="0" w:space="0" w:color="auto"/>
        <w:bottom w:val="none" w:sz="0" w:space="0" w:color="auto"/>
        <w:right w:val="none" w:sz="0" w:space="0" w:color="auto"/>
      </w:divBdr>
    </w:div>
    <w:div w:id="1215197530">
      <w:bodyDiv w:val="1"/>
      <w:marLeft w:val="0"/>
      <w:marRight w:val="0"/>
      <w:marTop w:val="0"/>
      <w:marBottom w:val="0"/>
      <w:divBdr>
        <w:top w:val="none" w:sz="0" w:space="0" w:color="auto"/>
        <w:left w:val="none" w:sz="0" w:space="0" w:color="auto"/>
        <w:bottom w:val="none" w:sz="0" w:space="0" w:color="auto"/>
        <w:right w:val="none" w:sz="0" w:space="0" w:color="auto"/>
      </w:divBdr>
    </w:div>
    <w:div w:id="1275557109">
      <w:bodyDiv w:val="1"/>
      <w:marLeft w:val="0"/>
      <w:marRight w:val="0"/>
      <w:marTop w:val="0"/>
      <w:marBottom w:val="0"/>
      <w:divBdr>
        <w:top w:val="none" w:sz="0" w:space="0" w:color="auto"/>
        <w:left w:val="none" w:sz="0" w:space="0" w:color="auto"/>
        <w:bottom w:val="none" w:sz="0" w:space="0" w:color="auto"/>
        <w:right w:val="none" w:sz="0" w:space="0" w:color="auto"/>
      </w:divBdr>
    </w:div>
    <w:div w:id="1727946055">
      <w:bodyDiv w:val="1"/>
      <w:marLeft w:val="0"/>
      <w:marRight w:val="0"/>
      <w:marTop w:val="0"/>
      <w:marBottom w:val="0"/>
      <w:divBdr>
        <w:top w:val="none" w:sz="0" w:space="0" w:color="auto"/>
        <w:left w:val="none" w:sz="0" w:space="0" w:color="auto"/>
        <w:bottom w:val="none" w:sz="0" w:space="0" w:color="auto"/>
        <w:right w:val="none" w:sz="0" w:space="0" w:color="auto"/>
      </w:divBdr>
    </w:div>
    <w:div w:id="1732803504">
      <w:bodyDiv w:val="1"/>
      <w:marLeft w:val="0"/>
      <w:marRight w:val="0"/>
      <w:marTop w:val="0"/>
      <w:marBottom w:val="0"/>
      <w:divBdr>
        <w:top w:val="none" w:sz="0" w:space="0" w:color="auto"/>
        <w:left w:val="none" w:sz="0" w:space="0" w:color="auto"/>
        <w:bottom w:val="none" w:sz="0" w:space="0" w:color="auto"/>
        <w:right w:val="none" w:sz="0" w:space="0" w:color="auto"/>
      </w:divBdr>
    </w:div>
    <w:div w:id="1790587127">
      <w:bodyDiv w:val="1"/>
      <w:marLeft w:val="0"/>
      <w:marRight w:val="0"/>
      <w:marTop w:val="0"/>
      <w:marBottom w:val="0"/>
      <w:divBdr>
        <w:top w:val="none" w:sz="0" w:space="0" w:color="auto"/>
        <w:left w:val="none" w:sz="0" w:space="0" w:color="auto"/>
        <w:bottom w:val="none" w:sz="0" w:space="0" w:color="auto"/>
        <w:right w:val="none" w:sz="0" w:space="0" w:color="auto"/>
      </w:divBdr>
    </w:div>
    <w:div w:id="1818062473">
      <w:bodyDiv w:val="1"/>
      <w:marLeft w:val="0"/>
      <w:marRight w:val="0"/>
      <w:marTop w:val="0"/>
      <w:marBottom w:val="0"/>
      <w:divBdr>
        <w:top w:val="none" w:sz="0" w:space="0" w:color="auto"/>
        <w:left w:val="none" w:sz="0" w:space="0" w:color="auto"/>
        <w:bottom w:val="none" w:sz="0" w:space="0" w:color="auto"/>
        <w:right w:val="none" w:sz="0" w:space="0" w:color="auto"/>
      </w:divBdr>
    </w:div>
    <w:div w:id="1925869716">
      <w:bodyDiv w:val="1"/>
      <w:marLeft w:val="0"/>
      <w:marRight w:val="0"/>
      <w:marTop w:val="0"/>
      <w:marBottom w:val="0"/>
      <w:divBdr>
        <w:top w:val="none" w:sz="0" w:space="0" w:color="auto"/>
        <w:left w:val="none" w:sz="0" w:space="0" w:color="auto"/>
        <w:bottom w:val="none" w:sz="0" w:space="0" w:color="auto"/>
        <w:right w:val="none" w:sz="0" w:space="0" w:color="auto"/>
      </w:divBdr>
    </w:div>
    <w:div w:id="194074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A0815-43C4-463C-8C06-1B4E2098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9144</Words>
  <Characters>52123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Williams</dc:creator>
  <cp:lastModifiedBy>Williams, Trevor</cp:lastModifiedBy>
  <cp:revision>2</cp:revision>
  <dcterms:created xsi:type="dcterms:W3CDTF">2024-08-30T18:06:00Z</dcterms:created>
  <dcterms:modified xsi:type="dcterms:W3CDTF">2024-08-30T18:06:00Z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id="jHr1A1Vk"/&gt;&lt;style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