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A2667" w14:textId="300159D3" w:rsidR="000D32DC" w:rsidRPr="009F6A4F" w:rsidRDefault="000D32DC" w:rsidP="000D32DC">
      <w:pPr>
        <w:widowControl/>
        <w:wordWrap/>
        <w:autoSpaceDE/>
        <w:autoSpaceDN/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Cs w:val="20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Cs w:val="20"/>
        </w:rPr>
        <w:t>Supplementary information</w:t>
      </w:r>
    </w:p>
    <w:p w14:paraId="5AC0354D" w14:textId="77777777" w:rsidR="000D32DC" w:rsidRPr="009F6A4F" w:rsidRDefault="000D32DC" w:rsidP="000D32DC">
      <w:pPr>
        <w:widowControl/>
        <w:wordWrap/>
        <w:autoSpaceDE/>
        <w:autoSpaceDN/>
        <w:spacing w:line="480" w:lineRule="auto"/>
        <w:ind w:firstLine="800"/>
        <w:rPr>
          <w:rFonts w:ascii="Times New Roman" w:hAnsi="Times New Roman" w:cs="Times New Roman"/>
          <w:b/>
          <w:szCs w:val="20"/>
        </w:rPr>
      </w:pPr>
      <w:r w:rsidRPr="009F6A4F">
        <w:rPr>
          <w:rFonts w:ascii="Times New Roman" w:hAnsi="Times New Roman" w:cs="Times New Roman"/>
          <w:b/>
          <w:noProof/>
          <w:szCs w:val="20"/>
          <w14:ligatures w14:val="standardContextual"/>
        </w:rPr>
        <w:drawing>
          <wp:inline distT="0" distB="0" distL="0" distR="0" wp14:anchorId="705EEF21" wp14:editId="60643A5E">
            <wp:extent cx="5731510" cy="7726680"/>
            <wp:effectExtent l="0" t="0" r="0" b="0"/>
            <wp:docPr id="1897777086" name="그림 1" descr="콜라주, 예술, 모자이크, 다채로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777086" name="그림 1" descr="콜라주, 예술, 모자이크, 다채로움이(가) 표시된 사진&#10;&#10;자동 생성된 설명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2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9BCCB" w14:textId="54E7E24A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b/>
          <w:szCs w:val="20"/>
        </w:rPr>
        <w:t>Supplementary</w:t>
      </w:r>
      <w:r w:rsidRPr="009F6A4F">
        <w:rPr>
          <w:rFonts w:ascii="Times New Roman" w:hAnsi="Times New Roman" w:cs="Times New Roman"/>
          <w:b/>
          <w:szCs w:val="20"/>
        </w:rPr>
        <w:t xml:space="preserve"> Fig. 1</w:t>
      </w:r>
      <w:r w:rsidRPr="009F6A4F">
        <w:rPr>
          <w:rFonts w:ascii="Times New Roman" w:hAnsi="Times New Roman" w:cs="Times New Roman"/>
          <w:szCs w:val="20"/>
        </w:rPr>
        <w:t xml:space="preserve"> </w:t>
      </w:r>
      <w:r w:rsidRPr="009F6A4F">
        <w:rPr>
          <w:rFonts w:ascii="Times New Roman" w:hAnsi="Times New Roman" w:cs="Times New Roman"/>
          <w:b/>
          <w:bCs/>
          <w:szCs w:val="20"/>
        </w:rPr>
        <w:t xml:space="preserve">Expression and distribution of </w:t>
      </w:r>
      <w:r w:rsidRPr="009F6A4F">
        <w:rPr>
          <w:rFonts w:ascii="Times New Roman" w:hAnsi="Times New Roman" w:cs="Times New Roman"/>
          <w:b/>
          <w:bCs/>
          <w:i/>
          <w:iCs/>
          <w:szCs w:val="20"/>
        </w:rPr>
        <w:t>Ano1</w:t>
      </w:r>
      <w:r w:rsidRPr="009F6A4F">
        <w:rPr>
          <w:rFonts w:ascii="Times New Roman" w:hAnsi="Times New Roman" w:cs="Times New Roman"/>
          <w:b/>
          <w:bCs/>
          <w:szCs w:val="20"/>
        </w:rPr>
        <w:t xml:space="preserve"> in the whole embryonic brain. a</w:t>
      </w:r>
      <w:r w:rsidRPr="009F6A4F">
        <w:rPr>
          <w:rFonts w:ascii="Times New Roman" w:hAnsi="Times New Roman" w:cs="Times New Roman"/>
          <w:szCs w:val="20"/>
        </w:rPr>
        <w:t>–</w:t>
      </w:r>
      <w:r w:rsidRPr="009F6A4F">
        <w:rPr>
          <w:rFonts w:ascii="Times New Roman" w:hAnsi="Times New Roman" w:cs="Times New Roman"/>
          <w:b/>
          <w:bCs/>
          <w:szCs w:val="20"/>
        </w:rPr>
        <w:t xml:space="preserve">c, </w:t>
      </w:r>
      <w:r w:rsidRPr="009F6A4F">
        <w:rPr>
          <w:rFonts w:ascii="Times New Roman" w:hAnsi="Times New Roman" w:cs="Times New Roman"/>
          <w:szCs w:val="20"/>
        </w:rPr>
        <w:t xml:space="preserve">Whole brain </w:t>
      </w:r>
      <w:r w:rsidRPr="009F6A4F">
        <w:rPr>
          <w:rFonts w:ascii="Times New Roman" w:hAnsi="Times New Roman" w:cs="Times New Roman"/>
          <w:szCs w:val="20"/>
        </w:rPr>
        <w:lastRenderedPageBreak/>
        <w:t>RNAscope images of the E11.5 (</w:t>
      </w:r>
      <w:r w:rsidRPr="009F6A4F">
        <w:rPr>
          <w:rFonts w:ascii="Times New Roman" w:hAnsi="Times New Roman" w:cs="Times New Roman"/>
          <w:b/>
          <w:bCs/>
          <w:szCs w:val="20"/>
        </w:rPr>
        <w:t>a</w:t>
      </w:r>
      <w:r w:rsidRPr="009F6A4F">
        <w:rPr>
          <w:rFonts w:ascii="Times New Roman" w:hAnsi="Times New Roman" w:cs="Times New Roman"/>
          <w:szCs w:val="20"/>
        </w:rPr>
        <w:t>), E12.5 (</w:t>
      </w:r>
      <w:r w:rsidRPr="009F6A4F">
        <w:rPr>
          <w:rFonts w:ascii="Times New Roman" w:hAnsi="Times New Roman" w:cs="Times New Roman"/>
          <w:b/>
          <w:bCs/>
          <w:szCs w:val="20"/>
        </w:rPr>
        <w:t>b</w:t>
      </w:r>
      <w:r w:rsidRPr="009F6A4F">
        <w:rPr>
          <w:rFonts w:ascii="Times New Roman" w:hAnsi="Times New Roman" w:cs="Times New Roman"/>
          <w:szCs w:val="20"/>
        </w:rPr>
        <w:t>), and E14.5 (</w:t>
      </w:r>
      <w:r w:rsidRPr="009F6A4F">
        <w:rPr>
          <w:rFonts w:ascii="Times New Roman" w:hAnsi="Times New Roman" w:cs="Times New Roman"/>
          <w:b/>
          <w:bCs/>
          <w:szCs w:val="20"/>
        </w:rPr>
        <w:t>c</w:t>
      </w:r>
      <w:r w:rsidRPr="009F6A4F">
        <w:rPr>
          <w:rFonts w:ascii="Times New Roman" w:hAnsi="Times New Roman" w:cs="Times New Roman"/>
          <w:szCs w:val="20"/>
        </w:rPr>
        <w:t xml:space="preserve">) with </w:t>
      </w:r>
      <w:r w:rsidRPr="009F6A4F">
        <w:rPr>
          <w:rFonts w:ascii="Times New Roman" w:hAnsi="Times New Roman" w:cs="Times New Roman"/>
          <w:i/>
          <w:iCs/>
          <w:szCs w:val="20"/>
        </w:rPr>
        <w:t>Ano1</w:t>
      </w:r>
      <w:r w:rsidRPr="009F6A4F">
        <w:rPr>
          <w:rFonts w:ascii="Times New Roman" w:hAnsi="Times New Roman" w:cs="Times New Roman"/>
          <w:szCs w:val="20"/>
        </w:rPr>
        <w:t xml:space="preserve">, </w:t>
      </w:r>
      <w:r w:rsidRPr="009F6A4F">
        <w:rPr>
          <w:rFonts w:ascii="Times New Roman" w:hAnsi="Times New Roman" w:cs="Times New Roman"/>
          <w:i/>
          <w:iCs/>
          <w:szCs w:val="20"/>
        </w:rPr>
        <w:t>Fabp7</w:t>
      </w:r>
      <w:r w:rsidRPr="009F6A4F">
        <w:rPr>
          <w:rFonts w:ascii="Times New Roman" w:hAnsi="Times New Roman" w:cs="Times New Roman"/>
          <w:szCs w:val="20"/>
        </w:rPr>
        <w:t xml:space="preserve">, and </w:t>
      </w:r>
      <w:r w:rsidRPr="009F6A4F">
        <w:rPr>
          <w:rFonts w:ascii="Times New Roman" w:hAnsi="Times New Roman" w:cs="Times New Roman"/>
          <w:i/>
          <w:iCs/>
          <w:szCs w:val="20"/>
        </w:rPr>
        <w:t>Sox2</w:t>
      </w:r>
      <w:r w:rsidRPr="009F6A4F">
        <w:rPr>
          <w:rFonts w:ascii="Times New Roman" w:hAnsi="Times New Roman" w:cs="Times New Roman"/>
          <w:szCs w:val="20"/>
        </w:rPr>
        <w:t xml:space="preserve"> probes. Scale bar, 200 </w:t>
      </w:r>
      <w:r w:rsidRPr="009F6A4F">
        <w:rPr>
          <w:rFonts w:ascii="Times New Roman" w:hAnsi="Times New Roman" w:cs="Times New Roman"/>
          <w:szCs w:val="20"/>
        </w:rPr>
        <w:sym w:font="Symbol" w:char="F06D"/>
      </w:r>
      <w:r w:rsidRPr="009F6A4F">
        <w:rPr>
          <w:rFonts w:ascii="Times New Roman" w:hAnsi="Times New Roman" w:cs="Times New Roman"/>
          <w:szCs w:val="20"/>
        </w:rPr>
        <w:t xml:space="preserve">m. </w:t>
      </w:r>
      <w:r w:rsidRPr="009F6A4F">
        <w:rPr>
          <w:rFonts w:ascii="Times New Roman" w:hAnsi="Times New Roman" w:cs="Times New Roman"/>
          <w:b/>
          <w:bCs/>
          <w:szCs w:val="20"/>
        </w:rPr>
        <w:t>d</w:t>
      </w:r>
      <w:r w:rsidRPr="009F6A4F">
        <w:rPr>
          <w:rFonts w:ascii="Times New Roman" w:hAnsi="Times New Roman" w:cs="Times New Roman"/>
          <w:szCs w:val="20"/>
        </w:rPr>
        <w:t>–</w:t>
      </w:r>
      <w:r w:rsidRPr="009F6A4F">
        <w:rPr>
          <w:rFonts w:ascii="Times New Roman" w:hAnsi="Times New Roman" w:cs="Times New Roman"/>
          <w:b/>
          <w:bCs/>
          <w:szCs w:val="20"/>
        </w:rPr>
        <w:t>f</w:t>
      </w:r>
      <w:r w:rsidRPr="009F6A4F">
        <w:rPr>
          <w:rFonts w:ascii="Times New Roman" w:hAnsi="Times New Roman" w:cs="Times New Roman"/>
          <w:szCs w:val="20"/>
        </w:rPr>
        <w:t>, Qupath program analyzed the cell population of each probe-positive population based on the DAPI stain at E11.5 (</w:t>
      </w:r>
      <w:r w:rsidRPr="009F6A4F">
        <w:rPr>
          <w:rFonts w:ascii="Times New Roman" w:hAnsi="Times New Roman" w:cs="Times New Roman"/>
          <w:b/>
          <w:bCs/>
          <w:szCs w:val="20"/>
        </w:rPr>
        <w:t>d</w:t>
      </w:r>
      <w:r w:rsidRPr="009F6A4F">
        <w:rPr>
          <w:rFonts w:ascii="Times New Roman" w:hAnsi="Times New Roman" w:cs="Times New Roman"/>
          <w:szCs w:val="20"/>
        </w:rPr>
        <w:t>), E12.5 (</w:t>
      </w:r>
      <w:r w:rsidRPr="009F6A4F">
        <w:rPr>
          <w:rFonts w:ascii="Times New Roman" w:hAnsi="Times New Roman" w:cs="Times New Roman"/>
          <w:b/>
          <w:bCs/>
          <w:szCs w:val="20"/>
        </w:rPr>
        <w:t>e</w:t>
      </w:r>
      <w:r w:rsidRPr="009F6A4F">
        <w:rPr>
          <w:rFonts w:ascii="Times New Roman" w:hAnsi="Times New Roman" w:cs="Times New Roman"/>
          <w:szCs w:val="20"/>
        </w:rPr>
        <w:t>), and E14.5 (</w:t>
      </w:r>
      <w:r w:rsidRPr="009F6A4F">
        <w:rPr>
          <w:rFonts w:ascii="Times New Roman" w:hAnsi="Times New Roman" w:cs="Times New Roman"/>
          <w:b/>
          <w:bCs/>
          <w:szCs w:val="20"/>
        </w:rPr>
        <w:t>f</w:t>
      </w:r>
      <w:r w:rsidRPr="009F6A4F">
        <w:rPr>
          <w:rFonts w:ascii="Times New Roman" w:hAnsi="Times New Roman" w:cs="Times New Roman"/>
          <w:szCs w:val="20"/>
        </w:rPr>
        <w:t xml:space="preserve">). The red circle indicates a DAPI-dependent cell boundary. Scale bar, 20 </w:t>
      </w:r>
      <w:r w:rsidRPr="009F6A4F">
        <w:rPr>
          <w:rFonts w:ascii="Times New Roman" w:hAnsi="Times New Roman" w:cs="Times New Roman"/>
          <w:szCs w:val="20"/>
          <w:lang w:val="el-GR"/>
        </w:rPr>
        <w:t>μ</w:t>
      </w:r>
      <w:r w:rsidRPr="009F6A4F">
        <w:rPr>
          <w:rFonts w:ascii="Times New Roman" w:hAnsi="Times New Roman" w:cs="Times New Roman"/>
          <w:szCs w:val="20"/>
        </w:rPr>
        <w:t xml:space="preserve">m. </w:t>
      </w:r>
    </w:p>
    <w:p w14:paraId="485C67DA" w14:textId="77777777" w:rsidR="000D32DC" w:rsidRPr="009F6A4F" w:rsidRDefault="000D32DC" w:rsidP="000D32DC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noProof/>
          <w:szCs w:val="20"/>
        </w:rPr>
      </w:pPr>
      <w:r w:rsidRPr="009F6A4F">
        <w:rPr>
          <w:rFonts w:ascii="Times New Roman" w:hAnsi="Times New Roman" w:cs="Times New Roman"/>
          <w:b/>
          <w:noProof/>
          <w:szCs w:val="20"/>
        </w:rPr>
        <w:br w:type="page"/>
      </w:r>
    </w:p>
    <w:p w14:paraId="1C08E133" w14:textId="18FD0038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b/>
          <w:szCs w:val="20"/>
        </w:rPr>
      </w:pPr>
      <w:r w:rsidRPr="009F6A4F">
        <w:rPr>
          <w:rFonts w:ascii="Times New Roman" w:hAnsi="Times New Roman" w:cs="Times New Roman"/>
          <w:b/>
          <w:szCs w:val="20"/>
        </w:rPr>
        <w:lastRenderedPageBreak/>
        <w:t xml:space="preserve"> </w:t>
      </w:r>
      <w:r w:rsidR="00210AF1">
        <w:rPr>
          <w:rFonts w:ascii="Times New Roman" w:hAnsi="Times New Roman" w:cs="Times New Roman"/>
          <w:noProof/>
          <w:szCs w:val="20"/>
        </w:rPr>
        <w:drawing>
          <wp:inline distT="0" distB="0" distL="0" distR="0" wp14:anchorId="3CFE2CCD" wp14:editId="4F0B8D23">
            <wp:extent cx="5234183" cy="7082287"/>
            <wp:effectExtent l="0" t="0" r="5080" b="4445"/>
            <wp:docPr id="1560730843" name="그림 1" descr="텍스트, 스크린샷, 모자이크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730843" name="그림 1" descr="텍스트, 스크린샷, 모자이크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633" cy="7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0C296" w14:textId="69E2AC98" w:rsidR="000D32DC" w:rsidRPr="009F6A4F" w:rsidRDefault="00DB17F0" w:rsidP="00210AF1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b/>
          <w:szCs w:val="20"/>
        </w:rPr>
        <w:t>Supplementary</w:t>
      </w:r>
      <w:r w:rsidR="000D32DC" w:rsidRPr="009F6A4F">
        <w:rPr>
          <w:rFonts w:ascii="Times New Roman" w:hAnsi="Times New Roman" w:cs="Times New Roman"/>
          <w:b/>
          <w:szCs w:val="20"/>
        </w:rPr>
        <w:t xml:space="preserve"> Fig. 2</w:t>
      </w:r>
      <w:r w:rsidR="000D32DC" w:rsidRPr="009F6A4F">
        <w:rPr>
          <w:rFonts w:ascii="Times New Roman" w:hAnsi="Times New Roman" w:cs="Times New Roman"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Whole brain scans of RNAscope for the progeny of PV</w:t>
      </w:r>
      <w:r w:rsidR="000D32DC" w:rsidRPr="009F6A4F">
        <w:rPr>
          <w:rFonts w:ascii="Times New Roman" w:hAnsi="Times New Roman" w:cs="Times New Roman"/>
          <w:b/>
          <w:bCs/>
          <w:szCs w:val="20"/>
          <w:vertAlign w:val="superscript"/>
        </w:rPr>
        <w:t>+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 and SST</w:t>
      </w:r>
      <w:r w:rsidR="000D32DC" w:rsidRPr="009F6A4F">
        <w:rPr>
          <w:rFonts w:ascii="Times New Roman" w:hAnsi="Times New Roman" w:cs="Times New Roman"/>
          <w:b/>
          <w:bCs/>
          <w:szCs w:val="20"/>
          <w:vertAlign w:val="superscript"/>
        </w:rPr>
        <w:t>+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 neurons.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a,b</w:t>
      </w:r>
      <w:proofErr w:type="gramEnd"/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, </w:t>
      </w:r>
      <w:r w:rsidR="000D32DC" w:rsidRPr="009F6A4F">
        <w:rPr>
          <w:rFonts w:ascii="Times New Roman" w:hAnsi="Times New Roman" w:cs="Times New Roman"/>
          <w:szCs w:val="20"/>
        </w:rPr>
        <w:t xml:space="preserve">Representative RNAscope images showing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szCs w:val="20"/>
        </w:rPr>
        <w:t xml:space="preserve">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a</w:t>
      </w:r>
      <w:r w:rsidR="000D32DC" w:rsidRPr="009F6A4F">
        <w:rPr>
          <w:rFonts w:ascii="Times New Roman" w:hAnsi="Times New Roman" w:cs="Times New Roman"/>
          <w:szCs w:val="20"/>
        </w:rPr>
        <w:t xml:space="preserve">)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szCs w:val="20"/>
        </w:rPr>
        <w:t xml:space="preserve">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 xml:space="preserve">) brains at E14.5 by staining with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Sst</w:t>
      </w:r>
      <w:r w:rsidR="000D32DC" w:rsidRPr="009F6A4F">
        <w:rPr>
          <w:rFonts w:ascii="Times New Roman" w:hAnsi="Times New Roman" w:cs="Times New Roman"/>
          <w:szCs w:val="20"/>
        </w:rPr>
        <w:t xml:space="preserve">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Ccnd2</w:t>
      </w:r>
      <w:r w:rsidR="000D32DC" w:rsidRPr="009F6A4F">
        <w:rPr>
          <w:rFonts w:ascii="Times New Roman" w:hAnsi="Times New Roman" w:cs="Times New Roman"/>
          <w:szCs w:val="20"/>
        </w:rPr>
        <w:t xml:space="preserve"> probes.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 xml:space="preserve">The white dash boxes on LGE and MGE were expanded on the right.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c,d</w:t>
      </w:r>
      <w:proofErr w:type="gramEnd"/>
      <w:r w:rsidR="000D32DC" w:rsidRPr="009F6A4F">
        <w:rPr>
          <w:rFonts w:ascii="Times New Roman" w:hAnsi="Times New Roman" w:cs="Times New Roman"/>
          <w:b/>
          <w:bCs/>
          <w:szCs w:val="20"/>
        </w:rPr>
        <w:t>,</w:t>
      </w:r>
      <w:r w:rsidR="000D32DC" w:rsidRPr="009F6A4F">
        <w:rPr>
          <w:rFonts w:ascii="Times New Roman" w:hAnsi="Times New Roman" w:cs="Times New Roman"/>
          <w:szCs w:val="20"/>
        </w:rPr>
        <w:t xml:space="preserve"> RNAscope images showing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szCs w:val="20"/>
        </w:rPr>
        <w:t xml:space="preserve">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 xml:space="preserve">)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szCs w:val="20"/>
        </w:rPr>
        <w:t xml:space="preserve">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r w:rsidR="000D32DC" w:rsidRPr="009F6A4F">
        <w:rPr>
          <w:rFonts w:ascii="Times New Roman" w:hAnsi="Times New Roman" w:cs="Times New Roman"/>
          <w:szCs w:val="20"/>
        </w:rPr>
        <w:t xml:space="preserve">) brains at E14.5 by staining with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Sst</w:t>
      </w:r>
      <w:r w:rsidR="000D32DC" w:rsidRPr="009F6A4F">
        <w:rPr>
          <w:rFonts w:ascii="Times New Roman" w:hAnsi="Times New Roman" w:cs="Times New Roman"/>
          <w:szCs w:val="20"/>
        </w:rPr>
        <w:t xml:space="preserve">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Gad1</w:t>
      </w:r>
      <w:r w:rsidR="000D32DC" w:rsidRPr="009F6A4F">
        <w:rPr>
          <w:rFonts w:ascii="Times New Roman" w:hAnsi="Times New Roman" w:cs="Times New Roman"/>
          <w:szCs w:val="20"/>
        </w:rPr>
        <w:t xml:space="preserve"> probes. VZ; ventricular zone, Sub-VZ; subventricular zone, MZ; mantle zone</w:t>
      </w:r>
      <w:r w:rsidR="000D32DC" w:rsidRPr="009F6A4F">
        <w:rPr>
          <w:rFonts w:ascii="Times New Roman" w:hAnsi="Times New Roman" w:cs="Times New Roman"/>
          <w:noProof/>
          <w:szCs w:val="20"/>
        </w:rPr>
        <w:br w:type="page"/>
      </w:r>
    </w:p>
    <w:p w14:paraId="1445EBA2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 w:rsidRPr="009F6A4F">
        <w:rPr>
          <w:rFonts w:ascii="Times New Roman" w:hAnsi="Times New Roman" w:cs="Times New Roman"/>
          <w:noProof/>
          <w:szCs w:val="20"/>
          <w14:ligatures w14:val="standardContextual"/>
        </w:rPr>
        <w:lastRenderedPageBreak/>
        <w:drawing>
          <wp:inline distT="0" distB="0" distL="0" distR="0" wp14:anchorId="67BFFE73" wp14:editId="4552EA32">
            <wp:extent cx="5731510" cy="6268085"/>
            <wp:effectExtent l="0" t="0" r="0" b="5715"/>
            <wp:docPr id="1324881945" name="그림 3" descr="텍스트, 스크린샷, 도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881945" name="그림 3" descr="텍스트, 스크린샷, 도표이(가) 표시된 사진&#10;&#10;자동 생성된 설명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6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D5222" w14:textId="3D1FE189" w:rsidR="000D32DC" w:rsidRPr="009F6A4F" w:rsidRDefault="00DB17F0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b/>
          <w:szCs w:val="20"/>
        </w:rPr>
        <w:t>Supplementary</w:t>
      </w:r>
      <w:r w:rsidR="000D32DC" w:rsidRPr="009F6A4F">
        <w:rPr>
          <w:rFonts w:ascii="Times New Roman" w:hAnsi="Times New Roman" w:cs="Times New Roman"/>
          <w:b/>
          <w:szCs w:val="20"/>
        </w:rPr>
        <w:t xml:space="preserve"> Fig. 3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Expression patterns of 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</w:rPr>
        <w:t xml:space="preserve">Gad1, Sst,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and 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</w:rPr>
        <w:t>Pv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 mRNA in motor and somatosensory cortices of 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and 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b/>
          <w:bCs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b/>
          <w:bCs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  <w:vertAlign w:val="superscript"/>
        </w:rPr>
        <w:t xml:space="preserve">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brains at postnatal day 1 (P1).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a</w:t>
      </w:r>
      <w:r w:rsidR="000D32DC" w:rsidRPr="009F6A4F">
        <w:rPr>
          <w:rFonts w:ascii="Times New Roman" w:hAnsi="Times New Roman" w:cs="Times New Roman"/>
          <w:szCs w:val="20"/>
        </w:rPr>
        <w:t>,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 xml:space="preserve"> Simultaneous detection of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Gad1</w:t>
      </w:r>
      <w:r w:rsidR="000D32DC" w:rsidRPr="009F6A4F">
        <w:rPr>
          <w:rFonts w:ascii="Times New Roman" w:hAnsi="Times New Roman" w:cs="Times New Roman"/>
          <w:szCs w:val="20"/>
        </w:rPr>
        <w:t xml:space="preserve"> (red),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Sst </w:t>
      </w:r>
      <w:r w:rsidR="000D32DC" w:rsidRPr="009F6A4F">
        <w:rPr>
          <w:rFonts w:ascii="Times New Roman" w:hAnsi="Times New Roman" w:cs="Times New Roman"/>
          <w:szCs w:val="20"/>
        </w:rPr>
        <w:t xml:space="preserve">(yellow),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Pv</w:t>
      </w:r>
      <w:r w:rsidR="000D32DC" w:rsidRPr="009F6A4F">
        <w:rPr>
          <w:rFonts w:ascii="Times New Roman" w:hAnsi="Times New Roman" w:cs="Times New Roman"/>
          <w:szCs w:val="20"/>
        </w:rPr>
        <w:t xml:space="preserve"> (green) mRNAs in motor and somatosensory cortices of P1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 xml:space="preserve">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 xml:space="preserve">brains.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>,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>, Magnified images of motor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>) and somatosensory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r w:rsidR="000D32DC" w:rsidRPr="009F6A4F">
        <w:rPr>
          <w:rFonts w:ascii="Times New Roman" w:hAnsi="Times New Roman" w:cs="Times New Roman"/>
          <w:szCs w:val="20"/>
        </w:rPr>
        <w:t>) cortices from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r w:rsidR="000D32DC" w:rsidRPr="009F6A4F">
        <w:rPr>
          <w:rFonts w:ascii="Times New Roman" w:hAnsi="Times New Roman" w:cs="Times New Roman"/>
          <w:szCs w:val="20"/>
        </w:rPr>
        <w:t xml:space="preserve">).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>,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e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 xml:space="preserve">, Quantification of total cell populations stained with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Gad1,</w:t>
      </w:r>
      <w:r w:rsidR="000D32DC" w:rsidRPr="009F6A4F">
        <w:rPr>
          <w:rFonts w:ascii="Times New Roman" w:hAnsi="Times New Roman" w:cs="Times New Roman"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Sst,</w:t>
      </w:r>
      <w:r w:rsidR="000D32DC" w:rsidRPr="009F6A4F">
        <w:rPr>
          <w:rFonts w:ascii="Times New Roman" w:hAnsi="Times New Roman" w:cs="Times New Roman"/>
          <w:szCs w:val="20"/>
        </w:rPr>
        <w:t xml:space="preserve">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Pv</w:t>
      </w:r>
      <w:r w:rsidR="000D32DC" w:rsidRPr="009F6A4F">
        <w:rPr>
          <w:rFonts w:ascii="Times New Roman" w:hAnsi="Times New Roman" w:cs="Times New Roman"/>
          <w:szCs w:val="20"/>
        </w:rPr>
        <w:t xml:space="preserve"> probes in the motor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>) and somatosensory cortex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e</w:t>
      </w:r>
      <w:r w:rsidR="000D32DC" w:rsidRPr="009F6A4F">
        <w:rPr>
          <w:rFonts w:ascii="Times New Roman" w:hAnsi="Times New Roman" w:cs="Times New Roman"/>
          <w:szCs w:val="20"/>
        </w:rPr>
        <w:t xml:space="preserve">). </w:t>
      </w:r>
    </w:p>
    <w:p w14:paraId="51F4C99A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</w:p>
    <w:p w14:paraId="36E6FE53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b/>
          <w:bCs/>
          <w:szCs w:val="20"/>
        </w:rPr>
        <w:sectPr w:rsidR="000D32DC" w:rsidRPr="009F6A4F" w:rsidSect="000D32DC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6B786C6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b/>
          <w:bCs/>
          <w:szCs w:val="20"/>
        </w:rPr>
      </w:pPr>
      <w:r w:rsidRPr="009F6A4F">
        <w:rPr>
          <w:rFonts w:ascii="Times New Roman" w:hAnsi="Times New Roman" w:cs="Times New Roman"/>
          <w:b/>
          <w:bCs/>
          <w:noProof/>
          <w:szCs w:val="20"/>
          <w14:ligatures w14:val="standardContextual"/>
        </w:rPr>
        <w:lastRenderedPageBreak/>
        <w:drawing>
          <wp:inline distT="0" distB="0" distL="0" distR="0" wp14:anchorId="266B406C" wp14:editId="18EF5A28">
            <wp:extent cx="5731510" cy="7941310"/>
            <wp:effectExtent l="0" t="0" r="0" b="0"/>
            <wp:docPr id="1532004705" name="그림 4" descr="텍스트, 도표, 다채로움, 그래픽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004705" name="그림 4" descr="텍스트, 도표, 다채로움, 그래픽이(가) 표시된 사진&#10;&#10;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A44DA" w14:textId="01E51232" w:rsidR="000D32DC" w:rsidRPr="009F6A4F" w:rsidRDefault="00DB17F0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b/>
          <w:szCs w:val="20"/>
        </w:rPr>
        <w:t>Supplementary</w:t>
      </w:r>
      <w:r w:rsidR="000D32DC" w:rsidRPr="009F6A4F">
        <w:rPr>
          <w:rFonts w:ascii="Times New Roman" w:hAnsi="Times New Roman" w:cs="Times New Roman"/>
          <w:b/>
          <w:szCs w:val="20"/>
        </w:rPr>
        <w:t xml:space="preserve"> Fig. 4 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b/>
          <w:bCs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b/>
          <w:bCs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b/>
          <w:bCs/>
          <w:szCs w:val="20"/>
          <w:vertAlign w:val="superscript"/>
        </w:rPr>
        <w:t xml:space="preserve">−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mice show a decrease in the proportion of GAD67-expressing interneurons in the embryonic cortex.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a,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 xml:space="preserve"> Tiled images of Tuj-1-stained hemisphere using E14.5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szCs w:val="20"/>
        </w:rPr>
        <w:t xml:space="preserve"> (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n </w:t>
      </w:r>
      <w:r w:rsidR="000D32DC" w:rsidRPr="009F6A4F">
        <w:rPr>
          <w:rFonts w:ascii="Times New Roman" w:hAnsi="Times New Roman" w:cs="Times New Roman"/>
          <w:szCs w:val="20"/>
        </w:rPr>
        <w:t xml:space="preserve">= 6, 2 mice)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lastRenderedPageBreak/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>embryonic brains (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n</w:t>
      </w:r>
      <w:r w:rsidR="000D32DC" w:rsidRPr="009F6A4F">
        <w:rPr>
          <w:rFonts w:ascii="Times New Roman" w:hAnsi="Times New Roman" w:cs="Times New Roman"/>
          <w:szCs w:val="20"/>
        </w:rPr>
        <w:t xml:space="preserve"> = 9, 3 mice) (LGE VZ/SVZ: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 = 0.0008</w:t>
      </w:r>
      <w:r w:rsidR="000D32DC" w:rsidRPr="009F6A4F">
        <w:rPr>
          <w:rFonts w:ascii="Times New Roman" w:hAnsi="Times New Roman" w:cs="Times New Roman"/>
          <w:szCs w:val="20"/>
        </w:rPr>
        <w:t xml:space="preserve">, MZ: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 = 0.0038</w:t>
      </w:r>
      <w:r w:rsidR="000D32DC" w:rsidRPr="009F6A4F">
        <w:rPr>
          <w:rFonts w:ascii="Times New Roman" w:hAnsi="Times New Roman" w:cs="Times New Roman"/>
          <w:szCs w:val="20"/>
        </w:rPr>
        <w:t xml:space="preserve">, MGE VZ/SVZ: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 = 0.0039</w:t>
      </w:r>
      <w:r w:rsidR="000D32DC" w:rsidRPr="009F6A4F">
        <w:rPr>
          <w:rFonts w:ascii="Times New Roman" w:hAnsi="Times New Roman" w:cs="Times New Roman"/>
          <w:szCs w:val="20"/>
        </w:rPr>
        <w:t xml:space="preserve">, MZ: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 = 0.0021</w:t>
      </w:r>
      <w:r w:rsidR="000D32DC" w:rsidRPr="009F6A4F">
        <w:rPr>
          <w:rFonts w:ascii="Times New Roman" w:hAnsi="Times New Roman" w:cs="Times New Roman"/>
          <w:szCs w:val="20"/>
        </w:rPr>
        <w:t xml:space="preserve">).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>, Fluorescence mean intensity (%) shown in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a</w:t>
      </w:r>
      <w:r w:rsidR="000D32DC" w:rsidRPr="009F6A4F">
        <w:rPr>
          <w:rFonts w:ascii="Times New Roman" w:hAnsi="Times New Roman" w:cs="Times New Roman"/>
          <w:szCs w:val="20"/>
        </w:rPr>
        <w:t xml:space="preserve">), analyzed by Zen software. The average intensity of the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 xml:space="preserve">brain was normalized to 100%.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 xml:space="preserve">, Immunofluorescence images (Left) of the cortex stained with DCX as an immature neuron marker on E14.5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>(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n = </w:t>
      </w:r>
      <w:r w:rsidR="000D32DC" w:rsidRPr="009F6A4F">
        <w:rPr>
          <w:rFonts w:ascii="Times New Roman" w:hAnsi="Times New Roman" w:cs="Times New Roman"/>
          <w:szCs w:val="20"/>
        </w:rPr>
        <w:t>5, 2 mice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) </w:t>
      </w:r>
      <w:r w:rsidR="000D32DC" w:rsidRPr="009F6A4F">
        <w:rPr>
          <w:rFonts w:ascii="Times New Roman" w:hAnsi="Times New Roman" w:cs="Times New Roman"/>
          <w:szCs w:val="20"/>
        </w:rPr>
        <w:t xml:space="preserve">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>embryonic brain (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n = </w:t>
      </w:r>
      <w:r w:rsidR="000D32DC" w:rsidRPr="009F6A4F">
        <w:rPr>
          <w:rFonts w:ascii="Times New Roman" w:hAnsi="Times New Roman" w:cs="Times New Roman"/>
          <w:szCs w:val="20"/>
        </w:rPr>
        <w:t>6, 2 mice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). </w:t>
      </w:r>
      <w:r w:rsidR="000D32DC" w:rsidRPr="009F6A4F">
        <w:rPr>
          <w:rFonts w:ascii="Times New Roman" w:hAnsi="Times New Roman" w:cs="Times New Roman"/>
          <w:szCs w:val="20"/>
        </w:rPr>
        <w:t xml:space="preserve">Scale bar, 50 </w:t>
      </w:r>
      <w:r w:rsidR="000D32DC" w:rsidRPr="009F6A4F">
        <w:rPr>
          <w:rFonts w:ascii="Times New Roman" w:hAnsi="Times New Roman" w:cs="Times New Roman"/>
          <w:szCs w:val="20"/>
          <w:lang w:val="el-GR"/>
        </w:rPr>
        <w:t>μ</w:t>
      </w:r>
      <w:r w:rsidR="000D32DC" w:rsidRPr="009F6A4F">
        <w:rPr>
          <w:rFonts w:ascii="Times New Roman" w:hAnsi="Times New Roman" w:cs="Times New Roman"/>
          <w:szCs w:val="20"/>
        </w:rPr>
        <w:t xml:space="preserve">m.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r w:rsidR="000D32DC" w:rsidRPr="009F6A4F">
        <w:rPr>
          <w:rFonts w:ascii="Times New Roman" w:hAnsi="Times New Roman" w:cs="Times New Roman"/>
          <w:szCs w:val="20"/>
        </w:rPr>
        <w:t xml:space="preserve">, Quantification of signal intensities shown in panel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 xml:space="preserve"> (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 = 0.0075</w:t>
      </w:r>
      <w:r w:rsidR="000D32DC" w:rsidRPr="009F6A4F">
        <w:rPr>
          <w:rFonts w:ascii="Times New Roman" w:hAnsi="Times New Roman" w:cs="Times New Roman"/>
          <w:szCs w:val="20"/>
        </w:rPr>
        <w:t xml:space="preserve">).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e</w:t>
      </w:r>
      <w:r w:rsidR="000D32DC" w:rsidRPr="009F6A4F">
        <w:rPr>
          <w:rFonts w:ascii="Times New Roman" w:hAnsi="Times New Roman" w:cs="Times New Roman"/>
          <w:szCs w:val="20"/>
        </w:rPr>
        <w:t xml:space="preserve">, The cortical thickness (μm) of the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szCs w:val="20"/>
        </w:rPr>
        <w:t xml:space="preserve">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 xml:space="preserve">embryonic brain (E14.5,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 = 0.0428</w:t>
      </w:r>
      <w:r w:rsidR="000D32DC" w:rsidRPr="009F6A4F">
        <w:rPr>
          <w:rFonts w:ascii="Times New Roman" w:hAnsi="Times New Roman" w:cs="Times New Roman"/>
          <w:szCs w:val="20"/>
        </w:rPr>
        <w:t xml:space="preserve">).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f</w:t>
      </w:r>
      <w:r w:rsidR="000D32DC" w:rsidRPr="009F6A4F">
        <w:rPr>
          <w:rFonts w:ascii="Times New Roman" w:hAnsi="Times New Roman" w:cs="Times New Roman"/>
          <w:szCs w:val="20"/>
        </w:rPr>
        <w:t>,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g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 xml:space="preserve">, Representative images of the cortex of the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szCs w:val="20"/>
        </w:rPr>
        <w:t xml:space="preserve">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>brains at E14.5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f</w:t>
      </w:r>
      <w:r w:rsidR="000D32DC" w:rsidRPr="009F6A4F">
        <w:rPr>
          <w:rFonts w:ascii="Times New Roman" w:hAnsi="Times New Roman" w:cs="Times New Roman"/>
          <w:szCs w:val="20"/>
        </w:rPr>
        <w:t>) and E18.5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g</w:t>
      </w:r>
      <w:r w:rsidR="000D32DC" w:rsidRPr="009F6A4F">
        <w:rPr>
          <w:rFonts w:ascii="Times New Roman" w:hAnsi="Times New Roman" w:cs="Times New Roman"/>
          <w:szCs w:val="20"/>
        </w:rPr>
        <w:t xml:space="preserve">) stained with VGluT1 (green) and GAD67 (red). Sections were counterstained with DAPI (blue). The GAD67 signal in the white dash boxes is enlarged in the bottom two frames.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h</w:t>
      </w:r>
      <w:r w:rsidR="000D32DC" w:rsidRPr="009F6A4F">
        <w:rPr>
          <w:rFonts w:ascii="Times New Roman" w:hAnsi="Times New Roman" w:cs="Times New Roman"/>
          <w:szCs w:val="20"/>
        </w:rPr>
        <w:t>–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j</w:t>
      </w:r>
      <w:r w:rsidR="000D32DC" w:rsidRPr="009F6A4F">
        <w:rPr>
          <w:rFonts w:ascii="Times New Roman" w:hAnsi="Times New Roman" w:cs="Times New Roman"/>
          <w:szCs w:val="20"/>
        </w:rPr>
        <w:t xml:space="preserve"> FACS dot plot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h</w:t>
      </w:r>
      <w:r w:rsidR="000D32DC" w:rsidRPr="009F6A4F">
        <w:rPr>
          <w:rFonts w:ascii="Times New Roman" w:hAnsi="Times New Roman" w:cs="Times New Roman"/>
          <w:szCs w:val="20"/>
        </w:rPr>
        <w:t xml:space="preserve">) and each cell population of the E18.5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+/+</w:t>
      </w:r>
      <w:r w:rsidR="000D32DC" w:rsidRPr="009F6A4F">
        <w:rPr>
          <w:rFonts w:ascii="Times New Roman" w:hAnsi="Times New Roman" w:cs="Times New Roman"/>
          <w:szCs w:val="20"/>
        </w:rPr>
        <w:t xml:space="preserve"> (8 mice)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 xml:space="preserve">− </w:t>
      </w:r>
      <w:r w:rsidR="000D32DC" w:rsidRPr="009F6A4F">
        <w:rPr>
          <w:rFonts w:ascii="Times New Roman" w:hAnsi="Times New Roman" w:cs="Times New Roman"/>
          <w:szCs w:val="20"/>
        </w:rPr>
        <w:t>(9 mice) cortical cells stained with VGluT1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i</w:t>
      </w:r>
      <w:r w:rsidR="000D32DC" w:rsidRPr="009F6A4F">
        <w:rPr>
          <w:rFonts w:ascii="Times New Roman" w:hAnsi="Times New Roman" w:cs="Times New Roman"/>
          <w:szCs w:val="20"/>
        </w:rPr>
        <w:t>) and GAD67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j</w:t>
      </w:r>
      <w:r w:rsidR="000D32DC" w:rsidRPr="009F6A4F">
        <w:rPr>
          <w:rFonts w:ascii="Times New Roman" w:hAnsi="Times New Roman" w:cs="Times New Roman"/>
          <w:szCs w:val="20"/>
        </w:rPr>
        <w:t>) antibodies. GAD67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+</w:t>
      </w:r>
      <w:r w:rsidR="000D32DC" w:rsidRPr="009F6A4F">
        <w:rPr>
          <w:rFonts w:ascii="Times New Roman" w:hAnsi="Times New Roman" w:cs="Times New Roman"/>
          <w:szCs w:val="20"/>
        </w:rPr>
        <w:t xml:space="preserve"> cell population was significantly decreased in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Ano1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/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>cortex (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p = 0.0236</w:t>
      </w:r>
      <w:r w:rsidR="000D32DC" w:rsidRPr="009F6A4F">
        <w:rPr>
          <w:rFonts w:ascii="Times New Roman" w:hAnsi="Times New Roman" w:cs="Times New Roman"/>
          <w:szCs w:val="20"/>
        </w:rPr>
        <w:t>). All data were analyzed using student unpaired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 t-test </w:t>
      </w:r>
      <w:r w:rsidR="000D32DC" w:rsidRPr="009F6A4F">
        <w:rPr>
          <w:rFonts w:ascii="Times New Roman" w:hAnsi="Times New Roman" w:cs="Times New Roman"/>
          <w:szCs w:val="20"/>
        </w:rPr>
        <w:t xml:space="preserve">and are shown as mean ± sem. </w:t>
      </w:r>
    </w:p>
    <w:p w14:paraId="59F040C0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</w:p>
    <w:p w14:paraId="70F0F29E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b/>
          <w:bCs/>
          <w:szCs w:val="20"/>
        </w:rPr>
        <w:sectPr w:rsidR="000D32DC" w:rsidRPr="009F6A4F" w:rsidSect="000D32DC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69894AD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b/>
          <w:bCs/>
          <w:szCs w:val="20"/>
        </w:rPr>
      </w:pPr>
      <w:r w:rsidRPr="009F6A4F">
        <w:rPr>
          <w:rFonts w:ascii="Times New Roman" w:hAnsi="Times New Roman" w:cs="Times New Roman"/>
          <w:b/>
          <w:bCs/>
          <w:noProof/>
          <w:szCs w:val="20"/>
          <w14:ligatures w14:val="standardContextual"/>
        </w:rPr>
        <w:lastRenderedPageBreak/>
        <w:drawing>
          <wp:inline distT="0" distB="0" distL="0" distR="0" wp14:anchorId="570C0D43" wp14:editId="00200E21">
            <wp:extent cx="5731510" cy="6647180"/>
            <wp:effectExtent l="0" t="0" r="0" b="0"/>
            <wp:docPr id="1114803877" name="그림 5" descr="다채로움, 스크린샷, 콜라주, 마조렐 블루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803877" name="그림 5" descr="다채로움, 스크린샷, 콜라주, 마조렐 블루이(가) 표시된 사진&#10;&#10;자동 생성된 설명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4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CA5AA" w14:textId="746359A0" w:rsidR="000D32DC" w:rsidRPr="009F6A4F" w:rsidRDefault="00DB17F0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b/>
          <w:szCs w:val="20"/>
        </w:rPr>
        <w:t>Supplementary</w:t>
      </w:r>
      <w:r w:rsidR="000D32DC" w:rsidRPr="009F6A4F">
        <w:rPr>
          <w:rFonts w:ascii="Times New Roman" w:hAnsi="Times New Roman" w:cs="Times New Roman"/>
          <w:b/>
          <w:szCs w:val="20"/>
        </w:rPr>
        <w:t xml:space="preserve"> Fig. 5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GABA expression in VZ/SVZ of the embryonic brains.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a,b</w:t>
      </w:r>
      <w:proofErr w:type="gramEnd"/>
      <w:r w:rsidR="000D32DC" w:rsidRPr="009F6A4F">
        <w:rPr>
          <w:rFonts w:ascii="Times New Roman" w:hAnsi="Times New Roman" w:cs="Times New Roman"/>
          <w:b/>
          <w:bCs/>
          <w:szCs w:val="20"/>
        </w:rPr>
        <w:t>,</w:t>
      </w:r>
      <w:r w:rsidR="000D32DC" w:rsidRPr="009F6A4F">
        <w:rPr>
          <w:rFonts w:ascii="Times New Roman" w:hAnsi="Times New Roman" w:cs="Times New Roman"/>
          <w:iCs/>
          <w:szCs w:val="20"/>
        </w:rPr>
        <w:t xml:space="preserve"> </w:t>
      </w:r>
      <w:r w:rsidR="000D32DC" w:rsidRPr="009F6A4F">
        <w:rPr>
          <w:rFonts w:ascii="Times New Roman" w:hAnsi="Times New Roman" w:cs="Times New Roman"/>
          <w:szCs w:val="20"/>
        </w:rPr>
        <w:t>RNAscope on the E12.5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a</w:t>
      </w:r>
      <w:r w:rsidR="000D32DC" w:rsidRPr="009F6A4F">
        <w:rPr>
          <w:rFonts w:ascii="Times New Roman" w:hAnsi="Times New Roman" w:cs="Times New Roman"/>
          <w:szCs w:val="20"/>
        </w:rPr>
        <w:t>) and E14.5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 xml:space="preserve">) MGE regions using probes directed to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Fapb7 </w:t>
      </w:r>
      <w:r w:rsidR="000D32DC" w:rsidRPr="009F6A4F">
        <w:rPr>
          <w:rFonts w:ascii="Times New Roman" w:hAnsi="Times New Roman" w:cs="Times New Roman"/>
          <w:szCs w:val="20"/>
        </w:rPr>
        <w:t xml:space="preserve">(yellow),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Gad1</w:t>
      </w:r>
      <w:r w:rsidR="000D32DC" w:rsidRPr="009F6A4F">
        <w:rPr>
          <w:rFonts w:ascii="Times New Roman" w:hAnsi="Times New Roman" w:cs="Times New Roman"/>
          <w:szCs w:val="20"/>
        </w:rPr>
        <w:t xml:space="preserve"> (red), and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 Dcx</w:t>
      </w:r>
      <w:r w:rsidR="000D32DC" w:rsidRPr="009F6A4F">
        <w:rPr>
          <w:rFonts w:ascii="Times New Roman" w:hAnsi="Times New Roman" w:cs="Times New Roman"/>
          <w:szCs w:val="20"/>
        </w:rPr>
        <w:t xml:space="preserve"> (green). Magnified images of the regions within white dash boxes are presented on the right, with arrowheads indicating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Gad1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</w:t>
      </w:r>
      <w:r w:rsidR="000D32DC" w:rsidRPr="009F6A4F">
        <w:rPr>
          <w:rFonts w:ascii="Times New Roman" w:hAnsi="Times New Roman" w:cs="Times New Roman"/>
          <w:szCs w:val="20"/>
        </w:rPr>
        <w:t xml:space="preserve"> cells. Scale bar, 20 </w:t>
      </w:r>
      <w:r w:rsidR="000D32DC" w:rsidRPr="009F6A4F">
        <w:rPr>
          <w:rFonts w:ascii="Times New Roman" w:hAnsi="Times New Roman" w:cs="Times New Roman"/>
          <w:szCs w:val="20"/>
          <w:lang w:val="el-GR"/>
        </w:rPr>
        <w:t>μ</w:t>
      </w:r>
      <w:r w:rsidR="000D32DC" w:rsidRPr="009F6A4F">
        <w:rPr>
          <w:rFonts w:ascii="Times New Roman" w:hAnsi="Times New Roman" w:cs="Times New Roman"/>
          <w:szCs w:val="20"/>
        </w:rPr>
        <w:t xml:space="preserve">m.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>,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>, Fluorescence images of the E12.5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>) and E14.5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r w:rsidR="000D32DC" w:rsidRPr="009F6A4F">
        <w:rPr>
          <w:rFonts w:ascii="Times New Roman" w:hAnsi="Times New Roman" w:cs="Times New Roman"/>
          <w:szCs w:val="20"/>
        </w:rPr>
        <w:t xml:space="preserve">) MGE regions stained with RC2 and GABA antibodies. Magnified images of the regions within white dash boxes are presented at the bottom, with arrowheads indicating GABA. Scale bar, 20 </w:t>
      </w:r>
      <w:r w:rsidR="000D32DC" w:rsidRPr="009F6A4F">
        <w:rPr>
          <w:rFonts w:ascii="Times New Roman" w:hAnsi="Times New Roman" w:cs="Times New Roman"/>
          <w:szCs w:val="20"/>
          <w:lang w:val="el-GR"/>
        </w:rPr>
        <w:t>μ</w:t>
      </w:r>
      <w:r w:rsidR="000D32DC" w:rsidRPr="009F6A4F">
        <w:rPr>
          <w:rFonts w:ascii="Times New Roman" w:hAnsi="Times New Roman" w:cs="Times New Roman"/>
          <w:szCs w:val="20"/>
        </w:rPr>
        <w:t>m</w:t>
      </w:r>
    </w:p>
    <w:p w14:paraId="5CBC250D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 w:rsidRPr="009F6A4F">
        <w:rPr>
          <w:rFonts w:ascii="Times New Roman" w:hAnsi="Times New Roman" w:cs="Times New Roman"/>
          <w:noProof/>
          <w:szCs w:val="20"/>
          <w14:ligatures w14:val="standardContextual"/>
        </w:rPr>
        <w:lastRenderedPageBreak/>
        <w:drawing>
          <wp:inline distT="0" distB="0" distL="0" distR="0" wp14:anchorId="4A9EF01F" wp14:editId="68CAC3A1">
            <wp:extent cx="5731510" cy="5829300"/>
            <wp:effectExtent l="0" t="0" r="0" b="0"/>
            <wp:docPr id="1910419566" name="그림 6" descr="텍스트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419566" name="그림 6" descr="텍스트, 스크린샷, 디자인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649B3" w14:textId="13F26C01" w:rsidR="000D32DC" w:rsidRPr="009F6A4F" w:rsidRDefault="00DB17F0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b/>
          <w:szCs w:val="20"/>
        </w:rPr>
        <w:t>Supplementary</w:t>
      </w:r>
      <w:r w:rsidR="000D32DC" w:rsidRPr="009F6A4F">
        <w:rPr>
          <w:rFonts w:ascii="Times New Roman" w:hAnsi="Times New Roman" w:cs="Times New Roman"/>
          <w:b/>
          <w:szCs w:val="20"/>
        </w:rPr>
        <w:t xml:space="preserve"> Fig. 6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 mRNA expression of ER Ca</w:t>
      </w:r>
      <w:r w:rsidR="000D32DC" w:rsidRPr="009F6A4F">
        <w:rPr>
          <w:rFonts w:ascii="Times New Roman" w:hAnsi="Times New Roman" w:cs="Times New Roman"/>
          <w:b/>
          <w:bCs/>
          <w:szCs w:val="20"/>
          <w:vertAlign w:val="superscript"/>
        </w:rPr>
        <w:t>2+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-sensing proteins induced by GABA</w:t>
      </w:r>
      <w:r w:rsidR="000D32DC" w:rsidRPr="009F6A4F">
        <w:rPr>
          <w:rFonts w:ascii="Times New Roman" w:hAnsi="Times New Roman" w:cs="Times New Roman"/>
          <w:b/>
          <w:bCs/>
          <w:szCs w:val="20"/>
          <w:vertAlign w:val="subscript"/>
        </w:rPr>
        <w:t>A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 xml:space="preserve"> receptor activation in the embryonic brain.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a,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 xml:space="preserve"> RT-PCR of Ryanodine receptor (RyR) subtypes 1–3 on the cortex and GE of the embryonic brain and cultured NSCs.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 xml:space="preserve">, Hybridization using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Orai1</w:t>
      </w:r>
      <w:r w:rsidR="000D32DC" w:rsidRPr="009F6A4F">
        <w:rPr>
          <w:rFonts w:ascii="Times New Roman" w:hAnsi="Times New Roman" w:cs="Times New Roman"/>
          <w:szCs w:val="20"/>
        </w:rPr>
        <w:t xml:space="preserve"> and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 xml:space="preserve">Fabp1 </w:t>
      </w:r>
      <w:r w:rsidR="000D32DC" w:rsidRPr="009F6A4F">
        <w:rPr>
          <w:rFonts w:ascii="Times New Roman" w:hAnsi="Times New Roman" w:cs="Times New Roman"/>
          <w:szCs w:val="20"/>
        </w:rPr>
        <w:t xml:space="preserve">probes on E14.5 whole brain section.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 xml:space="preserve">, Quantification of cell populations (%) in the MGE region shown in panel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 xml:space="preserve">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r w:rsidR="000D32DC" w:rsidRPr="009F6A4F">
        <w:rPr>
          <w:rFonts w:ascii="Times New Roman" w:hAnsi="Times New Roman" w:cs="Times New Roman"/>
          <w:szCs w:val="20"/>
        </w:rPr>
        <w:t xml:space="preserve">, </w:t>
      </w:r>
      <w:proofErr w:type="gramStart"/>
      <w:r w:rsidR="000D32DC" w:rsidRPr="009F6A4F">
        <w:rPr>
          <w:rFonts w:ascii="Times New Roman" w:hAnsi="Times New Roman" w:cs="Times New Roman"/>
          <w:szCs w:val="20"/>
        </w:rPr>
        <w:t>Stacked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 xml:space="preserve"> bar graph representing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Orai1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</w:t>
      </w:r>
      <w:r w:rsidR="000D32DC" w:rsidRPr="009F6A4F">
        <w:rPr>
          <w:rFonts w:ascii="Times New Roman" w:hAnsi="Times New Roman" w:cs="Times New Roman"/>
          <w:szCs w:val="20"/>
        </w:rPr>
        <w:t xml:space="preserve"> cell population within each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Fabp7</w:t>
      </w:r>
      <w:r w:rsidR="000D32DC" w:rsidRPr="009F6A4F">
        <w:rPr>
          <w:rFonts w:ascii="Times New Roman" w:hAnsi="Times New Roman" w:cs="Times New Roman"/>
          <w:i/>
          <w:iCs/>
          <w:szCs w:val="20"/>
          <w:vertAlign w:val="superscript"/>
        </w:rPr>
        <w:t>+</w:t>
      </w:r>
      <w:r w:rsidR="000D32DC" w:rsidRPr="009F6A4F">
        <w:rPr>
          <w:rFonts w:ascii="Times New Roman" w:hAnsi="Times New Roman" w:cs="Times New Roman"/>
          <w:szCs w:val="20"/>
        </w:rPr>
        <w:t xml:space="preserve"> or </w:t>
      </w:r>
      <w:r w:rsidR="000D32DC" w:rsidRPr="009F6A4F">
        <w:rPr>
          <w:rFonts w:ascii="Times New Roman" w:hAnsi="Times New Roman" w:cs="Times New Roman"/>
          <w:i/>
          <w:iCs/>
          <w:szCs w:val="20"/>
        </w:rPr>
        <w:t>Fabp7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−</w:t>
      </w:r>
      <w:r w:rsidR="000D32DC" w:rsidRPr="009F6A4F">
        <w:rPr>
          <w:rFonts w:ascii="Times New Roman" w:hAnsi="Times New Roman" w:cs="Times New Roman"/>
          <w:szCs w:val="20"/>
        </w:rPr>
        <w:t xml:space="preserve"> group. Data are shown as mean ± sem. </w:t>
      </w:r>
    </w:p>
    <w:p w14:paraId="75A63A08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</w:p>
    <w:p w14:paraId="050D353A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b/>
          <w:bCs/>
          <w:szCs w:val="20"/>
        </w:rPr>
        <w:sectPr w:rsidR="000D32DC" w:rsidRPr="009F6A4F" w:rsidSect="000D32DC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6BFB055" w14:textId="77777777" w:rsidR="000D32DC" w:rsidRPr="009F6A4F" w:rsidRDefault="000D32DC" w:rsidP="000D32DC">
      <w:pPr>
        <w:wordWrap/>
        <w:spacing w:after="0" w:line="480" w:lineRule="auto"/>
        <w:rPr>
          <w:rFonts w:ascii="Times New Roman" w:hAnsi="Times New Roman" w:cs="Times New Roman"/>
          <w:b/>
          <w:bCs/>
          <w:szCs w:val="20"/>
        </w:rPr>
      </w:pPr>
      <w:r w:rsidRPr="009F6A4F">
        <w:rPr>
          <w:rFonts w:ascii="Times New Roman" w:hAnsi="Times New Roman" w:cs="Times New Roman"/>
          <w:b/>
          <w:bCs/>
          <w:noProof/>
          <w:szCs w:val="20"/>
          <w14:ligatures w14:val="standardContextual"/>
        </w:rPr>
        <w:lastRenderedPageBreak/>
        <w:drawing>
          <wp:inline distT="0" distB="0" distL="0" distR="0" wp14:anchorId="090C356E" wp14:editId="45BFE7CF">
            <wp:extent cx="5731510" cy="7302500"/>
            <wp:effectExtent l="0" t="0" r="0" b="0"/>
            <wp:docPr id="1075142396" name="그림 7" descr="텍스트, 도표, 평면도, 기술 도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142396" name="그림 7" descr="텍스트, 도표, 평면도, 기술 도면이(가) 표시된 사진&#10;&#10;자동 생성된 설명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0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CAAE8" w14:textId="039541A3" w:rsidR="000D32DC" w:rsidRPr="009F6A4F" w:rsidRDefault="00F11CCE" w:rsidP="000D32DC">
      <w:pPr>
        <w:wordWrap/>
        <w:spacing w:after="0"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b/>
          <w:szCs w:val="20"/>
        </w:rPr>
        <w:t>Supplementary</w:t>
      </w:r>
      <w:r w:rsidR="000D32DC" w:rsidRPr="009F6A4F">
        <w:rPr>
          <w:rFonts w:ascii="Times New Roman" w:hAnsi="Times New Roman" w:cs="Times New Roman"/>
          <w:b/>
          <w:szCs w:val="20"/>
        </w:rPr>
        <w:t xml:space="preserve"> Fig.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7 CaCC amplitudes before and after GABA application. a,</w:t>
      </w:r>
      <w:r w:rsidR="000D32DC" w:rsidRPr="009F6A4F">
        <w:rPr>
          <w:rFonts w:ascii="Times New Roman" w:hAnsi="Times New Roman" w:cs="Times New Roman"/>
          <w:szCs w:val="20"/>
        </w:rPr>
        <w:t xml:space="preserve"> CaCC amplitudes at +90 mV are shown before and after the application of GABA with the specified internal Ca</w:t>
      </w:r>
      <w:r w:rsidR="000D32DC" w:rsidRPr="009F6A4F">
        <w:rPr>
          <w:rFonts w:ascii="Times New Roman" w:hAnsi="Times New Roman" w:cs="Times New Roman"/>
          <w:szCs w:val="20"/>
          <w:vertAlign w:val="superscript"/>
        </w:rPr>
        <w:t>2+</w:t>
      </w:r>
      <w:r w:rsidR="000D32DC" w:rsidRPr="009F6A4F">
        <w:rPr>
          <w:rFonts w:ascii="Times New Roman" w:hAnsi="Times New Roman" w:cs="Times New Roman"/>
          <w:szCs w:val="20"/>
        </w:rPr>
        <w:t xml:space="preserve"> concentrations. The insets show voltage-induced CaCC with six 100 ms voltage steps ranging from −90 to +110 mV starting at a holding potential of −70 mV. The lines connecting pre- and post-samples indicate the same cell </w:t>
      </w:r>
      <w:r w:rsidR="000D32DC" w:rsidRPr="009F6A4F">
        <w:rPr>
          <w:rFonts w:ascii="Times New Roman" w:hAnsi="Times New Roman" w:cs="Times New Roman"/>
          <w:i/>
          <w:szCs w:val="20"/>
        </w:rPr>
        <w:t>(p = 0.0021)</w:t>
      </w:r>
      <w:r w:rsidR="000D32DC" w:rsidRPr="009F6A4F">
        <w:rPr>
          <w:rFonts w:ascii="Times New Roman" w:hAnsi="Times New Roman" w:cs="Times New Roman"/>
          <w:szCs w:val="20"/>
        </w:rPr>
        <w:t xml:space="preserve">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 xml:space="preserve">, The CaCC </w:t>
      </w:r>
      <w:r w:rsidR="000D32DC" w:rsidRPr="009F6A4F">
        <w:rPr>
          <w:rFonts w:ascii="Times New Roman" w:hAnsi="Times New Roman" w:cs="Times New Roman"/>
          <w:szCs w:val="20"/>
        </w:rPr>
        <w:lastRenderedPageBreak/>
        <w:t xml:space="preserve">amplitudes at +90 mV pre-GABA are compared.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>, Same as in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</w:t>
      </w:r>
      <w:r w:rsidR="000D32DC" w:rsidRPr="009F6A4F">
        <w:rPr>
          <w:rFonts w:ascii="Times New Roman" w:hAnsi="Times New Roman" w:cs="Times New Roman"/>
          <w:szCs w:val="20"/>
        </w:rPr>
        <w:t xml:space="preserve">) comparing post-GABA CaCC amplitudes </w:t>
      </w:r>
      <w:r w:rsidR="000D32DC" w:rsidRPr="009F6A4F">
        <w:rPr>
          <w:rFonts w:ascii="Times New Roman" w:hAnsi="Times New Roman" w:cs="Times New Roman"/>
          <w:i/>
          <w:szCs w:val="20"/>
        </w:rPr>
        <w:t>(p=0.016)</w:t>
      </w:r>
      <w:r w:rsidR="000D32DC" w:rsidRPr="009F6A4F">
        <w:rPr>
          <w:rFonts w:ascii="Times New Roman" w:hAnsi="Times New Roman" w:cs="Times New Roman"/>
          <w:szCs w:val="20"/>
        </w:rPr>
        <w:t xml:space="preserve">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d</w:t>
      </w:r>
      <w:r w:rsidR="000D32DC" w:rsidRPr="009F6A4F">
        <w:rPr>
          <w:rFonts w:ascii="Times New Roman" w:hAnsi="Times New Roman" w:cs="Times New Roman"/>
          <w:szCs w:val="20"/>
        </w:rPr>
        <w:t>, Same as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a</w:t>
      </w:r>
      <w:r w:rsidR="000D32DC" w:rsidRPr="009F6A4F">
        <w:rPr>
          <w:rFonts w:ascii="Times New Roman" w:hAnsi="Times New Roman" w:cs="Times New Roman"/>
          <w:szCs w:val="20"/>
        </w:rPr>
        <w:t xml:space="preserve">) but with AnC applied to the bath solution. </w:t>
      </w:r>
      <w:proofErr w:type="gramStart"/>
      <w:r w:rsidR="000D32DC" w:rsidRPr="009F6A4F">
        <w:rPr>
          <w:rFonts w:ascii="Times New Roman" w:hAnsi="Times New Roman" w:cs="Times New Roman"/>
          <w:b/>
          <w:bCs/>
          <w:szCs w:val="20"/>
        </w:rPr>
        <w:t>e</w:t>
      </w:r>
      <w:r w:rsidR="000D32DC" w:rsidRPr="009F6A4F">
        <w:rPr>
          <w:rFonts w:ascii="Times New Roman" w:hAnsi="Times New Roman" w:cs="Times New Roman"/>
          <w:szCs w:val="20"/>
        </w:rPr>
        <w:t>,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f</w:t>
      </w:r>
      <w:proofErr w:type="gramEnd"/>
      <w:r w:rsidR="000D32DC" w:rsidRPr="009F6A4F">
        <w:rPr>
          <w:rFonts w:ascii="Times New Roman" w:hAnsi="Times New Roman" w:cs="Times New Roman"/>
          <w:szCs w:val="20"/>
        </w:rPr>
        <w:t>, Same as in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b)</w:t>
      </w:r>
      <w:r w:rsidR="000D32DC" w:rsidRPr="009F6A4F">
        <w:rPr>
          <w:rFonts w:ascii="Times New Roman" w:hAnsi="Times New Roman" w:cs="Times New Roman"/>
          <w:szCs w:val="20"/>
        </w:rPr>
        <w:t xml:space="preserve"> and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c</w:t>
      </w:r>
      <w:r w:rsidR="000D32DC" w:rsidRPr="009F6A4F">
        <w:rPr>
          <w:rFonts w:ascii="Times New Roman" w:hAnsi="Times New Roman" w:cs="Times New Roman"/>
          <w:szCs w:val="20"/>
        </w:rPr>
        <w:t xml:space="preserve">) comparing the AnC-treated cells. 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g</w:t>
      </w:r>
      <w:r w:rsidR="000D32DC" w:rsidRPr="009F6A4F">
        <w:rPr>
          <w:rFonts w:ascii="Times New Roman" w:hAnsi="Times New Roman" w:cs="Times New Roman"/>
          <w:szCs w:val="20"/>
        </w:rPr>
        <w:t>–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i,</w:t>
      </w:r>
      <w:r w:rsidR="000D32DC" w:rsidRPr="009F6A4F">
        <w:rPr>
          <w:rFonts w:ascii="Times New Roman" w:hAnsi="Times New Roman" w:cs="Times New Roman"/>
          <w:szCs w:val="20"/>
        </w:rPr>
        <w:t xml:space="preserve"> Same as in (</w:t>
      </w:r>
      <w:r w:rsidR="000D32DC" w:rsidRPr="009F6A4F">
        <w:rPr>
          <w:rFonts w:ascii="Times New Roman" w:hAnsi="Times New Roman" w:cs="Times New Roman"/>
          <w:b/>
          <w:bCs/>
          <w:szCs w:val="20"/>
        </w:rPr>
        <w:t>a</w:t>
      </w:r>
      <w:r w:rsidR="000D32DC" w:rsidRPr="009F6A4F">
        <w:rPr>
          <w:rFonts w:ascii="Times New Roman" w:hAnsi="Times New Roman" w:cs="Times New Roman"/>
          <w:szCs w:val="20"/>
        </w:rPr>
        <w:t>), showing conditions where CaCC was not detected.</w:t>
      </w:r>
    </w:p>
    <w:p w14:paraId="4695740D" w14:textId="77777777" w:rsidR="000D32DC" w:rsidRPr="009F6A4F" w:rsidRDefault="000D32DC" w:rsidP="000D32DC">
      <w:pPr>
        <w:wordWrap/>
        <w:spacing w:line="480" w:lineRule="auto"/>
        <w:rPr>
          <w:rFonts w:ascii="Times New Roman" w:hAnsi="Times New Roman" w:cs="Times New Roman"/>
          <w:szCs w:val="20"/>
        </w:rPr>
      </w:pPr>
    </w:p>
    <w:p w14:paraId="6E91F488" w14:textId="77777777" w:rsidR="000D32DC" w:rsidRDefault="000D32DC" w:rsidP="000D32DC">
      <w:pPr>
        <w:pStyle w:val="aa"/>
        <w:wordWrap/>
        <w:spacing w:line="480" w:lineRule="auto"/>
        <w:rPr>
          <w:rFonts w:ascii="Times New Roman"/>
          <w:color w:val="000000" w:themeColor="text1"/>
          <w:szCs w:val="20"/>
        </w:rPr>
      </w:pPr>
    </w:p>
    <w:p w14:paraId="2057A8C5" w14:textId="77777777" w:rsidR="00797771" w:rsidRPr="000D32DC" w:rsidRDefault="00797771"/>
    <w:sectPr w:rsidR="00797771" w:rsidRPr="000D32D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2DC"/>
    <w:rsid w:val="000D32DC"/>
    <w:rsid w:val="00210AF1"/>
    <w:rsid w:val="005814ED"/>
    <w:rsid w:val="00797771"/>
    <w:rsid w:val="00804FAD"/>
    <w:rsid w:val="00DB17F0"/>
    <w:rsid w:val="00E668C3"/>
    <w:rsid w:val="00F11CCE"/>
    <w:rsid w:val="00F7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DF0B4"/>
  <w15:chartTrackingRefBased/>
  <w15:docId w15:val="{A3868577-1CB6-41A8-9B5E-FC2F71524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2DC"/>
    <w:pPr>
      <w:widowControl w:val="0"/>
      <w:wordWrap w:val="0"/>
      <w:autoSpaceDE w:val="0"/>
      <w:autoSpaceDN w:val="0"/>
      <w:spacing w:line="259" w:lineRule="auto"/>
      <w:jc w:val="both"/>
    </w:pPr>
    <w:rPr>
      <w:rFonts w:asciiTheme="minorHAnsi"/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0D32DC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D32DC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D32DC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D32DC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D32DC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D32DC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D32DC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D32DC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D32DC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0D32D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0D32D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0D32D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0D32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0D32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0D32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D32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D32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D32D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0D32D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0D32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D32DC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0D32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D32DC"/>
    <w:pPr>
      <w:spacing w:before="160" w:line="240" w:lineRule="auto"/>
      <w:jc w:val="center"/>
    </w:pPr>
    <w:rPr>
      <w:rFonts w:asciiTheme="minorEastAsia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0D32D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D32DC"/>
    <w:pPr>
      <w:spacing w:line="240" w:lineRule="auto"/>
      <w:ind w:left="720"/>
      <w:contextualSpacing/>
      <w:jc w:val="left"/>
    </w:pPr>
    <w:rPr>
      <w:rFonts w:asciiTheme="minorEastAsia"/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0D32D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D32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EastAsia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0D32D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D32DC"/>
    <w:rPr>
      <w:b/>
      <w:bCs/>
      <w:smallCaps/>
      <w:color w:val="0F4761" w:themeColor="accent1" w:themeShade="BF"/>
      <w:spacing w:val="5"/>
    </w:rPr>
  </w:style>
  <w:style w:type="paragraph" w:styleId="aa">
    <w:name w:val="No Spacing"/>
    <w:link w:val="Char3"/>
    <w:uiPriority w:val="1"/>
    <w:qFormat/>
    <w:rsid w:val="000D32DC"/>
    <w:pPr>
      <w:widowControl w:val="0"/>
      <w:wordWrap w:val="0"/>
      <w:autoSpaceDE w:val="0"/>
      <w:autoSpaceDN w:val="0"/>
      <w:spacing w:after="0"/>
      <w:jc w:val="both"/>
    </w:pPr>
    <w:rPr>
      <w:rFonts w:ascii="바탕" w:eastAsia="바탕" w:hAnsi="Times New Roman" w:cs="Times New Roman"/>
      <w:sz w:val="20"/>
      <w14:ligatures w14:val="none"/>
    </w:rPr>
  </w:style>
  <w:style w:type="character" w:customStyle="1" w:styleId="Char3">
    <w:name w:val="간격 없음 Char"/>
    <w:basedOn w:val="a0"/>
    <w:link w:val="aa"/>
    <w:uiPriority w:val="1"/>
    <w:rsid w:val="000D32DC"/>
    <w:rPr>
      <w:rFonts w:ascii="바탕" w:eastAsia="바탕" w:hAnsi="Times New Roman" w:cs="Times New Roman"/>
      <w:sz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경민 김</dc:creator>
  <cp:keywords/>
  <dc:description/>
  <cp:lastModifiedBy>경민 김</cp:lastModifiedBy>
  <cp:revision>3</cp:revision>
  <dcterms:created xsi:type="dcterms:W3CDTF">2024-08-30T11:18:00Z</dcterms:created>
  <dcterms:modified xsi:type="dcterms:W3CDTF">2024-08-30T12:33:00Z</dcterms:modified>
</cp:coreProperties>
</file>