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b/>
          <w:lang w:val="en-GB"/>
        </w:rPr>
      </w:pPr>
      <w:r w:rsidRPr="00290F68">
        <w:rPr>
          <w:b/>
          <w:lang w:val="en-GB"/>
        </w:rPr>
        <w:t>Supplementary table 1. Capture–recapture analysis of serogroup B meningococcal invasive disease reported to the SDR and MRS stratified by different characteristics, Catalonia 2011-2015</w:t>
      </w:r>
    </w:p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highlight w:val="yellow"/>
          <w:lang w:val="en-GB"/>
        </w:rPr>
      </w:pPr>
    </w:p>
    <w:tbl>
      <w:tblPr>
        <w:tblStyle w:val="Tablaconcuadrcula"/>
        <w:tblW w:w="16194" w:type="dxa"/>
        <w:jc w:val="center"/>
        <w:tblLayout w:type="fixed"/>
        <w:tblLook w:val="04A0" w:firstRow="1" w:lastRow="0" w:firstColumn="1" w:lastColumn="0" w:noHBand="0" w:noVBand="1"/>
      </w:tblPr>
      <w:tblGrid>
        <w:gridCol w:w="3011"/>
        <w:gridCol w:w="992"/>
        <w:gridCol w:w="1134"/>
        <w:gridCol w:w="1134"/>
        <w:gridCol w:w="1276"/>
        <w:gridCol w:w="1843"/>
        <w:gridCol w:w="2126"/>
        <w:gridCol w:w="2126"/>
        <w:gridCol w:w="1487"/>
        <w:gridCol w:w="1065"/>
      </w:tblGrid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SDR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MRS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Matched records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Calculated unreported cases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Estimated total no. of cases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SDR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MRS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Difference in sensitivities</w:t>
            </w:r>
          </w:p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(%)</w:t>
            </w: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P</w:t>
            </w:r>
            <w:r w:rsidRPr="00290F68">
              <w:rPr>
                <w:b/>
                <w:i/>
                <w:lang w:val="en-GB"/>
              </w:rPr>
              <w:t>-value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All cases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164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153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114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17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220 (209, 232)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74.6 (68.8, 80.3)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69.6 (63.5, 75.6)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5.0</w:t>
            </w:r>
          </w:p>
        </w:tc>
        <w:tc>
          <w:tcPr>
            <w:tcW w:w="1065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b/>
                <w:i/>
                <w:color w:val="000000"/>
                <w:lang w:val="en-GB" w:eastAsia="es-ES"/>
              </w:rPr>
              <w:t>&lt;0.001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lang w:val="en-GB"/>
              </w:rPr>
            </w:pPr>
            <w:r w:rsidRPr="00290F68">
              <w:rPr>
                <w:b/>
                <w:lang w:val="en-GB"/>
              </w:rPr>
              <w:t>Age group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333"/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&lt;15 years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155 (146, 165)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71.0 (63.8, 78.1)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 xml:space="preserve"> 71.0 (63.8, 78.1)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0.0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0.656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≥15 years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64 (59, 69)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83.5 (74.3, 92.6)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66.1 (54.5, 77.8)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17.3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Sex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Male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86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76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62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106 (100, 112)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81.7 (74.3, 89.1)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72.2 (63.6, 80.7)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9.5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0.099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Female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78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77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52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116 (106, 126)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67.7 (59.1, 76.2)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66.8 (58.2, 75.4)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0.9</w:t>
            </w:r>
          </w:p>
        </w:tc>
        <w:tc>
          <w:tcPr>
            <w:tcW w:w="1065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Year of report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2011-2013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144 (132, 157)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66.1 (58.3, 73.8)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63.3 (55.4, 71.2)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2.8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0.002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2014-2015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80 (76, 83)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87.1 (79.7, 94.5)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78.3 (69.2, 87.4)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8.8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Size of municipality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&lt;10,000 people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22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24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27 (26, 28)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83.3 (69.1, 97.6)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90.9 (79.9, 100.0)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-7.6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0.059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≥10,000 people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137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114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91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12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172 (163, 181)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79.9 (73.9, 85.9)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66.5 (59.4, 73.5)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13.4</w:t>
            </w:r>
          </w:p>
        </w:tc>
        <w:tc>
          <w:tcPr>
            <w:tcW w:w="1065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Country of birth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Spain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152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144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107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205 (194, 215)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74.4 (68.4, 80.4)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70.4 (64.2, 76.7)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3.9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0.631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Other countries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12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(13, 19)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78.9 (58.4, 99.5)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59.2 (34.5, 83.9)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19.7</w:t>
            </w:r>
          </w:p>
        </w:tc>
        <w:tc>
          <w:tcPr>
            <w:tcW w:w="1065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Number of hospital beds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&lt;200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49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52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33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77 (69, 86)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63.7 (53.0, 74.5)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67.6 (57.2, 78.1)</w:t>
            </w:r>
          </w:p>
        </w:tc>
        <w:tc>
          <w:tcPr>
            <w:tcW w:w="1487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-3.9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0.095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&gt;=200</w:t>
            </w:r>
          </w:p>
        </w:tc>
        <w:tc>
          <w:tcPr>
            <w:tcW w:w="992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113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101</w:t>
            </w:r>
          </w:p>
        </w:tc>
        <w:tc>
          <w:tcPr>
            <w:tcW w:w="113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81</w:t>
            </w:r>
          </w:p>
        </w:tc>
        <w:tc>
          <w:tcPr>
            <w:tcW w:w="127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</w:t>
            </w:r>
          </w:p>
        </w:tc>
        <w:tc>
          <w:tcPr>
            <w:tcW w:w="1843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141 (134, 148)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80.3 (73.7, 86.8)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71.7 (64.3, 79.2)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8.5</w:t>
            </w:r>
          </w:p>
        </w:tc>
        <w:tc>
          <w:tcPr>
            <w:tcW w:w="1065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E51DD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>Clinical form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Meningitis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91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100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70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9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130 (122, 138)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70.1 (62.2, 77.9)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77.0 (69.7, 84.2)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-6.9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  <w:r w:rsidRPr="002E51DD">
              <w:rPr>
                <w:i/>
                <w:lang w:val="en-GB"/>
              </w:rPr>
              <w:t>0.972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Sep</w:t>
            </w:r>
            <w:r>
              <w:rPr>
                <w:b/>
                <w:lang w:val="en-GB"/>
              </w:rPr>
              <w:t>sis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66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51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43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79 (73, 84)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84.4 (76.4, 92.4)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65.2 (54.7, 75.8)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19.2</w:t>
            </w:r>
          </w:p>
        </w:tc>
        <w:tc>
          <w:tcPr>
            <w:tcW w:w="1065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Type of reporting cent</w:t>
            </w:r>
            <w:r>
              <w:rPr>
                <w:b/>
                <w:lang w:val="en-GB"/>
              </w:rPr>
              <w:t>re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Private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14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14 (14, 14)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100 (100, 100)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7.1 (-6.4, 20.6)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92.9</w:t>
            </w:r>
          </w:p>
        </w:tc>
        <w:tc>
          <w:tcPr>
            <w:tcW w:w="1065" w:type="dxa"/>
            <w:vMerge w:val="restart"/>
            <w:vAlign w:val="center"/>
          </w:tcPr>
          <w:p w:rsidR="006605CD" w:rsidRPr="002E51DD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E51DD">
              <w:rPr>
                <w:b/>
                <w:i/>
                <w:lang w:val="en-GB"/>
              </w:rPr>
              <w:t>0.004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Public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149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152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113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13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201 (192, 210)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74.4 (68.4, 80.4)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75.9 (70, 81.8)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-1.5</w:t>
            </w:r>
          </w:p>
        </w:tc>
        <w:tc>
          <w:tcPr>
            <w:tcW w:w="1065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</w:tbl>
    <w:p w:rsidR="006605CD" w:rsidRPr="002E51DD" w:rsidRDefault="006605CD" w:rsidP="006605CD">
      <w:pPr>
        <w:rPr>
          <w:lang w:val="en-GB"/>
        </w:rPr>
      </w:pPr>
    </w:p>
    <w:p w:rsidR="006605CD" w:rsidRPr="002E51DD" w:rsidRDefault="006605CD" w:rsidP="006605CD">
      <w:pPr>
        <w:rPr>
          <w:lang w:val="en-GB"/>
        </w:rPr>
      </w:pPr>
      <w:r w:rsidRPr="00290F68">
        <w:rPr>
          <w:sz w:val="20"/>
          <w:szCs w:val="20"/>
          <w:lang w:val="en-GB"/>
        </w:rPr>
        <w:t xml:space="preserve">SDR: Statutory disease reporting; MDR: Microbiological </w:t>
      </w:r>
      <w:r w:rsidRPr="002E51DD">
        <w:rPr>
          <w:sz w:val="20"/>
          <w:szCs w:val="20"/>
          <w:lang w:val="en-GB"/>
        </w:rPr>
        <w:t xml:space="preserve">reporting system </w:t>
      </w:r>
    </w:p>
    <w:p w:rsidR="006605CD" w:rsidRDefault="006605CD">
      <w:pPr>
        <w:rPr>
          <w:lang w:val="en-GB"/>
        </w:rPr>
      </w:pPr>
      <w:r>
        <w:rPr>
          <w:lang w:val="en-GB"/>
        </w:rPr>
        <w:br w:type="page"/>
      </w:r>
    </w:p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b/>
          <w:lang w:val="en-GB"/>
        </w:rPr>
      </w:pPr>
      <w:r w:rsidRPr="00290F68">
        <w:rPr>
          <w:b/>
          <w:lang w:val="en-GB"/>
        </w:rPr>
        <w:lastRenderedPageBreak/>
        <w:t xml:space="preserve">Supplementary table 2. Capture–recapture analysis </w:t>
      </w:r>
      <w:r>
        <w:rPr>
          <w:b/>
          <w:lang w:val="en-GB"/>
        </w:rPr>
        <w:t>of</w:t>
      </w:r>
      <w:r w:rsidRPr="00290F68">
        <w:rPr>
          <w:b/>
          <w:lang w:val="en-GB"/>
        </w:rPr>
        <w:t xml:space="preserve"> serogroup C meningococcal invasive disease reported to </w:t>
      </w:r>
      <w:r>
        <w:rPr>
          <w:b/>
          <w:lang w:val="en-GB"/>
        </w:rPr>
        <w:t xml:space="preserve">the </w:t>
      </w:r>
      <w:r w:rsidRPr="00290F68">
        <w:rPr>
          <w:b/>
          <w:lang w:val="en-GB"/>
        </w:rPr>
        <w:t>SDR and MRS stratified by different characteristics, Catalonia 2011-2015</w:t>
      </w:r>
    </w:p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lang w:val="en-GB"/>
        </w:rPr>
      </w:pPr>
    </w:p>
    <w:tbl>
      <w:tblPr>
        <w:tblStyle w:val="Tablaconcuadrcula"/>
        <w:tblW w:w="16194" w:type="dxa"/>
        <w:jc w:val="center"/>
        <w:tblLayout w:type="fixed"/>
        <w:tblLook w:val="04A0" w:firstRow="1" w:lastRow="0" w:firstColumn="1" w:lastColumn="0" w:noHBand="0" w:noVBand="1"/>
      </w:tblPr>
      <w:tblGrid>
        <w:gridCol w:w="3011"/>
        <w:gridCol w:w="992"/>
        <w:gridCol w:w="1134"/>
        <w:gridCol w:w="1134"/>
        <w:gridCol w:w="1276"/>
        <w:gridCol w:w="1843"/>
        <w:gridCol w:w="2126"/>
        <w:gridCol w:w="2126"/>
        <w:gridCol w:w="1487"/>
        <w:gridCol w:w="1065"/>
      </w:tblGrid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SDR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MRS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Matched records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Calculated unreported cases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Estimated total no. of cases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SDR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MRS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Difference in sensitivities</w:t>
            </w:r>
          </w:p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(%)</w:t>
            </w: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p-value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All cases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34 (30, 39)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76.7 (62.5, 90.9)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62.0 (45.6, 78.3)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14.8</w:t>
            </w: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b/>
                <w:i/>
                <w:color w:val="000000"/>
                <w:lang w:val="en-GB" w:eastAsia="es-ES"/>
              </w:rPr>
              <w:t>0.035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lang w:val="en-GB"/>
              </w:rPr>
            </w:pPr>
            <w:r w:rsidRPr="00290F68">
              <w:rPr>
                <w:b/>
                <w:lang w:val="en-GB"/>
              </w:rPr>
              <w:t>Age group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&lt;15 years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 (4, 4)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0.0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0.992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≥15 years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31 (25, 37)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71.4 (55.5, 87.4)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55.2 (37.6, 72.8)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16.2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Male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 (15, 26)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65.0 (44.1, 85.9)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55.0 (33.2, 76.8)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10.0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0.368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Female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 (13, 16)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90.3 (75.0,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69.4 (45.7, 93.2)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20.8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Year of report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2011-2013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 (14, 26)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61.9 (40.2, 83.5)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51.6 (29.3, 73.8)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10.3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0.110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2014-2015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(14, 17)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90.9 (76.6,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71.4 (48.9, 94.0)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19.5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Size of municipality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&lt;10,000 people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 (3, 3)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66.7 (13.3, 100.0)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33.3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0.591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≥10,000 people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27 (23, 30)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80.5 (65.3, 95.7)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57.5 (38.5, 76.4)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23.0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Country of birth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Spain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30 (26, 35)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74.1 (58.3, 89.8)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64.0 (46.7, 81.2)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10.1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0.945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Other countries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 (4, 4)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 (1.0, 99.0)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Number of hospital beds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 (7, 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71.4 (38.0, 104.9)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28.6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0.283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26 (22, 31)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69.5 (51.8, 87.2)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61.8 (43.1, 80.5)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7.7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E51DD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>Clinical form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Meningitis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24 (20, 27)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69.3 (50.4, 88.1)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69.3 (50.4, 88.1)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0.0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  <w:r w:rsidRPr="002E51DD">
              <w:rPr>
                <w:i/>
                <w:lang w:val="en-GB"/>
              </w:rPr>
              <w:t>0.908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Sep</w:t>
            </w:r>
            <w:r>
              <w:rPr>
                <w:b/>
                <w:lang w:val="en-GB"/>
              </w:rPr>
              <w:t>sis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8 (8, 8)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50.0 (15.4, 84.7)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50.0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Type of reporting cent</w:t>
            </w:r>
            <w:r>
              <w:rPr>
                <w:b/>
                <w:lang w:val="en-GB"/>
              </w:rPr>
              <w:t>re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Private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 (4, 4)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100.0 (100.0, 100.0)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 (0.0, 0.0)</w:t>
            </w:r>
          </w:p>
        </w:tc>
        <w:tc>
          <w:tcPr>
            <w:tcW w:w="1487" w:type="dxa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100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  <w:r w:rsidRPr="002E51DD">
              <w:rPr>
                <w:i/>
                <w:lang w:val="en-GB"/>
              </w:rPr>
              <w:t>0.992</w:t>
            </w:r>
          </w:p>
        </w:tc>
      </w:tr>
      <w:tr w:rsidR="006605CD" w:rsidRPr="00290F68" w:rsidTr="0068560A">
        <w:trPr>
          <w:jc w:val="center"/>
        </w:trPr>
        <w:tc>
          <w:tcPr>
            <w:tcW w:w="3011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Public</w:t>
            </w:r>
          </w:p>
        </w:tc>
        <w:tc>
          <w:tcPr>
            <w:tcW w:w="992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22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21</w:t>
            </w:r>
          </w:p>
        </w:tc>
        <w:tc>
          <w:tcPr>
            <w:tcW w:w="113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16</w:t>
            </w:r>
          </w:p>
        </w:tc>
        <w:tc>
          <w:tcPr>
            <w:tcW w:w="127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</w:t>
            </w:r>
          </w:p>
        </w:tc>
        <w:tc>
          <w:tcPr>
            <w:tcW w:w="1843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29 (26, 33)</w:t>
            </w:r>
          </w:p>
        </w:tc>
        <w:tc>
          <w:tcPr>
            <w:tcW w:w="212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76.4 (60.9, 91.9)</w:t>
            </w:r>
          </w:p>
        </w:tc>
        <w:tc>
          <w:tcPr>
            <w:tcW w:w="212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72.9 (56.7, 89.2)</w:t>
            </w:r>
          </w:p>
        </w:tc>
        <w:tc>
          <w:tcPr>
            <w:tcW w:w="1487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3.5</w:t>
            </w:r>
          </w:p>
        </w:tc>
        <w:tc>
          <w:tcPr>
            <w:tcW w:w="1065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</w:tbl>
    <w:p w:rsidR="006605CD" w:rsidRPr="002E51DD" w:rsidRDefault="006605CD" w:rsidP="006605CD">
      <w:pPr>
        <w:jc w:val="center"/>
        <w:rPr>
          <w:lang w:val="en-GB"/>
        </w:rPr>
      </w:pPr>
    </w:p>
    <w:p w:rsidR="006605CD" w:rsidRDefault="006605CD" w:rsidP="006605CD">
      <w:pPr>
        <w:rPr>
          <w:sz w:val="20"/>
          <w:szCs w:val="20"/>
          <w:lang w:val="en-GB"/>
        </w:rPr>
      </w:pPr>
      <w:r w:rsidRPr="00290F68">
        <w:rPr>
          <w:sz w:val="20"/>
          <w:szCs w:val="20"/>
          <w:lang w:val="en-GB"/>
        </w:rPr>
        <w:t xml:space="preserve">SDR: Statutory disease reporting; MDR: Microbiological </w:t>
      </w:r>
      <w:r w:rsidRPr="002E51DD">
        <w:rPr>
          <w:sz w:val="20"/>
          <w:szCs w:val="20"/>
          <w:lang w:val="en-GB"/>
        </w:rPr>
        <w:t xml:space="preserve">reporting system </w:t>
      </w:r>
    </w:p>
    <w:p w:rsidR="006605CD" w:rsidRDefault="006605CD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lang w:val="en-GB"/>
        </w:rPr>
      </w:pPr>
      <w:r w:rsidRPr="00290F68">
        <w:rPr>
          <w:b/>
          <w:lang w:val="en-GB"/>
        </w:rPr>
        <w:lastRenderedPageBreak/>
        <w:t>Supplementary table 3.</w:t>
      </w:r>
      <w:r w:rsidRPr="00290F68">
        <w:rPr>
          <w:lang w:val="en-GB"/>
        </w:rPr>
        <w:t xml:space="preserve"> </w:t>
      </w:r>
      <w:r w:rsidRPr="00290F68">
        <w:rPr>
          <w:b/>
          <w:lang w:val="en-GB"/>
        </w:rPr>
        <w:t xml:space="preserve">Capture–recapture analysis </w:t>
      </w:r>
      <w:r>
        <w:rPr>
          <w:b/>
          <w:lang w:val="en-GB"/>
        </w:rPr>
        <w:t xml:space="preserve">of </w:t>
      </w:r>
      <w:r w:rsidRPr="00290F68">
        <w:rPr>
          <w:b/>
          <w:lang w:val="en-GB"/>
        </w:rPr>
        <w:t>all death</w:t>
      </w:r>
      <w:r>
        <w:rPr>
          <w:b/>
          <w:lang w:val="en-GB"/>
        </w:rPr>
        <w:t>s</w:t>
      </w:r>
      <w:r w:rsidRPr="00290F68">
        <w:rPr>
          <w:b/>
          <w:lang w:val="en-GB"/>
        </w:rPr>
        <w:t xml:space="preserve"> </w:t>
      </w:r>
      <w:r>
        <w:rPr>
          <w:b/>
          <w:lang w:val="en-GB"/>
        </w:rPr>
        <w:t xml:space="preserve">due to </w:t>
      </w:r>
      <w:r w:rsidRPr="00290F68">
        <w:rPr>
          <w:b/>
          <w:lang w:val="en-GB"/>
        </w:rPr>
        <w:t xml:space="preserve">meningococcal invasive disease reported to </w:t>
      </w:r>
      <w:r>
        <w:rPr>
          <w:b/>
          <w:lang w:val="en-GB"/>
        </w:rPr>
        <w:t xml:space="preserve">the </w:t>
      </w:r>
      <w:r w:rsidRPr="00290F68">
        <w:rPr>
          <w:b/>
          <w:lang w:val="en-GB"/>
        </w:rPr>
        <w:t>SDR and MRS stratified by different characteristics, Catalonia 2011-2015</w:t>
      </w:r>
    </w:p>
    <w:p w:rsidR="006605CD" w:rsidRPr="00290F68" w:rsidRDefault="006605CD" w:rsidP="006605CD">
      <w:pPr>
        <w:autoSpaceDE w:val="0"/>
        <w:autoSpaceDN w:val="0"/>
        <w:adjustRightInd w:val="0"/>
        <w:spacing w:after="0" w:line="240" w:lineRule="auto"/>
        <w:jc w:val="center"/>
        <w:rPr>
          <w:lang w:val="en-GB"/>
        </w:rPr>
      </w:pPr>
    </w:p>
    <w:tbl>
      <w:tblPr>
        <w:tblStyle w:val="Tablaconcuadrcula"/>
        <w:tblW w:w="16069" w:type="dxa"/>
        <w:jc w:val="center"/>
        <w:tblLayout w:type="fixed"/>
        <w:tblLook w:val="04A0" w:firstRow="1" w:lastRow="0" w:firstColumn="1" w:lastColumn="0" w:noHBand="0" w:noVBand="1"/>
      </w:tblPr>
      <w:tblGrid>
        <w:gridCol w:w="2988"/>
        <w:gridCol w:w="984"/>
        <w:gridCol w:w="1125"/>
        <w:gridCol w:w="1125"/>
        <w:gridCol w:w="1266"/>
        <w:gridCol w:w="1829"/>
        <w:gridCol w:w="2110"/>
        <w:gridCol w:w="2110"/>
        <w:gridCol w:w="1475"/>
        <w:gridCol w:w="1057"/>
      </w:tblGrid>
      <w:tr w:rsidR="006605CD" w:rsidRPr="00290F68" w:rsidTr="0068560A">
        <w:trPr>
          <w:trHeight w:val="782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lang w:val="en-GB"/>
              </w:rPr>
            </w:pP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SDR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No. records in MRS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Matched records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Calculated unreported cases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Estimated total no. of cases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SDR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Sensitivity MRS (%)</w:t>
            </w:r>
          </w:p>
          <w:p w:rsidR="006605CD" w:rsidRPr="00290F68" w:rsidRDefault="006605CD" w:rsidP="0068560A">
            <w:pPr>
              <w:jc w:val="center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(95% CI)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Difference in sensitivities</w:t>
            </w:r>
          </w:p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b/>
                <w:i/>
                <w:lang w:val="en-GB"/>
              </w:rPr>
              <w:t>(%)</w:t>
            </w: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P</w:t>
            </w:r>
            <w:r w:rsidRPr="00290F68">
              <w:rPr>
                <w:b/>
                <w:i/>
                <w:lang w:val="en-GB"/>
              </w:rPr>
              <w:t>-value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All cases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22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11</w:t>
            </w:r>
          </w:p>
        </w:tc>
        <w:tc>
          <w:tcPr>
            <w:tcW w:w="1266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22 (22, 22)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pStyle w:val="HTMLconformatoprevio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jc w:val="center"/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sz w:val="22"/>
                <w:szCs w:val="22"/>
                <w:lang w:val="en-GB" w:eastAsia="es-ES"/>
              </w:rPr>
              <w:t>50.0 (29.1, 70.9)</w:t>
            </w: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color w:val="000000"/>
                <w:lang w:val="en-GB" w:eastAsia="es-ES"/>
              </w:rPr>
              <w:t>50.0</w:t>
            </w:r>
          </w:p>
        </w:tc>
        <w:tc>
          <w:tcPr>
            <w:tcW w:w="1057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eastAsia="Times New Roman" w:hAnsi="Calibri" w:cs="Times New Roman"/>
                <w:i/>
                <w:color w:val="000000"/>
                <w:lang w:val="en-GB" w:eastAsia="es-ES"/>
              </w:rPr>
            </w:pPr>
            <w:r w:rsidRPr="002E51DD">
              <w:rPr>
                <w:rFonts w:ascii="Calibri" w:eastAsia="Times New Roman" w:hAnsi="Calibri" w:cs="Times New Roman"/>
                <w:i/>
                <w:color w:val="000000"/>
                <w:lang w:val="en-GB" w:eastAsia="es-ES"/>
              </w:rPr>
              <w:t>0.104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lang w:val="en-GB"/>
              </w:rPr>
            </w:pPr>
            <w:r w:rsidRPr="00290F68">
              <w:rPr>
                <w:b/>
                <w:lang w:val="en-GB"/>
              </w:rPr>
              <w:t>Age group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68"/>
          <w:jc w:val="center"/>
        </w:trPr>
        <w:tc>
          <w:tcPr>
            <w:tcW w:w="2988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&lt;15 years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 (6, 6)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66.7 (28.9, 100.0)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33.3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0.346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≥15 years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(16, 16)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43.8 (19.4, 68.1)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56.3</w:t>
            </w: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Sex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Male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7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(16, 16)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43.8 (19.4, 68.1)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56.2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0.346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Female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 (6, 6)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66.7 (29.0, 100.0)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33.3</w:t>
            </w:r>
          </w:p>
        </w:tc>
        <w:tc>
          <w:tcPr>
            <w:tcW w:w="1057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68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Year of report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2011-2013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(16, 16)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31.3 (8.5, 54.0)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68.8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  <w:r w:rsidRPr="00290F68">
              <w:rPr>
                <w:i/>
                <w:lang w:val="en-GB"/>
              </w:rPr>
              <w:t>0.080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  <w:shd w:val="clear" w:color="auto" w:fill="auto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2014-2015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6 (6, 6)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83.3 (53.5, 100.0)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16.7</w:t>
            </w: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Size of municipality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68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&lt;10,000 people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3 (3, 3)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0.0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0.991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≥10,000 people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19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8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19 (19, 19)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42.1 (19.9, 64.3)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57.9</w:t>
            </w:r>
          </w:p>
        </w:tc>
        <w:tc>
          <w:tcPr>
            <w:tcW w:w="1057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Country of birth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Spain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10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 (20, 20)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 (28.1, 71.9)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1.000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Other countries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 (2, 2)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 (0.0, 100.0)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</w:t>
            </w:r>
          </w:p>
        </w:tc>
        <w:tc>
          <w:tcPr>
            <w:tcW w:w="1057" w:type="dxa"/>
            <w:vMerge/>
            <w:vAlign w:val="center"/>
          </w:tcPr>
          <w:p w:rsidR="006605CD" w:rsidRPr="00290F68" w:rsidRDefault="006605CD" w:rsidP="0068560A">
            <w:pPr>
              <w:jc w:val="center"/>
              <w:rPr>
                <w:b/>
                <w:i/>
                <w:lang w:val="en-GB"/>
              </w:rPr>
            </w:pPr>
          </w:p>
        </w:tc>
      </w:tr>
      <w:tr w:rsidR="006605CD" w:rsidRPr="00290F68" w:rsidTr="0068560A">
        <w:trPr>
          <w:trHeight w:val="268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>Number of hospital beds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&lt;200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 (4, 4)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 (1.0, 99.0)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50.0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90F68" w:rsidRDefault="006605CD" w:rsidP="0068560A">
            <w:pPr>
              <w:jc w:val="center"/>
              <w:rPr>
                <w:i/>
                <w:lang w:val="en-GB"/>
              </w:rPr>
            </w:pPr>
            <w:r w:rsidRPr="00290F68">
              <w:rPr>
                <w:i/>
                <w:lang w:val="en-GB"/>
              </w:rPr>
              <w:t>0.822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≥200</w:t>
            </w:r>
          </w:p>
        </w:tc>
        <w:tc>
          <w:tcPr>
            <w:tcW w:w="984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</w:t>
            </w:r>
          </w:p>
        </w:tc>
        <w:tc>
          <w:tcPr>
            <w:tcW w:w="112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9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16 (16, 16)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56.3 (31.9, 80.6)</w:t>
            </w:r>
          </w:p>
        </w:tc>
        <w:tc>
          <w:tcPr>
            <w:tcW w:w="1475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43.7</w:t>
            </w:r>
          </w:p>
        </w:tc>
        <w:tc>
          <w:tcPr>
            <w:tcW w:w="1057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E51DD" w:rsidRDefault="006605CD" w:rsidP="0068560A">
            <w:pPr>
              <w:autoSpaceDE w:val="0"/>
              <w:autoSpaceDN w:val="0"/>
              <w:adjustRightInd w:val="0"/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>Clinical form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Meningitis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 (7, 7)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57.1 (20.5, 93.8)</w:t>
            </w: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42.9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  <w:r w:rsidRPr="002E51DD">
              <w:rPr>
                <w:i/>
                <w:lang w:val="en-GB"/>
              </w:rPr>
              <w:t>0.648</w:t>
            </w:r>
          </w:p>
        </w:tc>
      </w:tr>
      <w:tr w:rsidR="006605CD" w:rsidRPr="00290F68" w:rsidTr="0068560A">
        <w:trPr>
          <w:trHeight w:val="268"/>
          <w:jc w:val="center"/>
        </w:trPr>
        <w:tc>
          <w:tcPr>
            <w:tcW w:w="2988" w:type="dxa"/>
          </w:tcPr>
          <w:p w:rsidR="006605CD" w:rsidRPr="002E51DD" w:rsidRDefault="006605CD" w:rsidP="0068560A">
            <w:pPr>
              <w:jc w:val="both"/>
              <w:rPr>
                <w:b/>
                <w:lang w:val="en-GB"/>
              </w:rPr>
            </w:pPr>
            <w:r w:rsidRPr="002E51DD">
              <w:rPr>
                <w:b/>
                <w:lang w:val="en-GB"/>
              </w:rPr>
              <w:t xml:space="preserve">     Sep</w:t>
            </w:r>
            <w:r>
              <w:rPr>
                <w:b/>
                <w:lang w:val="en-GB"/>
              </w:rPr>
              <w:t>sis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15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7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15 (15, 15)</w:t>
            </w:r>
          </w:p>
        </w:tc>
        <w:tc>
          <w:tcPr>
            <w:tcW w:w="2110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46.7 (21.4, 71.9)</w:t>
            </w: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53.3</w:t>
            </w:r>
          </w:p>
        </w:tc>
        <w:tc>
          <w:tcPr>
            <w:tcW w:w="1057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Type of reporting </w:t>
            </w:r>
            <w:r>
              <w:rPr>
                <w:b/>
                <w:lang w:val="en-GB"/>
              </w:rPr>
              <w:t>c</w:t>
            </w:r>
            <w:r w:rsidRPr="00290F68">
              <w:rPr>
                <w:b/>
                <w:lang w:val="en-GB"/>
              </w:rPr>
              <w:t>ent</w:t>
            </w:r>
            <w:r>
              <w:rPr>
                <w:b/>
                <w:lang w:val="en-GB"/>
              </w:rPr>
              <w:t>re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hAnsi="Calibri" w:cs="Times New Roman"/>
                <w:color w:val="000000"/>
                <w:lang w:val="en-GB" w:eastAsia="es-ES"/>
              </w:rPr>
            </w:pP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</w:p>
        </w:tc>
        <w:tc>
          <w:tcPr>
            <w:tcW w:w="1057" w:type="dxa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Private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 (2, 2)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0 (0.0, 0.0)</w:t>
            </w: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100</w:t>
            </w:r>
          </w:p>
        </w:tc>
        <w:tc>
          <w:tcPr>
            <w:tcW w:w="1057" w:type="dxa"/>
            <w:vMerge w:val="restart"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  <w:r w:rsidRPr="002E51DD">
              <w:rPr>
                <w:i/>
                <w:lang w:val="en-GB"/>
              </w:rPr>
              <w:t>0.992</w:t>
            </w:r>
          </w:p>
        </w:tc>
      </w:tr>
      <w:tr w:rsidR="006605CD" w:rsidRPr="00290F68" w:rsidTr="0068560A">
        <w:trPr>
          <w:trHeight w:val="257"/>
          <w:jc w:val="center"/>
        </w:trPr>
        <w:tc>
          <w:tcPr>
            <w:tcW w:w="2988" w:type="dxa"/>
          </w:tcPr>
          <w:p w:rsidR="006605CD" w:rsidRPr="00290F68" w:rsidRDefault="006605CD" w:rsidP="0068560A">
            <w:pPr>
              <w:jc w:val="both"/>
              <w:rPr>
                <w:b/>
                <w:lang w:val="en-GB"/>
              </w:rPr>
            </w:pPr>
            <w:r w:rsidRPr="00290F68">
              <w:rPr>
                <w:b/>
                <w:lang w:val="en-GB"/>
              </w:rPr>
              <w:t xml:space="preserve">     Public</w:t>
            </w:r>
          </w:p>
        </w:tc>
        <w:tc>
          <w:tcPr>
            <w:tcW w:w="984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20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11</w:t>
            </w:r>
          </w:p>
        </w:tc>
        <w:tc>
          <w:tcPr>
            <w:tcW w:w="112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11</w:t>
            </w:r>
          </w:p>
        </w:tc>
        <w:tc>
          <w:tcPr>
            <w:tcW w:w="1266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0</w:t>
            </w:r>
          </w:p>
        </w:tc>
        <w:tc>
          <w:tcPr>
            <w:tcW w:w="1829" w:type="dxa"/>
            <w:vAlign w:val="center"/>
          </w:tcPr>
          <w:p w:rsidR="006605CD" w:rsidRPr="00290F68" w:rsidRDefault="006605CD" w:rsidP="0068560A">
            <w:pPr>
              <w:jc w:val="center"/>
              <w:rPr>
                <w:lang w:val="en-GB"/>
              </w:rPr>
            </w:pPr>
            <w:r w:rsidRPr="00290F68">
              <w:rPr>
                <w:lang w:val="en-GB"/>
              </w:rPr>
              <w:t>20 (20, 20)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rFonts w:ascii="Calibri" w:hAnsi="Calibri" w:cs="Times New Roman"/>
                <w:color w:val="000000"/>
                <w:lang w:val="en-GB" w:eastAsia="es-ES"/>
              </w:rPr>
            </w:pPr>
            <w:r w:rsidRPr="002E51DD">
              <w:rPr>
                <w:rFonts w:ascii="Calibri" w:hAnsi="Calibri" w:cs="Times New Roman"/>
                <w:color w:val="000000"/>
                <w:lang w:val="en-GB" w:eastAsia="es-ES"/>
              </w:rPr>
              <w:t>100.0 (100.0, 100.0)</w:t>
            </w:r>
          </w:p>
        </w:tc>
        <w:tc>
          <w:tcPr>
            <w:tcW w:w="2110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55 (33.2, 76.8)</w:t>
            </w:r>
          </w:p>
        </w:tc>
        <w:tc>
          <w:tcPr>
            <w:tcW w:w="1475" w:type="dxa"/>
            <w:vAlign w:val="center"/>
          </w:tcPr>
          <w:p w:rsidR="006605CD" w:rsidRPr="002E51DD" w:rsidRDefault="006605CD" w:rsidP="0068560A">
            <w:pPr>
              <w:jc w:val="center"/>
              <w:rPr>
                <w:lang w:val="en-GB"/>
              </w:rPr>
            </w:pPr>
            <w:r w:rsidRPr="002E51DD">
              <w:rPr>
                <w:lang w:val="en-GB"/>
              </w:rPr>
              <w:t>45</w:t>
            </w:r>
          </w:p>
        </w:tc>
        <w:tc>
          <w:tcPr>
            <w:tcW w:w="1057" w:type="dxa"/>
            <w:vMerge/>
            <w:vAlign w:val="center"/>
          </w:tcPr>
          <w:p w:rsidR="006605CD" w:rsidRPr="002E51DD" w:rsidRDefault="006605CD" w:rsidP="0068560A">
            <w:pPr>
              <w:jc w:val="center"/>
              <w:rPr>
                <w:i/>
                <w:lang w:val="en-GB"/>
              </w:rPr>
            </w:pPr>
          </w:p>
        </w:tc>
      </w:tr>
    </w:tbl>
    <w:p w:rsidR="006605CD" w:rsidRDefault="006605CD" w:rsidP="006605CD">
      <w:pPr>
        <w:jc w:val="center"/>
        <w:rPr>
          <w:sz w:val="20"/>
          <w:szCs w:val="20"/>
          <w:lang w:val="en-GB"/>
        </w:rPr>
      </w:pPr>
    </w:p>
    <w:p w:rsidR="006605CD" w:rsidRDefault="006605CD" w:rsidP="006605CD">
      <w:pPr>
        <w:rPr>
          <w:sz w:val="20"/>
          <w:szCs w:val="20"/>
          <w:lang w:val="en-GB"/>
        </w:rPr>
      </w:pPr>
      <w:r w:rsidRPr="00290F68">
        <w:rPr>
          <w:sz w:val="20"/>
          <w:szCs w:val="20"/>
          <w:lang w:val="en-GB"/>
        </w:rPr>
        <w:t xml:space="preserve">SDR: Statutory disease reporting; MDR: Microbiological </w:t>
      </w:r>
      <w:r w:rsidRPr="002E51DD">
        <w:rPr>
          <w:sz w:val="20"/>
          <w:szCs w:val="20"/>
          <w:lang w:val="en-GB"/>
        </w:rPr>
        <w:t xml:space="preserve">reporting </w:t>
      </w:r>
      <w:r>
        <w:rPr>
          <w:sz w:val="20"/>
          <w:szCs w:val="20"/>
          <w:lang w:val="en-GB"/>
        </w:rPr>
        <w:t xml:space="preserve">system </w:t>
      </w:r>
    </w:p>
    <w:p w:rsidR="006605CD" w:rsidRDefault="006605CD" w:rsidP="006605CD">
      <w:pPr>
        <w:rPr>
          <w:sz w:val="20"/>
          <w:szCs w:val="20"/>
          <w:lang w:val="en-GB"/>
        </w:rPr>
      </w:pPr>
    </w:p>
    <w:p w:rsidR="006605CD" w:rsidRPr="006605CD" w:rsidRDefault="006605CD" w:rsidP="006605CD">
      <w:pPr>
        <w:rPr>
          <w:sz w:val="20"/>
          <w:szCs w:val="20"/>
          <w:lang w:val="en-GB"/>
        </w:rPr>
        <w:sectPr w:rsidR="006605CD" w:rsidRPr="006605CD" w:rsidSect="006605CD">
          <w:pgSz w:w="16838" w:h="11906" w:orient="landscape" w:code="9"/>
          <w:pgMar w:top="1418" w:right="1418" w:bottom="426" w:left="1418" w:header="709" w:footer="709" w:gutter="0"/>
          <w:cols w:space="708"/>
          <w:docGrid w:linePitch="360"/>
        </w:sectPr>
      </w:pPr>
    </w:p>
    <w:p w:rsidR="004670F1" w:rsidRDefault="006605CD" w:rsidP="006605CD">
      <w:bookmarkStart w:id="0" w:name="_GoBack"/>
      <w:bookmarkEnd w:id="0"/>
    </w:p>
    <w:sectPr w:rsidR="004670F1" w:rsidSect="006605CD">
      <w:pgSz w:w="16838" w:h="11906" w:orient="landscape" w:code="9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7B9"/>
    <w:rsid w:val="001F37B9"/>
    <w:rsid w:val="006605CD"/>
    <w:rsid w:val="007866F7"/>
    <w:rsid w:val="00F5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41607"/>
  <w15:chartTrackingRefBased/>
  <w15:docId w15:val="{2EC11F20-4381-409D-BBCD-057A670F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60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05CD"/>
    <w:pPr>
      <w:spacing w:after="200" w:line="276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60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05C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6605CD"/>
  </w:style>
  <w:style w:type="character" w:styleId="nfasis">
    <w:name w:val="Emphasis"/>
    <w:basedOn w:val="Fuentedeprrafopredeter"/>
    <w:uiPriority w:val="20"/>
    <w:qFormat/>
    <w:rsid w:val="006605CD"/>
    <w:rPr>
      <w:i/>
      <w:iCs/>
    </w:rPr>
  </w:style>
  <w:style w:type="paragraph" w:customStyle="1" w:styleId="Default">
    <w:name w:val="Default"/>
    <w:rsid w:val="006605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6605CD"/>
    <w:rPr>
      <w:color w:val="808080"/>
    </w:rPr>
  </w:style>
  <w:style w:type="character" w:customStyle="1" w:styleId="dbox-bold">
    <w:name w:val="dbox-bold"/>
    <w:basedOn w:val="Fuentedeprrafopredeter"/>
    <w:rsid w:val="006605CD"/>
  </w:style>
  <w:style w:type="paragraph" w:styleId="Encabezado">
    <w:name w:val="header"/>
    <w:basedOn w:val="Normal"/>
    <w:link w:val="EncabezadoCar"/>
    <w:uiPriority w:val="99"/>
    <w:unhideWhenUsed/>
    <w:rsid w:val="006605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5CD"/>
  </w:style>
  <w:style w:type="paragraph" w:styleId="Piedepgina">
    <w:name w:val="footer"/>
    <w:basedOn w:val="Normal"/>
    <w:link w:val="PiedepginaCar"/>
    <w:uiPriority w:val="99"/>
    <w:unhideWhenUsed/>
    <w:rsid w:val="006605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5CD"/>
  </w:style>
  <w:style w:type="paragraph" w:styleId="HTMLconformatoprevio">
    <w:name w:val="HTML Preformatted"/>
    <w:basedOn w:val="Normal"/>
    <w:link w:val="HTMLconformatoprevioCar"/>
    <w:uiPriority w:val="99"/>
    <w:unhideWhenUsed/>
    <w:rsid w:val="006605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6605CD"/>
    <w:rPr>
      <w:rFonts w:ascii="Courier New" w:eastAsia="Times New Roman" w:hAnsi="Courier New" w:cs="Courier New"/>
      <w:sz w:val="20"/>
      <w:szCs w:val="20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6605C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605CD"/>
    <w:pPr>
      <w:spacing w:after="200"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605C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605C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605C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6E891-BA29-4036-A11E-1D69EAFD3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938</Words>
  <Characters>5353</Characters>
  <Application>Microsoft Office Word</Application>
  <DocSecurity>0</DocSecurity>
  <Lines>44</Lines>
  <Paragraphs>12</Paragraphs>
  <ScaleCrop>false</ScaleCrop>
  <Company>Fujitsu</Company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Corona Cortes</dc:creator>
  <cp:keywords/>
  <dc:description/>
  <cp:lastModifiedBy>Lorena Corona Cortes</cp:lastModifiedBy>
  <cp:revision>2</cp:revision>
  <dcterms:created xsi:type="dcterms:W3CDTF">2021-03-01T10:49:00Z</dcterms:created>
  <dcterms:modified xsi:type="dcterms:W3CDTF">2021-03-01T10:57:00Z</dcterms:modified>
</cp:coreProperties>
</file>