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8C8" w:rsidRDefault="009618C8">
      <w:pPr>
        <w:rPr>
          <w:rFonts w:ascii="Calibri" w:eastAsia="Calibri" w:hAnsi="Calibri" w:cs="Calibri"/>
          <w:color w:val="000000"/>
          <w:lang w:val="en-GB"/>
        </w:rPr>
      </w:pPr>
    </w:p>
    <w:p w:rsidR="009618C8" w:rsidRDefault="009618C8" w:rsidP="009618C8">
      <w:pPr>
        <w:spacing w:after="200" w:line="480" w:lineRule="auto"/>
        <w:jc w:val="both"/>
        <w:rPr>
          <w:rFonts w:ascii="Calibri" w:eastAsia="Calibri" w:hAnsi="Calibri" w:cs="Calibri"/>
          <w:b/>
          <w:color w:val="000000"/>
          <w:lang w:val="en-GB"/>
        </w:rPr>
      </w:pPr>
      <w:r w:rsidRPr="009618C8">
        <w:rPr>
          <w:rFonts w:ascii="Calibri" w:eastAsia="Calibri" w:hAnsi="Calibri" w:cs="Calibri"/>
          <w:b/>
          <w:color w:val="000000"/>
          <w:lang w:val="en-GB"/>
        </w:rPr>
        <w:t>Supplementary Information</w:t>
      </w:r>
    </w:p>
    <w:p w:rsidR="009618C8" w:rsidRPr="009618C8" w:rsidRDefault="009618C8" w:rsidP="009618C8">
      <w:pPr>
        <w:spacing w:after="200" w:line="480" w:lineRule="auto"/>
        <w:jc w:val="both"/>
        <w:rPr>
          <w:rFonts w:ascii="Calibri" w:eastAsia="Calibri" w:hAnsi="Calibri" w:cs="Calibri"/>
          <w:b/>
          <w:color w:val="000000"/>
          <w:lang w:val="en-GB"/>
        </w:rPr>
      </w:pPr>
      <w:r>
        <w:rPr>
          <w:rFonts w:ascii="Calibri" w:eastAsia="Calibri" w:hAnsi="Calibri" w:cs="Calibri"/>
          <w:b/>
          <w:color w:val="000000"/>
          <w:lang w:val="en-GB"/>
        </w:rPr>
        <w:t>Figure caption</w:t>
      </w:r>
    </w:p>
    <w:p w:rsidR="00F123F0" w:rsidRDefault="009618C8" w:rsidP="009618C8">
      <w:pPr>
        <w:spacing w:after="200" w:line="480" w:lineRule="auto"/>
        <w:jc w:val="both"/>
      </w:pPr>
      <w:r w:rsidRPr="009618C8">
        <w:rPr>
          <w:rFonts w:ascii="Calibri" w:eastAsia="Calibri" w:hAnsi="Calibri" w:cs="Calibri"/>
          <w:b/>
          <w:color w:val="000000"/>
          <w:lang w:val="en-GB"/>
        </w:rPr>
        <w:t>Figure 1 (a-f).</w:t>
      </w:r>
      <w:r w:rsidRPr="009618C8">
        <w:rPr>
          <w:rFonts w:ascii="Calibri" w:eastAsia="Calibri" w:hAnsi="Calibri" w:cs="Calibri"/>
          <w:color w:val="000000"/>
          <w:lang w:val="en-GB"/>
        </w:rPr>
        <w:t xml:space="preserve"> </w:t>
      </w:r>
      <w:bookmarkStart w:id="0" w:name="_GoBack"/>
      <w:bookmarkEnd w:id="0"/>
      <w:r w:rsidRPr="009618C8">
        <w:rPr>
          <w:rFonts w:ascii="Calibri" w:eastAsia="Calibri" w:hAnsi="Calibri" w:cs="Calibri"/>
          <w:color w:val="000000"/>
          <w:lang w:val="en-GB"/>
        </w:rPr>
        <w:t>Related-Samples Friedman's Two-Way Analysis of Variance by Ranks for neutrophil to lymphocyte ratio(a), platelet to lymphocyte ratio(b), albumin(c), fibrinogen (d) and cholesterol (e), and C-reactive protein (f).</w:t>
      </w:r>
    </w:p>
    <w:sectPr w:rsidR="00F123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C8"/>
    <w:rsid w:val="009618C8"/>
    <w:rsid w:val="00F1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1A74"/>
  <w15:chartTrackingRefBased/>
  <w15:docId w15:val="{FBA8B424-BAEC-4124-9BE5-1C598B71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Brunhilde</dc:creator>
  <cp:keywords/>
  <dc:description/>
  <cp:lastModifiedBy>Brunhilde</cp:lastModifiedBy>
  <cp:revision>1</cp:revision>
  <dcterms:created xsi:type="dcterms:W3CDTF">2024-08-31T14:52:00Z</dcterms:created>
  <dcterms:modified xsi:type="dcterms:W3CDTF">2024-08-31T14:54:00Z</dcterms:modified>
</cp:coreProperties>
</file>