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6" w:hRule="atLeast"/>
        </w:trPr>
        <w:tc>
          <w:tcPr>
            <w:tcW w:w="9254" w:type="dxa"/>
          </w:tcPr>
          <w:p>
            <w:pPr>
              <w:rPr>
                <w:rFonts w:ascii="Times New Roman" w:hAnsi="Times New Roman" w:eastAsia="Malgun Gothic" w:cs="Times New Roman"/>
                <w:b/>
                <w:sz w:val="32"/>
                <w:lang w:val="en-GB"/>
              </w:rPr>
            </w:pPr>
            <w:r>
              <w:rPr>
                <w:rFonts w:ascii="Times New Roman" w:hAnsi="Times New Roman" w:eastAsia="Malgun Gothic" w:cs="Times New Roman"/>
                <w:b/>
                <w:sz w:val="32"/>
                <w:lang w:val="en-GB"/>
              </w:rPr>
              <w:t>Entry for the Table of Contents</w:t>
            </w:r>
            <w:r>
              <w:rPr>
                <w:rFonts w:ascii="Times New Roman" w:hAnsi="Times New Roman" w:eastAsia="Malgun Gothic" w:cs="Times New Roman"/>
                <w:sz w:val="32"/>
                <w:lang w:val="en-GB"/>
              </w:rPr>
              <w:t xml:space="preserve"> </w:t>
            </w:r>
          </w:p>
          <w:p>
            <w:pPr>
              <w:pStyle w:val="12"/>
              <w:rPr>
                <w:rFonts w:hint="default" w:eastAsiaTheme="minorEastAsia"/>
                <w:b w:val="0"/>
                <w:sz w:val="22"/>
                <w:lang w:val="en-US" w:eastAsia="ko-KR"/>
              </w:rPr>
            </w:pPr>
            <w:r>
              <w:rPr>
                <w:rFonts w:hint="eastAsia"/>
                <w:snapToGrid/>
                <w:sz w:val="22"/>
                <w:szCs w:val="22"/>
              </w:rPr>
              <w:t>Zhanfeng</w:t>
            </w:r>
            <w:r>
              <w:rPr>
                <w:rFonts w:hint="eastAsia" w:eastAsia="宋体"/>
                <w:snapToGrid/>
                <w:sz w:val="22"/>
                <w:szCs w:val="22"/>
                <w:lang w:val="en-US" w:eastAsia="zh-CN"/>
              </w:rPr>
              <w:t xml:space="preserve"> </w:t>
            </w:r>
            <w:r>
              <w:rPr>
                <w:rFonts w:hint="eastAsia"/>
                <w:snapToGrid/>
                <w:sz w:val="22"/>
                <w:szCs w:val="22"/>
              </w:rPr>
              <w:t>Q</w:t>
            </w:r>
            <w:r>
              <w:rPr>
                <w:rFonts w:hint="eastAsia" w:eastAsia="宋体"/>
                <w:snapToGrid/>
                <w:sz w:val="22"/>
                <w:szCs w:val="22"/>
                <w:lang w:val="en-US" w:eastAsia="zh-CN"/>
              </w:rPr>
              <w:t>i</w:t>
            </w:r>
            <w:r>
              <w:rPr>
                <w:rFonts w:hint="eastAsia"/>
                <w:snapToGrid/>
                <w:sz w:val="22"/>
                <w:szCs w:val="22"/>
              </w:rPr>
              <w:t>，Xinshu</w:t>
            </w:r>
            <w:r>
              <w:rPr>
                <w:rFonts w:hint="eastAsia" w:eastAsia="宋体"/>
                <w:snapToGrid/>
                <w:sz w:val="22"/>
                <w:szCs w:val="22"/>
                <w:lang w:val="en-US" w:eastAsia="zh-CN"/>
              </w:rPr>
              <w:t xml:space="preserve"> </w:t>
            </w:r>
            <w:r>
              <w:rPr>
                <w:rFonts w:hint="eastAsia"/>
                <w:snapToGrid/>
                <w:sz w:val="22"/>
                <w:szCs w:val="22"/>
              </w:rPr>
              <w:t>Z</w:t>
            </w:r>
            <w:r>
              <w:rPr>
                <w:rFonts w:hint="eastAsia" w:eastAsia="宋体"/>
                <w:snapToGrid/>
                <w:sz w:val="22"/>
                <w:szCs w:val="22"/>
                <w:lang w:val="en-US" w:eastAsia="zh-CN"/>
              </w:rPr>
              <w:t>hao</w:t>
            </w:r>
            <w:r>
              <w:rPr>
                <w:rFonts w:hint="eastAsia"/>
                <w:snapToGrid/>
                <w:sz w:val="22"/>
                <w:szCs w:val="22"/>
              </w:rPr>
              <w:t>，Xiuli</w:t>
            </w:r>
            <w:r>
              <w:rPr>
                <w:rFonts w:hint="eastAsia" w:eastAsia="宋体"/>
                <w:snapToGrid/>
                <w:sz w:val="22"/>
                <w:szCs w:val="22"/>
                <w:lang w:val="en-US" w:eastAsia="zh-CN"/>
              </w:rPr>
              <w:t xml:space="preserve"> </w:t>
            </w:r>
            <w:r>
              <w:rPr>
                <w:rFonts w:hint="eastAsia"/>
                <w:snapToGrid/>
                <w:sz w:val="22"/>
                <w:szCs w:val="22"/>
              </w:rPr>
              <w:t>G</w:t>
            </w:r>
            <w:r>
              <w:rPr>
                <w:rFonts w:hint="eastAsia" w:eastAsia="宋体"/>
                <w:snapToGrid/>
                <w:sz w:val="22"/>
                <w:szCs w:val="22"/>
                <w:lang w:val="en-US" w:eastAsia="zh-CN"/>
              </w:rPr>
              <w:t>uo</w:t>
            </w:r>
            <w:r>
              <w:rPr>
                <w:sz w:val="22"/>
              </w:rPr>
              <w:t>*</w:t>
            </w:r>
            <w:r>
              <w:rPr>
                <w:rFonts w:hint="eastAsia" w:eastAsia="宋体"/>
                <w:snapToGrid/>
                <w:sz w:val="22"/>
                <w:szCs w:val="22"/>
                <w:lang w:val="en-US" w:eastAsia="zh-CN"/>
              </w:rPr>
              <w:t xml:space="preserve"> </w:t>
            </w:r>
            <w:r>
              <w:rPr>
                <w:rFonts w:hint="eastAsia"/>
                <w:snapToGrid/>
                <w:sz w:val="22"/>
                <w:szCs w:val="22"/>
              </w:rPr>
              <w:t>Shuo</w:t>
            </w:r>
            <w:r>
              <w:rPr>
                <w:rFonts w:hint="eastAsia" w:eastAsia="宋体"/>
                <w:snapToGrid/>
                <w:sz w:val="22"/>
                <w:szCs w:val="22"/>
                <w:lang w:val="en-US" w:eastAsia="zh-CN"/>
              </w:rPr>
              <w:t xml:space="preserve"> </w:t>
            </w:r>
            <w:r>
              <w:rPr>
                <w:rFonts w:hint="eastAsia"/>
                <w:snapToGrid/>
                <w:sz w:val="22"/>
                <w:szCs w:val="22"/>
              </w:rPr>
              <w:t>W</w:t>
            </w:r>
            <w:r>
              <w:rPr>
                <w:rFonts w:hint="eastAsia" w:eastAsia="宋体"/>
                <w:snapToGrid/>
                <w:sz w:val="22"/>
                <w:szCs w:val="22"/>
                <w:lang w:val="en-US" w:eastAsia="zh-CN"/>
              </w:rPr>
              <w:t>ang and Hengye Zhang</w:t>
            </w:r>
            <w:bookmarkStart w:id="0" w:name="_GoBack"/>
            <w:bookmarkEnd w:id="0"/>
          </w:p>
          <w:p>
            <w:pPr>
              <w:pStyle w:val="15"/>
              <w:tabs>
                <w:tab w:val="center" w:pos="1459"/>
              </w:tabs>
              <w:rPr>
                <w:rFonts w:eastAsiaTheme="minorEastAsia"/>
                <w:b/>
                <w:sz w:val="24"/>
                <w:lang w:eastAsia="ko-KR"/>
              </w:rPr>
            </w:pPr>
            <w:r>
              <w:rPr>
                <w:b/>
                <w:sz w:val="24"/>
              </w:rPr>
              <w:t>Title</w:t>
            </w:r>
            <w:r>
              <w:rPr>
                <w:rFonts w:hint="eastAsia" w:eastAsiaTheme="minorEastAsia"/>
                <w:b/>
                <w:sz w:val="24"/>
                <w:lang w:eastAsia="ko-KR"/>
              </w:rPr>
              <w:t>:</w:t>
            </w:r>
            <w:r>
              <w:rPr>
                <w:rFonts w:hint="eastAsia"/>
                <w:caps w:val="0"/>
                <w:sz w:val="22"/>
                <w:szCs w:val="22"/>
              </w:rPr>
              <w:t>Study on preparation mechanism by planetary ball mill</w:t>
            </w:r>
          </w:p>
          <w:p>
            <w:pPr>
              <w:rPr>
                <w:rFonts w:ascii="Malgun Gothic" w:hAnsi="Malgun Gothic" w:eastAsia="Malgun Gothic" w:cs="Times New Roman"/>
                <w:b/>
                <w:lang w:val="en-GB" w:eastAsia="ko-KR"/>
              </w:rPr>
            </w:pPr>
          </w:p>
          <w:tbl>
            <w:tblPr>
              <w:tblStyle w:val="5"/>
              <w:tblpPr w:leftFromText="141" w:rightFromText="141" w:vertAnchor="text" w:tblpY="1"/>
              <w:tblOverlap w:val="never"/>
              <w:tblW w:w="9923" w:type="dxa"/>
              <w:tblInd w:w="0" w:type="dxa"/>
              <w:tblLayout w:type="autofit"/>
              <w:tblCellMar>
                <w:top w:w="0" w:type="dxa"/>
                <w:left w:w="108" w:type="dxa"/>
                <w:bottom w:w="0" w:type="dxa"/>
                <w:right w:w="108" w:type="dxa"/>
              </w:tblCellMar>
            </w:tblPr>
            <w:tblGrid>
              <w:gridCol w:w="5027"/>
              <w:gridCol w:w="1000"/>
              <w:gridCol w:w="3896"/>
            </w:tblGrid>
            <w:tr>
              <w:tblPrEx>
                <w:tblCellMar>
                  <w:top w:w="0" w:type="dxa"/>
                  <w:left w:w="108" w:type="dxa"/>
                  <w:bottom w:w="0" w:type="dxa"/>
                  <w:right w:w="108" w:type="dxa"/>
                </w:tblCellMar>
              </w:tblPrEx>
              <w:trPr>
                <w:trHeight w:val="124" w:hRule="atLeast"/>
              </w:trPr>
              <w:tc>
                <w:tcPr>
                  <w:tcW w:w="6027" w:type="dxa"/>
                  <w:gridSpan w:val="2"/>
                  <w:tcBorders>
                    <w:top w:val="single" w:color="008080" w:sz="8" w:space="0"/>
                    <w:left w:val="nil"/>
                    <w:bottom w:val="nil"/>
                  </w:tcBorders>
                  <w:shd w:val="clear" w:color="auto" w:fill="auto"/>
                </w:tcPr>
                <w:p>
                  <w:pPr>
                    <w:pStyle w:val="13"/>
                  </w:pPr>
                </w:p>
              </w:tc>
              <w:tc>
                <w:tcPr>
                  <w:tcW w:w="3896" w:type="dxa"/>
                  <w:tcBorders>
                    <w:top w:val="single" w:color="008080" w:sz="8" w:space="0"/>
                    <w:left w:val="nil"/>
                    <w:bottom w:val="nil"/>
                  </w:tcBorders>
                  <w:shd w:val="clear" w:color="auto" w:fill="auto"/>
                </w:tcPr>
                <w:p>
                  <w:pPr>
                    <w:pStyle w:val="13"/>
                  </w:pPr>
                </w:p>
              </w:tc>
            </w:tr>
            <w:tr>
              <w:tblPrEx>
                <w:tblCellMar>
                  <w:top w:w="0" w:type="dxa"/>
                  <w:left w:w="108" w:type="dxa"/>
                  <w:bottom w:w="0" w:type="dxa"/>
                  <w:right w:w="108" w:type="dxa"/>
                </w:tblCellMar>
              </w:tblPrEx>
              <w:trPr>
                <w:trHeight w:val="2835" w:hRule="exact"/>
              </w:trPr>
              <w:tc>
                <w:tcPr>
                  <w:tcW w:w="5027" w:type="dxa"/>
                  <w:tcBorders>
                    <w:top w:val="nil"/>
                    <w:left w:val="nil"/>
                    <w:bottom w:val="nil"/>
                    <w:right w:val="nil"/>
                  </w:tcBorders>
                  <w:shd w:val="clear" w:color="auto" w:fill="auto"/>
                </w:tcPr>
                <w:p>
                  <w:pPr>
                    <w:rPr>
                      <w:rFonts w:hint="eastAsia" w:ascii="Segoe Print" w:hAnsi="Segoe Print" w:eastAsia="Malgun Gothic" w:cs="Segoe Print"/>
                      <w:kern w:val="2"/>
                      <w:sz w:val="16"/>
                      <w:szCs w:val="16"/>
                      <w:lang w:val="en-US" w:eastAsia="zh-CN" w:bidi="ar-SA"/>
                    </w:rPr>
                  </w:pPr>
                  <w:r>
                    <w:rPr>
                      <w:rFonts w:hint="default" w:ascii="Helvetica" w:hAnsi="Helvetica" w:eastAsia="Malgun Gothic" w:cs="Helvetica"/>
                      <w:kern w:val="2"/>
                      <w:sz w:val="16"/>
                      <w:szCs w:val="16"/>
                      <w:lang w:val="en-US" w:eastAsia="zh-CN" w:bidi="ar-SA"/>
                    </w:rPr>
                    <w:t>Nanometer fly ash was obtained using planetary mill. Under ideal conditions, the entire motion process of planetary ball mill preparation can be divided into two stages: centrifugal motion state and impact motion state. The ratio of the two is approximately 3:2, with centrifugal motion occupying the dominant position and impact motion being negligible.</w:t>
                  </w:r>
                </w:p>
              </w:tc>
              <w:tc>
                <w:tcPr>
                  <w:tcW w:w="4896" w:type="dxa"/>
                  <w:gridSpan w:val="2"/>
                  <w:tcBorders>
                    <w:top w:val="nil"/>
                    <w:left w:val="nil"/>
                    <w:bottom w:val="nil"/>
                    <w:right w:val="nil"/>
                  </w:tcBorders>
                  <w:shd w:val="clear" w:color="auto" w:fill="F3F3F3"/>
                  <w:vAlign w:val="center"/>
                </w:tcPr>
                <w:p>
                  <w:pPr>
                    <w:pStyle w:val="16"/>
                    <w:framePr w:hSpace="0" w:wrap="auto" w:vAnchor="margin" w:hAnchor="text" w:yAlign="inline"/>
                    <w:spacing w:line="240" w:lineRule="auto"/>
                    <w:jc w:val="center"/>
                    <w:rPr>
                      <w:rFonts w:eastAsiaTheme="minorEastAsia"/>
                      <w:lang w:eastAsia="ko-KR"/>
                    </w:rPr>
                  </w:pPr>
                  <w:r>
                    <w:drawing>
                      <wp:inline distT="0" distB="0" distL="114300" distR="114300">
                        <wp:extent cx="2804160" cy="1402080"/>
                        <wp:effectExtent l="0" t="0" r="15240" b="7620"/>
                        <wp:docPr id="1" name="图片 1" descr="C:\Users\Administrator\Desktop\toc1 (2).pngtoc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toc1 (2).pngtoc1 (2)"/>
                                <pic:cNvPicPr>
                                  <a:picLocks noChangeAspect="1"/>
                                </pic:cNvPicPr>
                              </pic:nvPicPr>
                              <pic:blipFill>
                                <a:blip r:embed="rId4"/>
                                <a:srcRect/>
                                <a:stretch>
                                  <a:fillRect/>
                                </a:stretch>
                              </pic:blipFill>
                              <pic:spPr>
                                <a:xfrm>
                                  <a:off x="0" y="0"/>
                                  <a:ext cx="2804160" cy="140208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835" w:hRule="exact"/>
              </w:trPr>
              <w:tc>
                <w:tcPr>
                  <w:tcW w:w="5027" w:type="dxa"/>
                  <w:tcBorders>
                    <w:top w:val="nil"/>
                    <w:left w:val="nil"/>
                    <w:bottom w:val="nil"/>
                    <w:right w:val="nil"/>
                  </w:tcBorders>
                  <w:shd w:val="clear" w:color="auto" w:fill="auto"/>
                </w:tcPr>
                <w:p>
                  <w:pPr>
                    <w:rPr>
                      <w:rFonts w:ascii="Segoe Print" w:hAnsi="Segoe Print" w:eastAsia="Malgun Gothic" w:cs="Segoe Print"/>
                      <w:kern w:val="2"/>
                      <w:sz w:val="16"/>
                      <w:szCs w:val="16"/>
                      <w:lang w:val="en-GB" w:eastAsia="zh-CN" w:bidi="ar-SA"/>
                    </w:rPr>
                  </w:pPr>
                  <w:r>
                    <w:rPr>
                      <w:rFonts w:hint="default" w:ascii="Helvetica" w:hAnsi="Helvetica" w:eastAsia="Malgun Gothic" w:cs="Helvetica"/>
                      <w:kern w:val="2"/>
                      <w:sz w:val="16"/>
                      <w:szCs w:val="16"/>
                      <w:lang w:val="en-US" w:eastAsia="zh-CN" w:bidi="ar-SA"/>
                    </w:rPr>
                    <w:t xml:space="preserve">The grinding rate coefficient is proposed, and a mechanism function for the preparation of nanomaterials in planetary ball mills is established. The grinding rate coefficient is only related to the material hardness. The grinding rate coefficient of different materials need be obtained by measuring experimentally. </w:t>
                  </w:r>
                </w:p>
              </w:tc>
              <w:tc>
                <w:tcPr>
                  <w:tcW w:w="4896" w:type="dxa"/>
                  <w:gridSpan w:val="2"/>
                  <w:tcBorders>
                    <w:top w:val="nil"/>
                    <w:left w:val="nil"/>
                    <w:bottom w:val="nil"/>
                    <w:right w:val="nil"/>
                  </w:tcBorders>
                  <w:shd w:val="clear" w:color="auto" w:fill="F3F3F3"/>
                  <w:vAlign w:val="center"/>
                </w:tcPr>
                <w:p>
                  <w:pPr>
                    <w:pStyle w:val="16"/>
                    <w:framePr w:hSpace="0" w:wrap="auto" w:vAnchor="margin" w:hAnchor="text" w:yAlign="inline"/>
                    <w:spacing w:line="240" w:lineRule="auto"/>
                    <w:jc w:val="center"/>
                    <w:rPr>
                      <w:rFonts w:hint="eastAsia" w:eastAsia="宋体"/>
                      <w:sz w:val="24"/>
                      <w:lang w:eastAsia="zh-CN"/>
                    </w:rPr>
                  </w:pPr>
                  <w:r>
                    <w:drawing>
                      <wp:inline distT="0" distB="0" distL="114300" distR="114300">
                        <wp:extent cx="2356485" cy="1178560"/>
                        <wp:effectExtent l="0" t="0" r="5715" b="2540"/>
                        <wp:docPr id="15" name="图片 4" descr="C:\Users\Administrator\Desktop\toc3.pngto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C:\Users\Administrator\Desktop\toc3.pngtoc3"/>
                                <pic:cNvPicPr>
                                  <a:picLocks noChangeAspect="1"/>
                                </pic:cNvPicPr>
                              </pic:nvPicPr>
                              <pic:blipFill>
                                <a:blip r:embed="rId5"/>
                                <a:srcRect/>
                                <a:stretch>
                                  <a:fillRect/>
                                </a:stretch>
                              </pic:blipFill>
                              <pic:spPr>
                                <a:xfrm>
                                  <a:off x="0" y="0"/>
                                  <a:ext cx="2356485" cy="117856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2835" w:hRule="exact"/>
              </w:trPr>
              <w:tc>
                <w:tcPr>
                  <w:tcW w:w="5027" w:type="dxa"/>
                  <w:tcBorders>
                    <w:top w:val="nil"/>
                    <w:left w:val="nil"/>
                    <w:bottom w:val="nil"/>
                    <w:right w:val="nil"/>
                  </w:tcBorders>
                  <w:shd w:val="clear" w:color="auto" w:fill="auto"/>
                </w:tcPr>
                <w:p>
                  <w:pPr>
                    <w:rPr>
                      <w:rFonts w:ascii="Segoe Print" w:hAnsi="Segoe Print" w:eastAsia="Malgun Gothic" w:cs="Segoe Print"/>
                      <w:kern w:val="2"/>
                      <w:sz w:val="16"/>
                      <w:szCs w:val="16"/>
                      <w:lang w:val="en-GB" w:eastAsia="zh-CN" w:bidi="ar-SA"/>
                    </w:rPr>
                  </w:pPr>
                  <w:r>
                    <w:rPr>
                      <w:rFonts w:hint="default" w:ascii="Helvetica" w:hAnsi="Helvetica" w:eastAsia="Malgun Gothic" w:cs="Helvetica"/>
                      <w:kern w:val="2"/>
                      <w:sz w:val="16"/>
                      <w:szCs w:val="16"/>
                      <w:lang w:val="en-GB" w:eastAsia="zh-CN" w:bidi="ar-SA"/>
                    </w:rPr>
                    <w:t>The mechanism function for the preparation of nanomaterials in planetary ball mills can be applied to the preparation of fly ash nanomaterials with grinding particle sizes above 1300 nm, with an experimental error of within 5%. For other nanomaterials, there is also an applicable grinding particle size threshold that can be directly applied to this mechanism function.</w:t>
                  </w:r>
                </w:p>
              </w:tc>
              <w:tc>
                <w:tcPr>
                  <w:tcW w:w="4896" w:type="dxa"/>
                  <w:gridSpan w:val="2"/>
                  <w:tcBorders>
                    <w:top w:val="nil"/>
                    <w:left w:val="nil"/>
                    <w:bottom w:val="nil"/>
                    <w:right w:val="nil"/>
                  </w:tcBorders>
                  <w:shd w:val="clear" w:color="auto" w:fill="F3F3F3"/>
                  <w:vAlign w:val="center"/>
                </w:tcPr>
                <w:p>
                  <w:pPr>
                    <w:pStyle w:val="16"/>
                    <w:framePr w:hSpace="0" w:wrap="auto" w:vAnchor="margin" w:hAnchor="text" w:yAlign="inline"/>
                    <w:spacing w:line="240" w:lineRule="auto"/>
                    <w:jc w:val="center"/>
                    <w:rPr>
                      <w:rFonts w:hint="eastAsia" w:eastAsia="宋体"/>
                      <w:sz w:val="24"/>
                      <w:lang w:eastAsia="zh-CN"/>
                    </w:rPr>
                  </w:pPr>
                  <w:r>
                    <w:drawing>
                      <wp:inline distT="0" distB="0" distL="114300" distR="114300">
                        <wp:extent cx="2374265" cy="1186815"/>
                        <wp:effectExtent l="0" t="0" r="6985" b="13335"/>
                        <wp:docPr id="14" name="图片 3" descr="C:\Users\Administrator\Desktop\toc2.pngto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C:\Users\Administrator\Desktop\toc2.pngtoc2"/>
                                <pic:cNvPicPr>
                                  <a:picLocks noChangeAspect="1"/>
                                </pic:cNvPicPr>
                              </pic:nvPicPr>
                              <pic:blipFill>
                                <a:blip r:embed="rId6"/>
                                <a:srcRect/>
                                <a:stretch>
                                  <a:fillRect/>
                                </a:stretch>
                              </pic:blipFill>
                              <pic:spPr>
                                <a:xfrm>
                                  <a:off x="0" y="0"/>
                                  <a:ext cx="2374265" cy="1186815"/>
                                </a:xfrm>
                                <a:prstGeom prst="rect">
                                  <a:avLst/>
                                </a:prstGeom>
                                <a:noFill/>
                                <a:ln>
                                  <a:noFill/>
                                </a:ln>
                              </pic:spPr>
                            </pic:pic>
                          </a:graphicData>
                        </a:graphic>
                      </wp:inline>
                    </w:drawing>
                  </w:r>
                </w:p>
              </w:tc>
            </w:tr>
          </w:tbl>
          <w:p>
            <w:pPr>
              <w:rPr>
                <w:lang w:eastAsia="ko-KR"/>
              </w:rPr>
            </w:pPr>
          </w:p>
        </w:tc>
      </w:tr>
    </w:tbl>
    <w:p>
      <w:pPr>
        <w:rPr>
          <w:lang w:eastAsia="ko-KR"/>
        </w:rPr>
      </w:pPr>
    </w:p>
    <w:p>
      <w:pPr>
        <w:widowControl/>
        <w:jc w:val="left"/>
        <w:rPr>
          <w:rFonts w:ascii="Times New Roman" w:hAnsi="Times New Roman" w:cs="Times New Roman"/>
          <w:sz w:val="22"/>
          <w:lang w:eastAsia="ko-KR"/>
        </w:rPr>
      </w:pPr>
    </w:p>
    <w:sectPr>
      <w:pgSz w:w="11906" w:h="16838"/>
      <w:pgMar w:top="1701" w:right="1440" w:bottom="1440" w:left="1440"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Malgun Gothic">
    <w:panose1 w:val="020B0503020000020004"/>
    <w:charset w:val="81"/>
    <w:family w:val="auto"/>
    <w:pitch w:val="default"/>
    <w:sig w:usb0="9000002F" w:usb1="29D77CFB" w:usb2="00000012" w:usb3="00000000" w:csb0="00080001" w:csb1="00000000"/>
  </w:font>
  <w:font w:name="MS Mincho">
    <w:altName w:val="MS UI Gothic"/>
    <w:panose1 w:val="02020609040205080304"/>
    <w:charset w:val="80"/>
    <w:family w:val="modern"/>
    <w:pitch w:val="default"/>
    <w:sig w:usb0="00000000" w:usb1="00000000" w:usb2="08000012" w:usb3="00000000" w:csb0="4002009F" w:csb1="DFD7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30204"/>
    <w:charset w:val="00"/>
    <w:family w:val="auto"/>
    <w:pitch w:val="default"/>
    <w:sig w:usb0="00000000" w:usb1="00000000" w:usb2="00000000" w:usb3="00000000" w:csb0="00000093" w:csb1="00000000"/>
  </w:font>
  <w:font w:name="MS UI 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 w:name="Segoe UI Semilight">
    <w:panose1 w:val="020B04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800"/>
  <w:displayHorizontalDrawingGridEvery w:val="0"/>
  <w:displayVerticalDrawingGridEvery w:val="2"/>
  <w:noPunctuationKerning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OTY5MjEwZTk4Y2U5MTlkNzY4MDU3YTQ2MjZiMjMifQ=="/>
  </w:docVars>
  <w:rsids>
    <w:rsidRoot w:val="000871E4"/>
    <w:rsid w:val="00032B4F"/>
    <w:rsid w:val="000871E4"/>
    <w:rsid w:val="00140BB9"/>
    <w:rsid w:val="001669B0"/>
    <w:rsid w:val="00173886"/>
    <w:rsid w:val="00190B6D"/>
    <w:rsid w:val="001D189C"/>
    <w:rsid w:val="002174D1"/>
    <w:rsid w:val="0022436E"/>
    <w:rsid w:val="0027299C"/>
    <w:rsid w:val="00277093"/>
    <w:rsid w:val="002C02CB"/>
    <w:rsid w:val="002D57C0"/>
    <w:rsid w:val="00301C82"/>
    <w:rsid w:val="00365CAF"/>
    <w:rsid w:val="003A770B"/>
    <w:rsid w:val="003B5670"/>
    <w:rsid w:val="003D5D92"/>
    <w:rsid w:val="004A4256"/>
    <w:rsid w:val="00521538"/>
    <w:rsid w:val="00521ABC"/>
    <w:rsid w:val="00530DBE"/>
    <w:rsid w:val="00572434"/>
    <w:rsid w:val="005A044F"/>
    <w:rsid w:val="005B18EF"/>
    <w:rsid w:val="005E11A6"/>
    <w:rsid w:val="005E38B8"/>
    <w:rsid w:val="00675371"/>
    <w:rsid w:val="00683B4F"/>
    <w:rsid w:val="006C086D"/>
    <w:rsid w:val="006F3B6E"/>
    <w:rsid w:val="00704FE3"/>
    <w:rsid w:val="00754597"/>
    <w:rsid w:val="00793370"/>
    <w:rsid w:val="007C1B04"/>
    <w:rsid w:val="007D05F9"/>
    <w:rsid w:val="00806C7B"/>
    <w:rsid w:val="008564A8"/>
    <w:rsid w:val="00866C90"/>
    <w:rsid w:val="00890E8E"/>
    <w:rsid w:val="0089376F"/>
    <w:rsid w:val="008F05AB"/>
    <w:rsid w:val="00980C6A"/>
    <w:rsid w:val="009B5916"/>
    <w:rsid w:val="00A76430"/>
    <w:rsid w:val="00A8629E"/>
    <w:rsid w:val="00AB316C"/>
    <w:rsid w:val="00AB569E"/>
    <w:rsid w:val="00AF3C5B"/>
    <w:rsid w:val="00B3498E"/>
    <w:rsid w:val="00BB05D2"/>
    <w:rsid w:val="00BB5B1C"/>
    <w:rsid w:val="00C14535"/>
    <w:rsid w:val="00C34CAF"/>
    <w:rsid w:val="00C63B1C"/>
    <w:rsid w:val="00CA4AC9"/>
    <w:rsid w:val="00D74B6B"/>
    <w:rsid w:val="00D93381"/>
    <w:rsid w:val="00DE23C1"/>
    <w:rsid w:val="00DE695B"/>
    <w:rsid w:val="00E20E63"/>
    <w:rsid w:val="00E84439"/>
    <w:rsid w:val="00E85AA5"/>
    <w:rsid w:val="00EA5E59"/>
    <w:rsid w:val="00EC354A"/>
    <w:rsid w:val="00F22254"/>
    <w:rsid w:val="00F8328A"/>
    <w:rsid w:val="00F86188"/>
    <w:rsid w:val="00FC34CE"/>
    <w:rsid w:val="00FF4B25"/>
    <w:rsid w:val="04D34C9D"/>
    <w:rsid w:val="107B0543"/>
    <w:rsid w:val="10DF07FE"/>
    <w:rsid w:val="14A86DEC"/>
    <w:rsid w:val="16B5611E"/>
    <w:rsid w:val="1E7E2080"/>
    <w:rsid w:val="328073CF"/>
    <w:rsid w:val="34EC0C91"/>
    <w:rsid w:val="3A5603BB"/>
    <w:rsid w:val="3EBC63BD"/>
    <w:rsid w:val="435C742C"/>
    <w:rsid w:val="4B504CDC"/>
    <w:rsid w:val="567D7625"/>
    <w:rsid w:val="5C4519E9"/>
    <w:rsid w:val="642B0B72"/>
    <w:rsid w:val="6A206488"/>
    <w:rsid w:val="7AFD2F55"/>
    <w:rsid w:val="7B107577"/>
    <w:rsid w:val="7C9A77D7"/>
  </w:rsids>
  <m:mathPr>
    <m:mathFont m:val="Cambria Math"/>
    <m:brkBin m:val="before"/>
    <m:brkBinSub m:val="--"/>
    <m:smallFrac m:val="0"/>
    <m:dispDef/>
    <m:lMargin m:val="0"/>
    <m:rMargin m:val="0"/>
    <m:defJc m:val="centerGroup"/>
    <m:wrapIndent m:val="1440"/>
    <m:intLim m:val="subSup"/>
    <m:naryLim m:val="undOvr"/>
  </m:mathPr>
  <w:themeFontLang w:val="en-US" w:eastAsia="ko-KR" w:bidi="ta-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7"/>
    <w:semiHidden/>
    <w:unhideWhenUsed/>
    <w:qFormat/>
    <w:uiPriority w:val="99"/>
    <w:rPr>
      <w:rFonts w:asciiTheme="majorHAnsi" w:hAnsiTheme="majorHAnsi" w:eastAsiaTheme="majorEastAsia" w:cstheme="majorBidi"/>
      <w:sz w:val="18"/>
      <w:szCs w:val="18"/>
    </w:rPr>
  </w:style>
  <w:style w:type="paragraph" w:styleId="3">
    <w:name w:val="footer"/>
    <w:basedOn w:val="1"/>
    <w:link w:val="11"/>
    <w:autoRedefine/>
    <w:semiHidden/>
    <w:unhideWhenUsed/>
    <w:qFormat/>
    <w:uiPriority w:val="99"/>
    <w:pPr>
      <w:tabs>
        <w:tab w:val="center" w:pos="4513"/>
        <w:tab w:val="right" w:pos="9026"/>
      </w:tabs>
      <w:snapToGrid w:val="0"/>
    </w:pPr>
  </w:style>
  <w:style w:type="paragraph" w:styleId="4">
    <w:name w:val="header"/>
    <w:basedOn w:val="1"/>
    <w:link w:val="10"/>
    <w:autoRedefine/>
    <w:semiHidden/>
    <w:unhideWhenUsed/>
    <w:qFormat/>
    <w:uiPriority w:val="99"/>
    <w:pPr>
      <w:tabs>
        <w:tab w:val="center" w:pos="4513"/>
        <w:tab w:val="right" w:pos="9026"/>
      </w:tabs>
      <w:snapToGrid w:val="0"/>
    </w:p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000FF" w:themeColor="hyperlink"/>
      <w:u w:val="single"/>
      <w14:textFill>
        <w14:solidFill>
          <w14:schemeClr w14:val="hlink"/>
        </w14:solidFill>
      </w14:textFill>
    </w:rPr>
  </w:style>
  <w:style w:type="paragraph" w:customStyle="1" w:styleId="9">
    <w:name w:val="Default"/>
    <w:autoRedefine/>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ko-KR" w:bidi="ar-SA"/>
    </w:rPr>
  </w:style>
  <w:style w:type="character" w:customStyle="1" w:styleId="10">
    <w:name w:val="Header Char"/>
    <w:basedOn w:val="7"/>
    <w:link w:val="4"/>
    <w:autoRedefine/>
    <w:semiHidden/>
    <w:qFormat/>
    <w:uiPriority w:val="99"/>
    <w:rPr>
      <w:sz w:val="21"/>
      <w:lang w:eastAsia="zh-CN"/>
    </w:rPr>
  </w:style>
  <w:style w:type="character" w:customStyle="1" w:styleId="11">
    <w:name w:val="Footer Char"/>
    <w:basedOn w:val="7"/>
    <w:link w:val="3"/>
    <w:autoRedefine/>
    <w:semiHidden/>
    <w:qFormat/>
    <w:uiPriority w:val="99"/>
    <w:rPr>
      <w:sz w:val="21"/>
      <w:lang w:eastAsia="zh-CN"/>
    </w:rPr>
  </w:style>
  <w:style w:type="paragraph" w:customStyle="1" w:styleId="12">
    <w:name w:val="GAAuthors"/>
    <w:basedOn w:val="1"/>
    <w:autoRedefine/>
    <w:qFormat/>
    <w:uiPriority w:val="0"/>
    <w:pPr>
      <w:widowControl/>
      <w:spacing w:before="360" w:after="60" w:line="220" w:lineRule="exact"/>
      <w:jc w:val="left"/>
    </w:pPr>
    <w:rPr>
      <w:rFonts w:ascii="Times New Roman" w:hAnsi="Times New Roman" w:eastAsia="MS Mincho" w:cs="Times New Roman"/>
      <w:b/>
      <w:kern w:val="0"/>
      <w:sz w:val="18"/>
      <w:szCs w:val="20"/>
      <w:lang w:val="en-GB" w:eastAsia="ja-JP"/>
    </w:rPr>
  </w:style>
  <w:style w:type="paragraph" w:customStyle="1" w:styleId="13">
    <w:name w:val="GACatchPhrase"/>
    <w:basedOn w:val="1"/>
    <w:autoRedefine/>
    <w:qFormat/>
    <w:uiPriority w:val="0"/>
    <w:pPr>
      <w:widowControl/>
      <w:spacing w:before="40"/>
      <w:jc w:val="right"/>
    </w:pPr>
    <w:rPr>
      <w:rFonts w:ascii="Times New Roman" w:hAnsi="Times New Roman" w:eastAsia="MS Mincho" w:cs="Arial"/>
      <w:b/>
      <w:color w:val="008080"/>
      <w:kern w:val="0"/>
      <w:sz w:val="18"/>
      <w:szCs w:val="16"/>
      <w:lang w:val="en-GB" w:eastAsia="ja-JP"/>
    </w:rPr>
  </w:style>
  <w:style w:type="paragraph" w:customStyle="1" w:styleId="14">
    <w:name w:val="GAText"/>
    <w:basedOn w:val="1"/>
    <w:autoRedefine/>
    <w:qFormat/>
    <w:uiPriority w:val="0"/>
    <w:pPr>
      <w:widowControl/>
      <w:spacing w:before="120" w:line="220" w:lineRule="exact"/>
      <w:jc w:val="left"/>
    </w:pPr>
    <w:rPr>
      <w:rFonts w:ascii="Times New Roman" w:hAnsi="Times New Roman" w:eastAsia="MS Mincho" w:cs="Times New Roman"/>
      <w:color w:val="000000"/>
      <w:kern w:val="0"/>
      <w:sz w:val="18"/>
      <w:szCs w:val="24"/>
      <w:lang w:val="de-DE" w:eastAsia="ja-JP"/>
    </w:rPr>
  </w:style>
  <w:style w:type="paragraph" w:customStyle="1" w:styleId="15">
    <w:name w:val="GATitel"/>
    <w:basedOn w:val="12"/>
    <w:autoRedefine/>
    <w:qFormat/>
    <w:uiPriority w:val="0"/>
    <w:pPr>
      <w:spacing w:before="240"/>
    </w:pPr>
    <w:rPr>
      <w:b w:val="0"/>
    </w:rPr>
  </w:style>
  <w:style w:type="paragraph" w:customStyle="1" w:styleId="16">
    <w:name w:val="GAKeywords"/>
    <w:basedOn w:val="1"/>
    <w:autoRedefine/>
    <w:qFormat/>
    <w:uiPriority w:val="0"/>
    <w:pPr>
      <w:framePr w:hSpace="141" w:wrap="around" w:vAnchor="margin" w:hAnchor="text" w:y="673"/>
      <w:widowControl/>
      <w:spacing w:before="200" w:line="220" w:lineRule="exact"/>
      <w:jc w:val="left"/>
    </w:pPr>
    <w:rPr>
      <w:rFonts w:ascii="Times New Roman" w:hAnsi="Times New Roman" w:eastAsia="MS Mincho" w:cs="Times New Roman"/>
      <w:b/>
      <w:kern w:val="0"/>
      <w:sz w:val="18"/>
      <w:szCs w:val="24"/>
      <w:lang w:val="en-GB" w:eastAsia="ja-JP"/>
    </w:rPr>
  </w:style>
  <w:style w:type="character" w:customStyle="1" w:styleId="17">
    <w:name w:val="Balloon Text Char"/>
    <w:basedOn w:val="7"/>
    <w:link w:val="2"/>
    <w:autoRedefine/>
    <w:semiHidden/>
    <w:qFormat/>
    <w:uiPriority w:val="99"/>
    <w:rPr>
      <w:rFonts w:asciiTheme="majorHAnsi" w:hAnsiTheme="majorHAnsi" w:eastAsiaTheme="majorEastAsia" w:cstheme="majorBidi"/>
      <w:sz w:val="18"/>
      <w:szCs w:val="18"/>
      <w:lang w:eastAsia="zh-CN"/>
    </w:rPr>
  </w:style>
  <w:style w:type="paragraph" w:customStyle="1" w:styleId="18">
    <w:name w:val="Text Indent"/>
    <w:autoRedefine/>
    <w:qFormat/>
    <w:uiPriority w:val="0"/>
    <w:pPr>
      <w:spacing w:line="280" w:lineRule="exact"/>
      <w:ind w:firstLine="302"/>
      <w:jc w:val="both"/>
    </w:pPr>
    <w:rPr>
      <w:rFonts w:ascii="Times New Roman" w:hAnsi="Times New Roman" w:eastAsia="Times New Roman" w:cs="Times New Roman"/>
      <w:sz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FBFDF1C6AFE4FB2162137C0FE98B0" ma:contentTypeVersion="13" ma:contentTypeDescription="Create a new document." ma:contentTypeScope="" ma:versionID="9989e685739e53a88ae4b8b2316fbe4b">
  <xsd:schema xmlns:xsd="http://www.w3.org/2001/XMLSchema" xmlns:xs="http://www.w3.org/2001/XMLSchema" xmlns:p="http://schemas.microsoft.com/office/2006/metadata/properties" xmlns:ns3="fb522786-4c98-4b79-80c2-a85157e5160e" xmlns:ns4="afa4d13e-a399-4de1-936e-7e1ad0d0141d" targetNamespace="http://schemas.microsoft.com/office/2006/metadata/properties" ma:root="true" ma:fieldsID="96c13e53f907b8eb7ec5ea38f4664c4a" ns3:_="" ns4:_="">
    <xsd:import namespace="fb522786-4c98-4b79-80c2-a85157e5160e"/>
    <xsd:import namespace="afa4d13e-a399-4de1-936e-7e1ad0d014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22786-4c98-4b79-80c2-a85157e51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4d13e-a399-4de1-936e-7e1ad0d014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98638-2D95-4B08-BB87-9F427D656BF2}">
  <ds:schemaRefs/>
</ds:datastoreItem>
</file>

<file path=customXml/itemProps2.xml><?xml version="1.0" encoding="utf-8"?>
<ds:datastoreItem xmlns:ds="http://schemas.openxmlformats.org/officeDocument/2006/customXml" ds:itemID="{26B13133-E06A-4348-9AA7-7D360C10C795}">
  <ds:schemaRefs/>
</ds:datastoreItem>
</file>

<file path=customXml/itemProps3.xml><?xml version="1.0" encoding="utf-8"?>
<ds:datastoreItem xmlns:ds="http://schemas.openxmlformats.org/officeDocument/2006/customXml" ds:itemID="{2DFB41F9-177E-4E97-B68B-C1B38DB19A78}">
  <ds:schemaRefs/>
</ds:datastoreItem>
</file>

<file path=customXml/itemProps4.xml><?xml version="1.0" encoding="utf-8"?>
<ds:datastoreItem xmlns:ds="http://schemas.openxmlformats.org/officeDocument/2006/customXml" ds:itemID="{480FFA59-19CB-4779-96F4-8FD7E71623D7}">
  <ds:schemaRefs/>
</ds:datastoreItem>
</file>

<file path=docProps/app.xml><?xml version="1.0" encoding="utf-8"?>
<Properties xmlns="http://schemas.openxmlformats.org/officeDocument/2006/extended-properties" xmlns:vt="http://schemas.openxmlformats.org/officeDocument/2006/docPropsVTypes">
  <Template>Normal</Template>
  <Pages>1</Pages>
  <Words>187</Words>
  <Characters>1037</Characters>
  <Lines>26</Lines>
  <Paragraphs>7</Paragraphs>
  <TotalTime>1</TotalTime>
  <ScaleCrop>false</ScaleCrop>
  <LinksUpToDate>false</LinksUpToDate>
  <CharactersWithSpaces>1212</CharactersWithSpaces>
  <Application>WPS Office_12.1.0.16729_F1E327BC-269C-435d-A152-05C5408002CA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2021-02-17T09:34:00Z</dcterms:created>
  <dc:creator>user</dc:creator>
  <cp:lastModifiedBy>Drink Me Away</cp:lastModifiedBy>
  <dcterms:modified xsi:type="dcterms:W3CDTF">2024-05-14T04:43:30Z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0x0101000A4FBFDF1C6AFE4FB2162137C0FE98B0</vt:lpwstr>
  </property>
  <property fmtid="{D5CDD505-2E9C-101B-9397-08002B2CF9AE}" pid="3" name="KSOProductBuildVer">
    <vt:lpwstr>2052-12.1.0.16729</vt:lpwstr>
  </property>
  <property fmtid="{D5CDD505-2E9C-101B-9397-08002B2CF9AE}" pid="4" name="ICV">
    <vt:lpwstr>125B3D84430245C1BF6824234DEC8686_13</vt:lpwstr>
  </property>
</Properties>
</file>