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E63" w:rsidRPr="003C4C06" w:rsidRDefault="00E00E63" w:rsidP="003C4C06">
      <w:pPr>
        <w:pStyle w:val="BodyText"/>
        <w:spacing w:before="90" w:line="480" w:lineRule="auto"/>
        <w:ind w:left="-142" w:right="105"/>
        <w:jc w:val="center"/>
        <w:rPr>
          <w:sz w:val="20"/>
          <w:szCs w:val="20"/>
        </w:rPr>
      </w:pPr>
      <w:r w:rsidRPr="003C4C06">
        <w:rPr>
          <w:b/>
          <w:sz w:val="20"/>
          <w:szCs w:val="20"/>
        </w:rPr>
        <w:t xml:space="preserve">Table 1 </w:t>
      </w:r>
      <w:r w:rsidRPr="003C4C06">
        <w:rPr>
          <w:sz w:val="20"/>
          <w:szCs w:val="20"/>
        </w:rPr>
        <w:t>Screening of endophytic bacterial isolates for their plant growth promoting traits</w:t>
      </w:r>
    </w:p>
    <w:tbl>
      <w:tblPr>
        <w:tblStyle w:val="LightList"/>
        <w:tblW w:w="9242" w:type="dxa"/>
        <w:tblLook w:val="04A0" w:firstRow="1" w:lastRow="0" w:firstColumn="1" w:lastColumn="0" w:noHBand="0" w:noVBand="1"/>
      </w:tblPr>
      <w:tblGrid>
        <w:gridCol w:w="938"/>
        <w:gridCol w:w="1343"/>
        <w:gridCol w:w="1229"/>
        <w:gridCol w:w="1371"/>
        <w:gridCol w:w="1581"/>
        <w:gridCol w:w="807"/>
        <w:gridCol w:w="957"/>
        <w:gridCol w:w="1016"/>
      </w:tblGrid>
      <w:tr w:rsidR="00E00E63" w:rsidRPr="006A25EF" w:rsidTr="00582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Bacteria Isolates</w:t>
            </w:r>
          </w:p>
        </w:tc>
        <w:tc>
          <w:tcPr>
            <w:tcW w:w="1343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Ammonia production</w:t>
            </w:r>
          </w:p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(µgmol/ml</w:t>
            </w: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-1</w:t>
            </w: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Siderophore</w:t>
            </w:r>
          </w:p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production</w:t>
            </w:r>
          </w:p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(%)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Indole acetic acid (IAA)</w:t>
            </w:r>
          </w:p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(µg /ml-1)</w:t>
            </w:r>
          </w:p>
        </w:tc>
        <w:tc>
          <w:tcPr>
            <w:tcW w:w="1581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Phosphate solubilisation</w:t>
            </w:r>
          </w:p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(µg /ml-1)</w:t>
            </w:r>
          </w:p>
        </w:tc>
        <w:tc>
          <w:tcPr>
            <w:tcW w:w="807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Lipase</w:t>
            </w:r>
          </w:p>
        </w:tc>
        <w:tc>
          <w:tcPr>
            <w:tcW w:w="957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HCN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Pectinase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NL1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0.31 ± 0.01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58.45 ± 0.12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190  ± 0.51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33.6 ± 0.26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NL2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0.45 ± 0.15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71.9 ± 0.15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86.03  ± 1.85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28.53 ± 0.1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NR3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0.37 ± 0.23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63.84 ± 0.19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82.9  ± 0.4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17.8  ± 0.0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NL4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0.33 ± 1.64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59.02 ± 0.13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68.2  ± 0.5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35.97 ± 0.21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NL5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0.29 ± 0.65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57.97 ± 0.77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56.07  ± 1.52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28.97 ± 2.22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NR6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0.35 ± 0.28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68.61 ± 0.03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62.07  ± 0.65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34.1 ± 0.11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NL7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0.36 ± 0.03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65.9 ± 0.03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131.97  ± 0.28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23E2D">
              <w:rPr>
                <w:rFonts w:ascii="Times New Roman" w:hAnsi="Times New Roman" w:cs="Times New Roman"/>
                <w:sz w:val="18"/>
                <w:szCs w:val="18"/>
              </w:rPr>
              <w:t>36.07 ± 0.11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NL8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0.51 ± 1.32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47.1 ± 0.29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173.57  ± 1.15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35.06 ± 0.21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NS9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0.26 ± 0.72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66.03 ± 0.05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111  ± 1.85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34.6 ± 0.36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NL10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0.47 ± 0.01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60.65 ± 0.11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71.23  ± 2.00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34.13 ± 0.15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NL11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0.64 ± 0.01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55.23 ± 0.51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163.47  ± 0.81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33.83 ± 0.06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UL12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0.21 ± 0.06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68.61 ± 0.03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111.93  ± 1.43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40 ± 0.15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 w:colFirst="8" w:colLast="8"/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US13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0.20 ± 0.02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63.34 ± 0.24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76.8  ± 0.4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34.73 ± 0.06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NL14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0.51 ± 0.04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43.52 ± 0.22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224.7 ± 0.55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34.46 ± 0.11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US15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0.35 ± 0.01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69.12 ± 0.16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175.57± 0.5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32.03 ± 0.06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NS16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0.30 ± 0.01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59.21 ± 0.04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122.2  ± 0.62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29.17 ± 0.11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US17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0.25 ± 0.59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57.15 ± 0.21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54.6  ± 0.3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34.5 ± 0.11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1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UR18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0.37 ± 0.65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55.37 ± 0.33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76.8  ± 0.02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34.46 ± 0.06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bookmarkEnd w:id="0"/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UL19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0.28 ± 0.08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65.14 ± 0.16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1.7  ± 1.03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14.8 ± 0.51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UR20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0.49 ± 0.01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57.61 ± 0.15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65.57  ± 0.87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30.96 ± 0.06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NL21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0.29 ± 0.05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60.82 ± 0.15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108.33  ± 0.92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30.27 ± 0.25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NS22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0.17 ± 0.62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69.56 ± 0.26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77.2  ± 0.36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27.6  ± 0.34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UR23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0.24 ± 0.02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58.74 ± 0.22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161.53  ± 1.02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31.6 ± 0.1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Ul24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0.32 ± 0.02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65.53 ± 0.07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33.83  ± 0.20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35.36 ± 0.37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NL25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0.14 ± 0.02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38.92 ± 0.07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76.87  ± 1.90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30.37 ± 0.06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NL26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0.25 ± 0.06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53.17 ± 0.10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177.43  ± 0.92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35.17</w:t>
            </w:r>
            <w:r w:rsidRPr="00523E2D">
              <w:rPr>
                <w:rFonts w:ascii="Times New Roman" w:hAnsi="Times New Roman" w:cs="Times New Roman"/>
                <w:sz w:val="18"/>
                <w:szCs w:val="18"/>
              </w:rPr>
              <w:t xml:space="preserve"> ± 0.21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  <w:tr w:rsidR="00E00E63" w:rsidRPr="006A25E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8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UR27</w:t>
            </w:r>
          </w:p>
        </w:tc>
        <w:tc>
          <w:tcPr>
            <w:tcW w:w="1343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0.45 ± 0.15</w:t>
            </w:r>
          </w:p>
        </w:tc>
        <w:tc>
          <w:tcPr>
            <w:tcW w:w="1229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47.1 ± 0.29</w:t>
            </w:r>
          </w:p>
        </w:tc>
        <w:tc>
          <w:tcPr>
            <w:tcW w:w="137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73.3  ± 1.55</w:t>
            </w:r>
          </w:p>
        </w:tc>
        <w:tc>
          <w:tcPr>
            <w:tcW w:w="1581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32.56 ± 0.20</w:t>
            </w:r>
          </w:p>
        </w:tc>
        <w:tc>
          <w:tcPr>
            <w:tcW w:w="80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7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016" w:type="dxa"/>
            <w:vAlign w:val="center"/>
          </w:tcPr>
          <w:p w:rsidR="00E00E63" w:rsidRPr="00C265D3" w:rsidRDefault="00E00E63" w:rsidP="00582D1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265D3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</w:tr>
    </w:tbl>
    <w:p w:rsidR="00E00E63" w:rsidRDefault="00E00E63" w:rsidP="00E00E63">
      <w:pPr>
        <w:jc w:val="both"/>
        <w:rPr>
          <w:rFonts w:ascii="Times New Roman" w:hAnsi="Times New Roman" w:cs="Times New Roman"/>
        </w:rPr>
      </w:pPr>
      <w:r w:rsidRPr="00684D6F">
        <w:rPr>
          <w:rFonts w:ascii="Times New Roman" w:hAnsi="Times New Roman" w:cs="Times New Roman"/>
        </w:rPr>
        <w:t xml:space="preserve">   Values are</w:t>
      </w:r>
      <w:r>
        <w:rPr>
          <w:rFonts w:ascii="Times New Roman" w:hAnsi="Times New Roman" w:cs="Times New Roman"/>
        </w:rPr>
        <w:t xml:space="preserve"> means of three replicates ± SD</w:t>
      </w:r>
    </w:p>
    <w:p w:rsidR="00E00E63" w:rsidRDefault="00E00E63" w:rsidP="00E00E63">
      <w:pPr>
        <w:jc w:val="both"/>
        <w:rPr>
          <w:rFonts w:ascii="Times New Roman" w:hAnsi="Times New Roman" w:cs="Times New Roman"/>
        </w:rPr>
      </w:pPr>
    </w:p>
    <w:p w:rsidR="00E00E63" w:rsidRDefault="00E00E63" w:rsidP="00E00E63">
      <w:pPr>
        <w:jc w:val="both"/>
        <w:rPr>
          <w:rFonts w:ascii="Times New Roman" w:hAnsi="Times New Roman" w:cs="Times New Roman"/>
        </w:rPr>
      </w:pPr>
    </w:p>
    <w:p w:rsidR="00E00E63" w:rsidRDefault="00E00E63" w:rsidP="00E00E63">
      <w:pPr>
        <w:jc w:val="both"/>
        <w:rPr>
          <w:rFonts w:ascii="Times New Roman" w:hAnsi="Times New Roman" w:cs="Times New Roman"/>
        </w:rPr>
      </w:pPr>
    </w:p>
    <w:p w:rsidR="00E00E63" w:rsidRDefault="00E00E63" w:rsidP="00E00E63">
      <w:pPr>
        <w:jc w:val="both"/>
        <w:rPr>
          <w:rFonts w:ascii="Times New Roman" w:hAnsi="Times New Roman" w:cs="Times New Roman"/>
        </w:rPr>
      </w:pPr>
    </w:p>
    <w:p w:rsidR="00E00E63" w:rsidRDefault="00E00E63" w:rsidP="00E00E63">
      <w:pPr>
        <w:pStyle w:val="BodyText"/>
        <w:spacing w:before="90"/>
        <w:ind w:left="0" w:right="108"/>
        <w:rPr>
          <w:b/>
        </w:rPr>
      </w:pPr>
    </w:p>
    <w:p w:rsidR="003C4C06" w:rsidRDefault="003C4C06" w:rsidP="00E00E63">
      <w:pPr>
        <w:pStyle w:val="BodyText"/>
        <w:spacing w:before="90"/>
        <w:ind w:left="0" w:right="108"/>
        <w:rPr>
          <w:b/>
        </w:rPr>
      </w:pPr>
    </w:p>
    <w:p w:rsidR="00E00E63" w:rsidRPr="003C4C06" w:rsidRDefault="00E00E63" w:rsidP="00E00E63">
      <w:pPr>
        <w:pStyle w:val="BodyText"/>
        <w:spacing w:before="90"/>
        <w:ind w:left="0" w:right="108"/>
        <w:rPr>
          <w:sz w:val="20"/>
          <w:szCs w:val="20"/>
        </w:rPr>
      </w:pPr>
      <w:r w:rsidRPr="003C4C06">
        <w:rPr>
          <w:b/>
          <w:sz w:val="20"/>
          <w:szCs w:val="20"/>
        </w:rPr>
        <w:lastRenderedPageBreak/>
        <w:t xml:space="preserve">Table 2 </w:t>
      </w:r>
      <w:r w:rsidRPr="003C4C06">
        <w:rPr>
          <w:sz w:val="20"/>
          <w:szCs w:val="20"/>
        </w:rPr>
        <w:t>Characterisation of 16S rRNA gene of selected endophyt</w:t>
      </w:r>
      <w:r w:rsidR="003C4C06">
        <w:rPr>
          <w:sz w:val="20"/>
          <w:szCs w:val="20"/>
        </w:rPr>
        <w:t xml:space="preserve">ic bacteria with </w:t>
      </w:r>
      <w:r w:rsidRPr="003C4C06">
        <w:rPr>
          <w:sz w:val="20"/>
          <w:szCs w:val="20"/>
        </w:rPr>
        <w:t xml:space="preserve">their sequence accession numberof </w:t>
      </w:r>
      <w:r w:rsidRPr="003C4C06">
        <w:rPr>
          <w:i/>
          <w:sz w:val="20"/>
          <w:szCs w:val="20"/>
        </w:rPr>
        <w:t xml:space="preserve">Piper betle </w:t>
      </w:r>
      <w:r w:rsidRPr="003C4C06">
        <w:rPr>
          <w:sz w:val="20"/>
          <w:szCs w:val="20"/>
        </w:rPr>
        <w:t>L.</w:t>
      </w:r>
    </w:p>
    <w:p w:rsidR="00E00E63" w:rsidRPr="003C4C06" w:rsidRDefault="00E00E63" w:rsidP="00E00E63">
      <w:pPr>
        <w:pStyle w:val="BodyText"/>
        <w:spacing w:before="90"/>
        <w:ind w:left="-142" w:right="108"/>
      </w:pPr>
    </w:p>
    <w:tbl>
      <w:tblPr>
        <w:tblStyle w:val="LightList"/>
        <w:tblW w:w="0" w:type="auto"/>
        <w:tblLook w:val="04A0" w:firstRow="1" w:lastRow="0" w:firstColumn="1" w:lastColumn="0" w:noHBand="0" w:noVBand="1"/>
      </w:tblPr>
      <w:tblGrid>
        <w:gridCol w:w="1200"/>
        <w:gridCol w:w="1707"/>
        <w:gridCol w:w="1667"/>
        <w:gridCol w:w="2091"/>
        <w:gridCol w:w="1728"/>
      </w:tblGrid>
      <w:tr w:rsidR="00E00E63" w:rsidRPr="00131AA5" w:rsidTr="00582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shd w:val="clear" w:color="auto" w:fill="auto"/>
          </w:tcPr>
          <w:p w:rsidR="00E00E63" w:rsidRPr="00131AA5" w:rsidRDefault="00E00E63" w:rsidP="00582D18">
            <w:pPr>
              <w:widowControl w:val="0"/>
              <w:autoSpaceDE w:val="0"/>
              <w:autoSpaceDN w:val="0"/>
              <w:spacing w:before="90"/>
              <w:ind w:right="108"/>
              <w:jc w:val="center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Strain Code</w:t>
            </w:r>
          </w:p>
        </w:tc>
        <w:tc>
          <w:tcPr>
            <w:tcW w:w="1707" w:type="dxa"/>
            <w:shd w:val="clear" w:color="auto" w:fill="auto"/>
          </w:tcPr>
          <w:p w:rsidR="00E00E63" w:rsidRPr="00131AA5" w:rsidRDefault="00E00E63" w:rsidP="00582D18">
            <w:pPr>
              <w:widowControl w:val="0"/>
              <w:autoSpaceDE w:val="0"/>
              <w:autoSpaceDN w:val="0"/>
              <w:spacing w:before="90"/>
              <w:ind w:right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Query cover (%)</w:t>
            </w:r>
          </w:p>
        </w:tc>
        <w:tc>
          <w:tcPr>
            <w:tcW w:w="1667" w:type="dxa"/>
            <w:shd w:val="clear" w:color="auto" w:fill="auto"/>
          </w:tcPr>
          <w:p w:rsidR="00E00E63" w:rsidRPr="00131AA5" w:rsidRDefault="00E00E63" w:rsidP="00582D18">
            <w:pPr>
              <w:widowControl w:val="0"/>
              <w:autoSpaceDE w:val="0"/>
              <w:autoSpaceDN w:val="0"/>
              <w:spacing w:before="90"/>
              <w:ind w:right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Similarity (%)</w:t>
            </w:r>
          </w:p>
        </w:tc>
        <w:tc>
          <w:tcPr>
            <w:tcW w:w="2091" w:type="dxa"/>
            <w:shd w:val="clear" w:color="auto" w:fill="auto"/>
          </w:tcPr>
          <w:p w:rsidR="00E00E63" w:rsidRPr="00131AA5" w:rsidRDefault="00E00E63" w:rsidP="00582D18">
            <w:pPr>
              <w:widowControl w:val="0"/>
              <w:autoSpaceDE w:val="0"/>
              <w:autoSpaceDN w:val="0"/>
              <w:spacing w:before="90"/>
              <w:ind w:right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Closest sequence</w:t>
            </w:r>
          </w:p>
        </w:tc>
        <w:tc>
          <w:tcPr>
            <w:tcW w:w="1728" w:type="dxa"/>
            <w:shd w:val="clear" w:color="auto" w:fill="auto"/>
          </w:tcPr>
          <w:p w:rsidR="00E00E63" w:rsidRPr="00131AA5" w:rsidRDefault="00E00E63" w:rsidP="00582D18">
            <w:pPr>
              <w:widowControl w:val="0"/>
              <w:autoSpaceDE w:val="0"/>
              <w:autoSpaceDN w:val="0"/>
              <w:spacing w:before="90"/>
              <w:ind w:right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val="en-US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Genbank accession no.</w:t>
            </w:r>
          </w:p>
        </w:tc>
      </w:tr>
      <w:tr w:rsidR="00E00E63" w:rsidRPr="00834096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NL2</w:t>
            </w:r>
          </w:p>
        </w:tc>
        <w:tc>
          <w:tcPr>
            <w:tcW w:w="170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6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99%</w:t>
            </w:r>
          </w:p>
        </w:tc>
        <w:tc>
          <w:tcPr>
            <w:tcW w:w="2091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Serratia marcescens</w:t>
            </w:r>
          </w:p>
        </w:tc>
        <w:tc>
          <w:tcPr>
            <w:tcW w:w="1728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OR401335</w:t>
            </w:r>
          </w:p>
        </w:tc>
      </w:tr>
      <w:tr w:rsidR="00E00E63" w:rsidRPr="00834096" w:rsidTr="00582D18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NL7</w:t>
            </w:r>
          </w:p>
        </w:tc>
        <w:tc>
          <w:tcPr>
            <w:tcW w:w="170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6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2091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Pseudomonas</w:t>
            </w:r>
          </w:p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aeruginosa</w:t>
            </w:r>
          </w:p>
        </w:tc>
        <w:tc>
          <w:tcPr>
            <w:tcW w:w="1728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OR347773</w:t>
            </w:r>
          </w:p>
        </w:tc>
      </w:tr>
      <w:tr w:rsidR="00E00E63" w:rsidRPr="00834096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NL8</w:t>
            </w:r>
          </w:p>
        </w:tc>
        <w:tc>
          <w:tcPr>
            <w:tcW w:w="170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6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99.04%</w:t>
            </w:r>
          </w:p>
        </w:tc>
        <w:tc>
          <w:tcPr>
            <w:tcW w:w="2091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Bacillus velezensis</w:t>
            </w:r>
          </w:p>
        </w:tc>
        <w:tc>
          <w:tcPr>
            <w:tcW w:w="1728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OR400704</w:t>
            </w:r>
          </w:p>
        </w:tc>
      </w:tr>
      <w:tr w:rsidR="00E00E63" w:rsidRPr="00834096" w:rsidTr="00582D18">
        <w:trPr>
          <w:trHeight w:val="1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NL14</w:t>
            </w:r>
          </w:p>
        </w:tc>
        <w:tc>
          <w:tcPr>
            <w:tcW w:w="170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100%</w:t>
            </w:r>
          </w:p>
        </w:tc>
        <w:tc>
          <w:tcPr>
            <w:tcW w:w="1667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99.34%</w:t>
            </w:r>
          </w:p>
        </w:tc>
        <w:tc>
          <w:tcPr>
            <w:tcW w:w="2091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Enterobacter cloacea</w:t>
            </w:r>
          </w:p>
        </w:tc>
        <w:tc>
          <w:tcPr>
            <w:tcW w:w="1728" w:type="dxa"/>
          </w:tcPr>
          <w:p w:rsidR="00E00E63" w:rsidRPr="00D33F27" w:rsidRDefault="00E00E63" w:rsidP="00582D18">
            <w:pPr>
              <w:widowControl w:val="0"/>
              <w:autoSpaceDE w:val="0"/>
              <w:autoSpaceDN w:val="0"/>
              <w:spacing w:before="90" w:line="480" w:lineRule="auto"/>
              <w:ind w:right="10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33F2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OR400686</w:t>
            </w:r>
          </w:p>
        </w:tc>
      </w:tr>
    </w:tbl>
    <w:p w:rsidR="00E00E63" w:rsidRDefault="00E00E63" w:rsidP="00E00E63">
      <w:pPr>
        <w:jc w:val="both"/>
        <w:rPr>
          <w:rFonts w:ascii="Times New Roman" w:hAnsi="Times New Roman" w:cs="Times New Roman"/>
        </w:rPr>
      </w:pPr>
    </w:p>
    <w:p w:rsidR="00E00E63" w:rsidRPr="003C4C06" w:rsidRDefault="00E00E63" w:rsidP="003C4C06">
      <w:pPr>
        <w:jc w:val="center"/>
        <w:rPr>
          <w:rFonts w:ascii="Times New Roman" w:hAnsi="Times New Roman" w:cs="Times New Roman"/>
        </w:rPr>
      </w:pPr>
      <w:r w:rsidRPr="003C4C06">
        <w:rPr>
          <w:rFonts w:ascii="Times New Roman" w:hAnsi="Times New Roman" w:cs="Times New Roman"/>
          <w:b/>
        </w:rPr>
        <w:t>Table 3</w:t>
      </w:r>
      <w:r w:rsidRPr="003C4C06">
        <w:rPr>
          <w:rFonts w:ascii="Times New Roman" w:hAnsi="Times New Roman" w:cs="Times New Roman"/>
        </w:rPr>
        <w:t xml:space="preserve"> Plant growth promoting effect of endophytic bacteria on various growth traits of </w:t>
      </w:r>
      <w:r w:rsidR="003C4C06">
        <w:rPr>
          <w:rFonts w:ascii="Times New Roman" w:hAnsi="Times New Roman" w:cs="Times New Roman"/>
          <w:i/>
        </w:rPr>
        <w:t xml:space="preserve">P. </w:t>
      </w:r>
      <w:r w:rsidRPr="003C4C06">
        <w:rPr>
          <w:rFonts w:ascii="Times New Roman" w:hAnsi="Times New Roman" w:cs="Times New Roman"/>
          <w:i/>
        </w:rPr>
        <w:t xml:space="preserve">betle </w:t>
      </w:r>
      <w:r w:rsidRPr="003C4C06">
        <w:rPr>
          <w:rFonts w:ascii="Times New Roman" w:hAnsi="Times New Roman" w:cs="Times New Roman"/>
        </w:rPr>
        <w:t>L.</w:t>
      </w:r>
    </w:p>
    <w:tbl>
      <w:tblPr>
        <w:tblStyle w:val="LightList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418"/>
        <w:gridCol w:w="1275"/>
        <w:gridCol w:w="1134"/>
        <w:gridCol w:w="1418"/>
        <w:gridCol w:w="1417"/>
      </w:tblGrid>
      <w:tr w:rsidR="00E00E63" w:rsidRPr="00131AA5" w:rsidTr="00582D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shd w:val="clear" w:color="auto" w:fill="auto"/>
          </w:tcPr>
          <w:p w:rsidR="00E00E63" w:rsidRPr="00131AA5" w:rsidRDefault="00E00E63" w:rsidP="00582D1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Treatment</w:t>
            </w:r>
          </w:p>
        </w:tc>
        <w:tc>
          <w:tcPr>
            <w:tcW w:w="1276" w:type="dxa"/>
            <w:shd w:val="clear" w:color="auto" w:fill="auto"/>
          </w:tcPr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Shoot height (cm)</w:t>
            </w:r>
          </w:p>
        </w:tc>
        <w:tc>
          <w:tcPr>
            <w:tcW w:w="1418" w:type="dxa"/>
            <w:shd w:val="clear" w:color="auto" w:fill="auto"/>
          </w:tcPr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Shoot fresh weight (g)</w:t>
            </w:r>
          </w:p>
        </w:tc>
        <w:tc>
          <w:tcPr>
            <w:tcW w:w="1275" w:type="dxa"/>
            <w:shd w:val="clear" w:color="auto" w:fill="auto"/>
          </w:tcPr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Shoot dry weight (g)</w:t>
            </w:r>
          </w:p>
        </w:tc>
        <w:tc>
          <w:tcPr>
            <w:tcW w:w="1134" w:type="dxa"/>
            <w:shd w:val="clear" w:color="auto" w:fill="auto"/>
          </w:tcPr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Root length</w:t>
            </w:r>
          </w:p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(cm)</w:t>
            </w:r>
          </w:p>
        </w:tc>
        <w:tc>
          <w:tcPr>
            <w:tcW w:w="1418" w:type="dxa"/>
            <w:shd w:val="clear" w:color="auto" w:fill="auto"/>
          </w:tcPr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Roots fresh weight (g)</w:t>
            </w:r>
          </w:p>
        </w:tc>
        <w:tc>
          <w:tcPr>
            <w:tcW w:w="1417" w:type="dxa"/>
            <w:shd w:val="clear" w:color="auto" w:fill="auto"/>
          </w:tcPr>
          <w:p w:rsidR="00E00E63" w:rsidRPr="00131AA5" w:rsidRDefault="00E00E63" w:rsidP="00582D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1AA5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Roots dry weight (g)</w:t>
            </w:r>
          </w:p>
        </w:tc>
      </w:tr>
      <w:tr w:rsidR="00E00E63" w:rsidRPr="004B341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:rsidR="00E00E63" w:rsidRPr="00D11B87" w:rsidRDefault="00E00E63" w:rsidP="00582D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Control</w:t>
            </w:r>
          </w:p>
        </w:tc>
        <w:tc>
          <w:tcPr>
            <w:tcW w:w="1276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14.33±1.5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14.65 ± 1.17</w:t>
            </w:r>
          </w:p>
        </w:tc>
        <w:tc>
          <w:tcPr>
            <w:tcW w:w="1275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2.54 ± 0.39</w:t>
            </w:r>
          </w:p>
        </w:tc>
        <w:tc>
          <w:tcPr>
            <w:tcW w:w="1134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11.33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±0.57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2.67 ± 0.68</w:t>
            </w:r>
          </w:p>
        </w:tc>
        <w:tc>
          <w:tcPr>
            <w:tcW w:w="1417" w:type="dxa"/>
          </w:tcPr>
          <w:p w:rsidR="00E00E63" w:rsidRPr="00D11B87" w:rsidRDefault="00E00E63" w:rsidP="00582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0.48 ± 0.04</w:t>
            </w:r>
          </w:p>
        </w:tc>
      </w:tr>
      <w:tr w:rsidR="00E00E63" w:rsidRPr="004B341F" w:rsidTr="00582D18">
        <w:trPr>
          <w:trHeight w:val="7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:rsidR="00E00E63" w:rsidRPr="00D11B87" w:rsidRDefault="00E00E63" w:rsidP="00582D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NL2</w:t>
            </w:r>
          </w:p>
        </w:tc>
        <w:tc>
          <w:tcPr>
            <w:tcW w:w="1276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17.67±1.5 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16.58 ± 0.96 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275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3.42 ± 0.19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134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±1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4.91 ± 0.59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ns</w:t>
            </w:r>
          </w:p>
        </w:tc>
        <w:tc>
          <w:tcPr>
            <w:tcW w:w="1417" w:type="dxa"/>
          </w:tcPr>
          <w:p w:rsidR="00E00E63" w:rsidRPr="00D11B87" w:rsidRDefault="00E00E63" w:rsidP="00582D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1.21 ± 0.14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</w:tr>
      <w:tr w:rsidR="00E00E63" w:rsidRPr="004B341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:rsidR="00E00E63" w:rsidRPr="00D11B87" w:rsidRDefault="00E00E63" w:rsidP="00582D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NL7</w:t>
            </w:r>
          </w:p>
        </w:tc>
        <w:tc>
          <w:tcPr>
            <w:tcW w:w="1276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28.33±1.5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35.81±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1.25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  <w:tc>
          <w:tcPr>
            <w:tcW w:w="1275" w:type="dxa"/>
          </w:tcPr>
          <w:p w:rsidR="00E00E63" w:rsidRPr="00D11B87" w:rsidRDefault="00E00E63" w:rsidP="00582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5.67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±0.34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  <w:tc>
          <w:tcPr>
            <w:tcW w:w="1134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20.7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±1.15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8.72 ± 0.81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E00E63" w:rsidRPr="00D11B87" w:rsidRDefault="00E00E63" w:rsidP="00582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1.87 ± 0.09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</w:tr>
      <w:tr w:rsidR="00E00E63" w:rsidRPr="004B341F" w:rsidTr="00582D18">
        <w:trPr>
          <w:trHeight w:val="5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:rsidR="00E00E63" w:rsidRPr="00D11B87" w:rsidRDefault="00E00E63" w:rsidP="00582D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NL8</w:t>
            </w:r>
          </w:p>
        </w:tc>
        <w:tc>
          <w:tcPr>
            <w:tcW w:w="1276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19.33±1.5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32.98±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1.79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  <w:tc>
          <w:tcPr>
            <w:tcW w:w="1275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4.51 ± 4.7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1134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±0.58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7.66 ± 0.38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:rsidR="00E00E63" w:rsidRPr="00D11B87" w:rsidRDefault="00E00E63" w:rsidP="00582D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1.52 ± 0.05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</w:tr>
      <w:tr w:rsidR="00E00E63" w:rsidRPr="004B341F" w:rsidTr="00582D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:rsidR="00E00E63" w:rsidRPr="00D11B87" w:rsidRDefault="00E00E63" w:rsidP="00582D1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NL14</w:t>
            </w:r>
          </w:p>
        </w:tc>
        <w:tc>
          <w:tcPr>
            <w:tcW w:w="1276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18.67±1.5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27.38±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  <w:tc>
          <w:tcPr>
            <w:tcW w:w="1275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4.12 ± 0.57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134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15.33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±1.15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18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>6.82 ± 0.78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417" w:type="dxa"/>
          </w:tcPr>
          <w:p w:rsidR="00E00E63" w:rsidRPr="00D11B87" w:rsidRDefault="00E00E63" w:rsidP="00582D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1.35 ± 0.08 </w:t>
            </w:r>
            <w:r w:rsidRPr="00D11B87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****</w:t>
            </w:r>
          </w:p>
        </w:tc>
      </w:tr>
    </w:tbl>
    <w:p w:rsidR="00E00E63" w:rsidRPr="00514629" w:rsidRDefault="00E00E63" w:rsidP="00E00E63">
      <w:pPr>
        <w:widowControl w:val="0"/>
        <w:autoSpaceDE w:val="0"/>
        <w:autoSpaceDN w:val="0"/>
        <w:spacing w:before="90" w:after="0" w:line="240" w:lineRule="auto"/>
        <w:ind w:right="108"/>
        <w:jc w:val="both"/>
        <w:rPr>
          <w:rFonts w:ascii="Segoe UI" w:eastAsia="Times New Roman" w:hAnsi="Segoe UI" w:cs="Segoe UI"/>
          <w:color w:val="222222"/>
          <w:sz w:val="20"/>
          <w:szCs w:val="20"/>
          <w:shd w:val="clear" w:color="auto" w:fill="FFFFFF"/>
          <w:lang w:val="en-US"/>
        </w:rPr>
      </w:pPr>
      <w:r w:rsidRPr="00514629">
        <w:rPr>
          <w:rFonts w:ascii="Times New Roman" w:eastAsia="Times New Roman" w:hAnsi="Times New Roman" w:cs="Times New Roman"/>
          <w:sz w:val="20"/>
          <w:szCs w:val="20"/>
          <w:lang w:val="en-US"/>
        </w:rPr>
        <w:t>Data are means of three replicates±SD. Data with the same sign within each column are signifcantly different at p≤0.05 as determined by Tukey’s HSD tests</w:t>
      </w:r>
      <w:r w:rsidRPr="00514629">
        <w:rPr>
          <w:rFonts w:ascii="Segoe UI" w:eastAsia="Times New Roman" w:hAnsi="Segoe UI" w:cs="Segoe UI"/>
          <w:color w:val="222222"/>
          <w:sz w:val="20"/>
          <w:szCs w:val="20"/>
          <w:shd w:val="clear" w:color="auto" w:fill="FFFFFF"/>
          <w:lang w:val="en-US"/>
        </w:rPr>
        <w:t xml:space="preserve"> statistically significant differences at </w:t>
      </w:r>
      <w:r w:rsidRPr="00514629">
        <w:rPr>
          <w:rFonts w:ascii="Segoe UI" w:eastAsia="Times New Roman" w:hAnsi="Segoe UI" w:cs="Segoe UI"/>
          <w:i/>
          <w:iCs/>
          <w:color w:val="222222"/>
          <w:sz w:val="20"/>
          <w:szCs w:val="20"/>
          <w:shd w:val="clear" w:color="auto" w:fill="FFFFFF"/>
          <w:lang w:val="en-US"/>
        </w:rPr>
        <w:t>p</w:t>
      </w:r>
      <w:r w:rsidRPr="00514629">
        <w:rPr>
          <w:rFonts w:ascii="Segoe UI" w:eastAsia="Times New Roman" w:hAnsi="Segoe UI" w:cs="Segoe UI"/>
          <w:color w:val="222222"/>
          <w:sz w:val="20"/>
          <w:szCs w:val="20"/>
          <w:shd w:val="clear" w:color="auto" w:fill="FFFFFF"/>
          <w:lang w:val="en-US"/>
        </w:rPr>
        <w:t> &lt; 0.0001, </w:t>
      </w:r>
      <w:r w:rsidRPr="00514629">
        <w:rPr>
          <w:rFonts w:ascii="Segoe UI" w:eastAsia="Times New Roman" w:hAnsi="Segoe UI" w:cs="Segoe UI"/>
          <w:i/>
          <w:iCs/>
          <w:color w:val="222222"/>
          <w:sz w:val="20"/>
          <w:szCs w:val="20"/>
          <w:shd w:val="clear" w:color="auto" w:fill="FFFFFF"/>
          <w:lang w:val="en-US"/>
        </w:rPr>
        <w:t>p</w:t>
      </w:r>
      <w:r w:rsidRPr="00514629">
        <w:rPr>
          <w:rFonts w:ascii="Segoe UI" w:eastAsia="Times New Roman" w:hAnsi="Segoe UI" w:cs="Segoe UI"/>
          <w:color w:val="222222"/>
          <w:sz w:val="20"/>
          <w:szCs w:val="20"/>
          <w:shd w:val="clear" w:color="auto" w:fill="FFFFFF"/>
          <w:lang w:val="en-US"/>
        </w:rPr>
        <w:t> &lt; 0.001, and </w:t>
      </w:r>
      <w:r w:rsidRPr="00514629">
        <w:rPr>
          <w:rFonts w:ascii="Segoe UI" w:eastAsia="Times New Roman" w:hAnsi="Segoe UI" w:cs="Segoe UI"/>
          <w:i/>
          <w:iCs/>
          <w:color w:val="222222"/>
          <w:sz w:val="20"/>
          <w:szCs w:val="20"/>
          <w:shd w:val="clear" w:color="auto" w:fill="FFFFFF"/>
          <w:lang w:val="en-US"/>
        </w:rPr>
        <w:t>p</w:t>
      </w:r>
      <w:r w:rsidRPr="00514629">
        <w:rPr>
          <w:rFonts w:ascii="Segoe UI" w:eastAsia="Times New Roman" w:hAnsi="Segoe UI" w:cs="Segoe UI"/>
          <w:color w:val="222222"/>
          <w:sz w:val="20"/>
          <w:szCs w:val="20"/>
          <w:shd w:val="clear" w:color="auto" w:fill="FFFFFF"/>
          <w:lang w:val="en-US"/>
        </w:rPr>
        <w:t xml:space="preserve"> &lt; 0.05 are identified by *****, ***, **, and *, respectively </w:t>
      </w:r>
    </w:p>
    <w:p w:rsidR="00E00E63" w:rsidRDefault="00E00E63" w:rsidP="00E00E63">
      <w:pPr>
        <w:rPr>
          <w:rFonts w:ascii="Times New Roman" w:hAnsi="Times New Roman" w:cs="Times New Roman"/>
        </w:rPr>
      </w:pPr>
    </w:p>
    <w:p w:rsidR="003B2D54" w:rsidRDefault="003C4C06"/>
    <w:sectPr w:rsidR="003B2D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E63"/>
    <w:rsid w:val="003C4C06"/>
    <w:rsid w:val="00443626"/>
    <w:rsid w:val="009175CA"/>
    <w:rsid w:val="00E00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E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00E63"/>
    <w:pPr>
      <w:widowControl w:val="0"/>
      <w:autoSpaceDE w:val="0"/>
      <w:autoSpaceDN w:val="0"/>
      <w:spacing w:after="0" w:line="240" w:lineRule="auto"/>
      <w:ind w:left="595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00E63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LightList">
    <w:name w:val="Light List"/>
    <w:basedOn w:val="TableNormal"/>
    <w:uiPriority w:val="61"/>
    <w:rsid w:val="00E00E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E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00E63"/>
    <w:pPr>
      <w:widowControl w:val="0"/>
      <w:autoSpaceDE w:val="0"/>
      <w:autoSpaceDN w:val="0"/>
      <w:spacing w:after="0" w:line="240" w:lineRule="auto"/>
      <w:ind w:left="595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00E63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LightList">
    <w:name w:val="Light List"/>
    <w:basedOn w:val="TableNormal"/>
    <w:uiPriority w:val="61"/>
    <w:rsid w:val="00E00E6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500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Personal</cp:lastModifiedBy>
  <cp:revision>2</cp:revision>
  <dcterms:created xsi:type="dcterms:W3CDTF">2024-08-29T17:42:00Z</dcterms:created>
  <dcterms:modified xsi:type="dcterms:W3CDTF">2024-08-29T18:03:00Z</dcterms:modified>
</cp:coreProperties>
</file>