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C04EF2" w14:textId="62DAA419" w:rsidR="00343AC8" w:rsidRDefault="00343AC8" w:rsidP="00343AC8">
      <w:pPr>
        <w:adjustRightInd w:val="0"/>
        <w:snapToGrid w:val="0"/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343AC8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331848">
        <w:rPr>
          <w:rFonts w:ascii="Times New Roman" w:hAnsi="Times New Roman" w:cs="Times New Roman" w:hint="eastAsia"/>
          <w:b/>
          <w:bCs/>
          <w:sz w:val="24"/>
          <w:szCs w:val="24"/>
        </w:rPr>
        <w:t>Information</w:t>
      </w:r>
    </w:p>
    <w:p w14:paraId="550B8AFC" w14:textId="77777777" w:rsidR="00930DAB" w:rsidRDefault="00930DAB" w:rsidP="00343AC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5E532D" w14:textId="77777777" w:rsidR="00F97466" w:rsidRPr="00343AC8" w:rsidRDefault="00F97466" w:rsidP="00F9746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A9AFD3" w14:textId="77777777" w:rsidR="00F97466" w:rsidRPr="00343AC8" w:rsidRDefault="00F97466" w:rsidP="00F9746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CB209E" w14:textId="77777777" w:rsidR="00F97466" w:rsidRPr="00343AC8" w:rsidRDefault="00F97466" w:rsidP="00F9746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43AC8">
        <w:rPr>
          <w:rFonts w:ascii="Times New Roman" w:eastAsia="宋体" w:hAnsi="Times New Roman" w:cs="Times New Roman"/>
          <w:noProof/>
          <w:sz w:val="24"/>
          <w:szCs w:val="24"/>
          <w14:ligatures w14:val="none"/>
        </w:rPr>
        <w:drawing>
          <wp:inline distT="0" distB="0" distL="0" distR="0" wp14:anchorId="37E93FEF" wp14:editId="0A469263">
            <wp:extent cx="1168576" cy="1962632"/>
            <wp:effectExtent l="0" t="0" r="0" b="0"/>
            <wp:docPr id="11273870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156" cy="1970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F4E0E" w14:textId="77777777" w:rsidR="00F97466" w:rsidRDefault="00F97466" w:rsidP="00F97466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  <w14:ligatures w14:val="none"/>
        </w:rPr>
      </w:pPr>
    </w:p>
    <w:p w14:paraId="18521DEB" w14:textId="24FA5877" w:rsidR="00F97466" w:rsidRPr="00343AC8" w:rsidRDefault="00F97466" w:rsidP="00F97466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none"/>
        </w:rPr>
      </w:pPr>
      <w:r w:rsidRPr="00343AC8">
        <w:rPr>
          <w:rFonts w:ascii="Times New Roman" w:eastAsia="宋体" w:hAnsi="Times New Roman" w:cs="Times New Roman"/>
          <w:b/>
          <w:bCs/>
          <w:sz w:val="24"/>
          <w:szCs w:val="24"/>
          <w14:ligatures w14:val="none"/>
        </w:rPr>
        <w:t>Figure 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  <w14:ligatures w14:val="none"/>
        </w:rPr>
        <w:t>1</w:t>
      </w:r>
      <w:r w:rsidRPr="00343AC8">
        <w:rPr>
          <w:rFonts w:ascii="Times New Roman" w:eastAsia="宋体" w:hAnsi="Times New Roman" w:cs="Times New Roman"/>
          <w:b/>
          <w:bCs/>
          <w:sz w:val="24"/>
          <w:szCs w:val="24"/>
          <w14:ligatures w14:val="none"/>
        </w:rPr>
        <w:t>.</w:t>
      </w:r>
      <w:r w:rsidRPr="00343AC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A tube of viral stock with visible precipitates at the bottom of the tube (red arrow). </w:t>
      </w:r>
    </w:p>
    <w:p w14:paraId="21528801" w14:textId="77777777" w:rsidR="00F97466" w:rsidRPr="00343AC8" w:rsidRDefault="00F97466" w:rsidP="00F9746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385AB6" w14:textId="77777777" w:rsidR="00F97466" w:rsidRPr="00930DAB" w:rsidRDefault="00F97466" w:rsidP="00F97466">
      <w:pPr>
        <w:adjustRightInd w:val="0"/>
        <w:snapToGrid w:val="0"/>
        <w:spacing w:line="480" w:lineRule="auto"/>
        <w:rPr>
          <w:rFonts w:hint="eastAsia"/>
        </w:rPr>
      </w:pPr>
    </w:p>
    <w:p w14:paraId="6AFCFBD7" w14:textId="77777777" w:rsidR="00F97466" w:rsidRDefault="00F97466" w:rsidP="00F97466">
      <w:pPr>
        <w:adjustRightInd w:val="0"/>
        <w:snapToGrid w:val="0"/>
        <w:spacing w:line="480" w:lineRule="auto"/>
        <w:rPr>
          <w:rFonts w:hint="eastAsia"/>
        </w:rPr>
      </w:pPr>
    </w:p>
    <w:p w14:paraId="06564D89" w14:textId="77777777" w:rsidR="00F97466" w:rsidRDefault="00F97466" w:rsidP="00F97466">
      <w:pPr>
        <w:adjustRightInd w:val="0"/>
        <w:snapToGrid w:val="0"/>
        <w:spacing w:line="480" w:lineRule="auto"/>
        <w:rPr>
          <w:rFonts w:hint="eastAsia"/>
        </w:rPr>
      </w:pPr>
    </w:p>
    <w:p w14:paraId="11271D1D" w14:textId="77777777" w:rsidR="00F97466" w:rsidRPr="00F97466" w:rsidRDefault="00F97466" w:rsidP="00343AC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F767D4" w14:textId="77777777" w:rsidR="00F97466" w:rsidRDefault="00F97466" w:rsidP="00343AC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32797D" w14:textId="77777777" w:rsidR="00F97466" w:rsidRPr="00343AC8" w:rsidRDefault="00F97466" w:rsidP="00343AC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25FDC7" w14:textId="7A9EE61F" w:rsidR="00343AC8" w:rsidRDefault="00343AC8" w:rsidP="00343AC8">
      <w:pPr>
        <w:adjustRightInd w:val="0"/>
        <w:snapToGrid w:val="0"/>
        <w:spacing w:line="480" w:lineRule="auto"/>
        <w:rPr>
          <w:rFonts w:hint="eastAsia"/>
        </w:rPr>
      </w:pPr>
      <w:r w:rsidRPr="00343AC8">
        <w:rPr>
          <w:rFonts w:ascii="Calibri" w:eastAsia="宋体" w:hAnsi="Calibri" w:cs="Times New Roman"/>
          <w:noProof/>
          <w:szCs w:val="24"/>
          <w14:ligatures w14:val="none"/>
        </w:rPr>
        <w:lastRenderedPageBreak/>
        <w:drawing>
          <wp:inline distT="0" distB="0" distL="0" distR="0" wp14:anchorId="3CEF20A9" wp14:editId="3CC4B9E7">
            <wp:extent cx="4729498" cy="4853058"/>
            <wp:effectExtent l="0" t="0" r="0" b="0"/>
            <wp:docPr id="2881188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059" cy="4853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21B5B" w14:textId="77777777" w:rsidR="005A4A84" w:rsidRDefault="005A4A84" w:rsidP="00343AC8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  <w14:ligatures w14:val="none"/>
        </w:rPr>
      </w:pPr>
    </w:p>
    <w:p w14:paraId="2E847E83" w14:textId="02C25CBD" w:rsidR="00343AC8" w:rsidRPr="00343AC8" w:rsidRDefault="00343AC8" w:rsidP="00343AC8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  <w14:ligatures w14:val="none"/>
        </w:rPr>
      </w:pPr>
      <w:r w:rsidRPr="00343AC8">
        <w:rPr>
          <w:rFonts w:ascii="Times New Roman" w:eastAsia="宋体" w:hAnsi="Times New Roman" w:cs="Times New Roman"/>
          <w:b/>
          <w:bCs/>
          <w:sz w:val="24"/>
          <w:szCs w:val="24"/>
          <w14:ligatures w14:val="none"/>
        </w:rPr>
        <w:t>Figure S</w:t>
      </w:r>
      <w:r w:rsidR="00F97466">
        <w:rPr>
          <w:rFonts w:ascii="Times New Roman" w:eastAsia="宋体" w:hAnsi="Times New Roman" w:cs="Times New Roman" w:hint="eastAsia"/>
          <w:b/>
          <w:bCs/>
          <w:sz w:val="24"/>
          <w:szCs w:val="24"/>
          <w14:ligatures w14:val="none"/>
        </w:rPr>
        <w:t>2</w:t>
      </w:r>
      <w:r w:rsidRPr="00343AC8">
        <w:rPr>
          <w:rFonts w:ascii="Times New Roman" w:eastAsia="宋体" w:hAnsi="Times New Roman" w:cs="Times New Roman"/>
          <w:b/>
          <w:bCs/>
          <w:sz w:val="24"/>
          <w:szCs w:val="24"/>
          <w14:ligatures w14:val="none"/>
        </w:rPr>
        <w:t>.</w:t>
      </w:r>
      <w:r w:rsidRPr="00343AC8">
        <w:rPr>
          <w:rFonts w:ascii="Times New Roman" w:eastAsia="宋体" w:hAnsi="Times New Roman" w:cs="Times New Roman" w:hint="eastAsia"/>
          <w:b/>
          <w:sz w:val="24"/>
          <w:szCs w:val="24"/>
          <w14:ligatures w14:val="none"/>
        </w:rPr>
        <w:t xml:space="preserve"> </w:t>
      </w:r>
      <w:r w:rsidRPr="00343AC8">
        <w:rPr>
          <w:rFonts w:ascii="Times New Roman" w:eastAsia="宋体" w:hAnsi="Times New Roman" w:cs="Times New Roman"/>
          <w:bCs/>
          <w:sz w:val="24"/>
          <w:szCs w:val="24"/>
          <w14:ligatures w14:val="none"/>
        </w:rPr>
        <w:t>T</w:t>
      </w:r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 xml:space="preserve">he map of </w:t>
      </w:r>
      <w:proofErr w:type="spellStart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>His.Def</w:t>
      </w:r>
      <w:proofErr w:type="spellEnd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 xml:space="preserve"> virus donor plasmid, with </w:t>
      </w:r>
      <w:r w:rsidRPr="00343AC8">
        <w:rPr>
          <w:rFonts w:ascii="Times New Roman" w:eastAsia="宋体" w:hAnsi="Times New Roman" w:cs="Times New Roman" w:hint="eastAsia"/>
          <w:bCs/>
          <w:i/>
          <w:iCs/>
          <w:sz w:val="24"/>
          <w:szCs w:val="24"/>
          <w14:ligatures w14:val="none"/>
        </w:rPr>
        <w:t>DEF</w:t>
      </w:r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 xml:space="preserve"> gene inserted into the multiple cloning </w:t>
      </w:r>
      <w:r w:rsidRPr="00343AC8">
        <w:rPr>
          <w:rFonts w:ascii="Times New Roman" w:eastAsia="宋体" w:hAnsi="Times New Roman" w:cs="Times New Roman"/>
          <w:bCs/>
          <w:sz w:val="24"/>
          <w:szCs w:val="24"/>
          <w14:ligatures w14:val="none"/>
        </w:rPr>
        <w:t>sites</w:t>
      </w:r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 xml:space="preserve">. </w:t>
      </w:r>
      <w:proofErr w:type="spellStart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>His.Def-pFastBac</w:t>
      </w:r>
      <w:proofErr w:type="spellEnd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 xml:space="preserve"> HT C contains two resistance genes, </w:t>
      </w:r>
      <w:proofErr w:type="spellStart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>GmR</w:t>
      </w:r>
      <w:proofErr w:type="spellEnd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 xml:space="preserve"> for resisting gentamycin and </w:t>
      </w:r>
      <w:proofErr w:type="spellStart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>AmpR</w:t>
      </w:r>
      <w:proofErr w:type="spellEnd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 xml:space="preserve"> for resisting a</w:t>
      </w:r>
      <w:r w:rsidRPr="00343AC8">
        <w:rPr>
          <w:rFonts w:ascii="Times New Roman" w:eastAsia="宋体" w:hAnsi="Times New Roman" w:cs="Times New Roman"/>
          <w:bCs/>
          <w:sz w:val="24"/>
          <w:szCs w:val="24"/>
          <w14:ligatures w14:val="none"/>
        </w:rPr>
        <w:t>mpicillin</w:t>
      </w:r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 xml:space="preserve">. Tn7L and Tn7R sites are recognized by transposase derived from Helper plasmid to fulfill transposition of the gene of interest into the bacmid. </w:t>
      </w:r>
      <w:proofErr w:type="spellStart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>His.Def-pFastBac</w:t>
      </w:r>
      <w:proofErr w:type="spellEnd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 xml:space="preserve"> HT C harbors the </w:t>
      </w:r>
      <w:proofErr w:type="spellStart"/>
      <w:r w:rsidRPr="00343AC8">
        <w:rPr>
          <w:rFonts w:ascii="Times New Roman" w:eastAsia="宋体" w:hAnsi="Times New Roman" w:cs="Times New Roman" w:hint="eastAsia"/>
          <w:bCs/>
          <w:i/>
          <w:iCs/>
          <w:sz w:val="24"/>
          <w:szCs w:val="24"/>
          <w14:ligatures w14:val="none"/>
        </w:rPr>
        <w:t>Polyhedrin</w:t>
      </w:r>
      <w:proofErr w:type="spellEnd"/>
      <w:r w:rsidRPr="00343AC8">
        <w:rPr>
          <w:rFonts w:ascii="Times New Roman" w:eastAsia="宋体" w:hAnsi="Times New Roman" w:cs="Times New Roman" w:hint="eastAsia"/>
          <w:bCs/>
          <w:sz w:val="24"/>
          <w:szCs w:val="24"/>
          <w14:ligatures w14:val="none"/>
        </w:rPr>
        <w:t xml:space="preserve"> promoter, which is very effective in driving gene expression in Sf9 cells.</w:t>
      </w:r>
    </w:p>
    <w:p w14:paraId="22F9F37C" w14:textId="77777777" w:rsidR="00343AC8" w:rsidRPr="00343AC8" w:rsidRDefault="00343AC8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68CBB735" w14:textId="77777777" w:rsidR="00343AC8" w:rsidRDefault="00343AC8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3ED923D6" w14:textId="77777777" w:rsidR="00314B46" w:rsidRDefault="00314B46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6811D22A" w14:textId="77777777" w:rsidR="00314B46" w:rsidRDefault="00314B46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0D24C83C" w14:textId="690BDDE8" w:rsidR="00314B46" w:rsidRDefault="00314B46" w:rsidP="00343AC8">
      <w:pPr>
        <w:adjustRightInd w:val="0"/>
        <w:snapToGrid w:val="0"/>
        <w:spacing w:line="480" w:lineRule="auto"/>
        <w:rPr>
          <w:rFonts w:hint="eastAsia"/>
        </w:rPr>
      </w:pPr>
      <w:r w:rsidRPr="00314B46">
        <w:rPr>
          <w:rFonts w:ascii="Calibri" w:eastAsia="宋体" w:hAnsi="Calibri" w:cs="Times New Roman"/>
          <w:noProof/>
          <w:szCs w:val="24"/>
          <w14:ligatures w14:val="none"/>
        </w:rPr>
        <w:lastRenderedPageBreak/>
        <w:drawing>
          <wp:inline distT="0" distB="0" distL="0" distR="0" wp14:anchorId="074CF549" wp14:editId="78D63862">
            <wp:extent cx="5274310" cy="2932430"/>
            <wp:effectExtent l="0" t="0" r="2540" b="1270"/>
            <wp:docPr id="11580284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1B6C9" w14:textId="77777777" w:rsidR="005A4A84" w:rsidRDefault="005A4A84" w:rsidP="00314B46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kern w:val="10"/>
          <w:sz w:val="24"/>
          <w:szCs w:val="24"/>
          <w14:ligatures w14:val="none"/>
        </w:rPr>
      </w:pPr>
    </w:p>
    <w:p w14:paraId="7FC705B3" w14:textId="5B3E4794" w:rsidR="00314B46" w:rsidRPr="00314B46" w:rsidRDefault="00314B46" w:rsidP="00314B46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10"/>
          <w:sz w:val="24"/>
          <w:szCs w:val="24"/>
          <w14:ligatures w14:val="none"/>
        </w:rPr>
      </w:pPr>
      <w:r w:rsidRPr="00314B46">
        <w:rPr>
          <w:rFonts w:ascii="Times New Roman" w:eastAsia="宋体" w:hAnsi="Times New Roman" w:cs="Times New Roman"/>
          <w:b/>
          <w:bCs/>
          <w:kern w:val="10"/>
          <w:sz w:val="24"/>
          <w:szCs w:val="24"/>
          <w14:ligatures w14:val="none"/>
        </w:rPr>
        <w:t>Figure S</w:t>
      </w:r>
      <w:r w:rsidR="00F97466">
        <w:rPr>
          <w:rFonts w:ascii="Times New Roman" w:eastAsia="宋体" w:hAnsi="Times New Roman" w:cs="Times New Roman" w:hint="eastAsia"/>
          <w:b/>
          <w:bCs/>
          <w:kern w:val="10"/>
          <w:sz w:val="24"/>
          <w:szCs w:val="24"/>
          <w14:ligatures w14:val="none"/>
        </w:rPr>
        <w:t>3</w:t>
      </w:r>
      <w:r w:rsidRPr="00314B46">
        <w:rPr>
          <w:rFonts w:ascii="Times New Roman" w:eastAsia="宋体" w:hAnsi="Times New Roman" w:cs="Times New Roman"/>
          <w:b/>
          <w:bCs/>
          <w:kern w:val="10"/>
          <w:sz w:val="24"/>
          <w:szCs w:val="24"/>
          <w14:ligatures w14:val="none"/>
        </w:rPr>
        <w:t xml:space="preserve">.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The detailed workflow of qPCR data analysis for generating standard curve as shown in </w:t>
      </w:r>
      <w:r w:rsidRPr="00314B46">
        <w:rPr>
          <w:rFonts w:ascii="Times New Roman" w:eastAsia="宋体" w:hAnsi="Times New Roman" w:cs="Times New Roman"/>
          <w:kern w:val="10"/>
          <w:sz w:val="24"/>
          <w:szCs w:val="24"/>
          <w:highlight w:val="lightGray"/>
          <w14:ligatures w14:val="none"/>
        </w:rPr>
        <w:t>Figure 2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.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①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,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②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,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③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,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④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, and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⑥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 were first input into the table.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⑤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 was derived from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③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. By virtue of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④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 and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⑤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, </w:t>
      </w:r>
      <w:r w:rsidRPr="00314B46">
        <w:rPr>
          <w:rFonts w:ascii="Cambria Math" w:eastAsia="宋体" w:hAnsi="Cambria Math" w:cs="Cambria Math"/>
          <w:kern w:val="10"/>
          <w:sz w:val="24"/>
          <w:szCs w:val="24"/>
          <w14:ligatures w14:val="none"/>
        </w:rPr>
        <w:t>⑫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 was </w:t>
      </w:r>
      <w:r w:rsidRPr="00314B46">
        <w:rPr>
          <w:rFonts w:ascii="Times New Roman" w:eastAsia="宋体" w:hAnsi="Times New Roman" w:cs="Times New Roman"/>
          <w:kern w:val="10"/>
          <w:sz w:val="24"/>
          <w:szCs w:val="24"/>
          <w14:ligatures w14:val="none"/>
        </w:rPr>
        <w:t>generat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ed. According to the linear equation in </w:t>
      </w:r>
      <w:r w:rsidRPr="00314B46">
        <w:rPr>
          <w:rFonts w:ascii="Cambria Math" w:eastAsia="宋体" w:hAnsi="Cambria Math" w:cs="Cambria Math"/>
          <w:kern w:val="10"/>
          <w:sz w:val="24"/>
          <w:szCs w:val="24"/>
          <w14:ligatures w14:val="none"/>
        </w:rPr>
        <w:t>⑫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 and the Ct values in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⑥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,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⑦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 was calculated. And then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⑧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 was obtained,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⑨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 was obtained, 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>⑩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 was obtained, and finally, </w:t>
      </w:r>
      <w:r w:rsidRPr="00314B46">
        <w:rPr>
          <w:rFonts w:ascii="Cambria Math" w:eastAsia="宋体" w:hAnsi="Cambria Math" w:cs="Cambria Math"/>
          <w:kern w:val="10"/>
          <w:sz w:val="24"/>
          <w:szCs w:val="24"/>
          <w14:ligatures w14:val="none"/>
        </w:rPr>
        <w:t>⑪</w:t>
      </w:r>
      <w:r w:rsidRPr="00314B46">
        <w:rPr>
          <w:rFonts w:ascii="Times New Roman" w:eastAsia="宋体" w:hAnsi="Times New Roman" w:cs="Times New Roman" w:hint="eastAsia"/>
          <w:kern w:val="10"/>
          <w:sz w:val="24"/>
          <w:szCs w:val="24"/>
          <w14:ligatures w14:val="none"/>
        </w:rPr>
        <w:t xml:space="preserve"> was procured.</w:t>
      </w:r>
    </w:p>
    <w:p w14:paraId="5D37938C" w14:textId="77777777" w:rsidR="00314B46" w:rsidRPr="00314B46" w:rsidRDefault="00314B46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6271C3EB" w14:textId="77777777" w:rsidR="00314B46" w:rsidRDefault="00314B46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686D76D5" w14:textId="77777777" w:rsidR="00314B46" w:rsidRDefault="00314B46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11F655E8" w14:textId="77777777" w:rsidR="00930DAB" w:rsidRDefault="00930DAB" w:rsidP="00930DA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7CD36A" w14:textId="77777777" w:rsidR="00930DAB" w:rsidRDefault="00930DAB" w:rsidP="00930DA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416146" w14:textId="77777777" w:rsidR="00930DAB" w:rsidRDefault="00930DAB" w:rsidP="00930DA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0BAE9A" w14:textId="77777777" w:rsidR="00930DAB" w:rsidRDefault="00930DAB" w:rsidP="00930DA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8B0858" w14:textId="77777777" w:rsidR="00930DAB" w:rsidRDefault="00930DAB" w:rsidP="00930DA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A57915" w14:textId="77777777" w:rsidR="00314B46" w:rsidRDefault="00314B46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292AECC3" w14:textId="77777777" w:rsidR="00A40397" w:rsidRDefault="00A40397" w:rsidP="00343AC8">
      <w:pPr>
        <w:adjustRightInd w:val="0"/>
        <w:snapToGrid w:val="0"/>
        <w:spacing w:line="480" w:lineRule="auto"/>
        <w:rPr>
          <w:rFonts w:hint="eastAsia"/>
        </w:rPr>
      </w:pPr>
    </w:p>
    <w:tbl>
      <w:tblPr>
        <w:tblStyle w:val="21"/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2409"/>
        <w:gridCol w:w="2636"/>
      </w:tblGrid>
      <w:tr w:rsidR="00A40397" w:rsidRPr="00A40397" w14:paraId="62DC56FC" w14:textId="77777777" w:rsidTr="00133B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14:paraId="05EFFD7D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A40397">
              <w:rPr>
                <w:sz w:val="24"/>
                <w:szCs w:val="24"/>
              </w:rPr>
              <w:lastRenderedPageBreak/>
              <w:t xml:space="preserve">Table </w:t>
            </w:r>
            <w:r w:rsidRPr="00A40397">
              <w:rPr>
                <w:rFonts w:hint="eastAsia"/>
                <w:sz w:val="24"/>
                <w:szCs w:val="24"/>
              </w:rPr>
              <w:t>S1</w:t>
            </w:r>
            <w:r w:rsidRPr="00A40397">
              <w:rPr>
                <w:sz w:val="24"/>
                <w:szCs w:val="24"/>
              </w:rPr>
              <w:t xml:space="preserve">. </w:t>
            </w:r>
            <w:r w:rsidRPr="00A40397">
              <w:rPr>
                <w:rFonts w:hint="eastAsia"/>
                <w:sz w:val="24"/>
                <w:szCs w:val="24"/>
              </w:rPr>
              <w:t xml:space="preserve">Sequence of primers for generation of the control PCR product and for performing </w:t>
            </w:r>
            <w:proofErr w:type="gramStart"/>
            <w:r w:rsidRPr="00A40397">
              <w:rPr>
                <w:rFonts w:hint="eastAsia"/>
                <w:sz w:val="24"/>
                <w:szCs w:val="24"/>
              </w:rPr>
              <w:t>qPCR .</w:t>
            </w:r>
            <w:proofErr w:type="gramEnd"/>
          </w:p>
        </w:tc>
      </w:tr>
      <w:tr w:rsidR="00A40397" w:rsidRPr="00A40397" w14:paraId="2E62E348" w14:textId="77777777" w:rsidTr="00133B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A01F2B0" w14:textId="77777777" w:rsidR="00A40397" w:rsidRPr="00A40397" w:rsidRDefault="00A40397" w:rsidP="00A40397">
            <w:pPr>
              <w:adjustRightInd w:val="0"/>
              <w:snapToGrid w:val="0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>Primer name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7C82E6A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A40397">
              <w:rPr>
                <w:rFonts w:hint="eastAsia"/>
                <w:b/>
                <w:bCs/>
                <w:sz w:val="24"/>
                <w:szCs w:val="24"/>
              </w:rPr>
              <w:t>Orientation</w:t>
            </w:r>
          </w:p>
        </w:tc>
        <w:tc>
          <w:tcPr>
            <w:tcW w:w="240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5A98899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A40397">
              <w:rPr>
                <w:rFonts w:hint="eastAsia"/>
                <w:b/>
                <w:bCs/>
                <w:sz w:val="24"/>
                <w:szCs w:val="24"/>
              </w:rPr>
              <w:t>Sequence (5</w:t>
            </w:r>
            <w:r w:rsidRPr="00A40397">
              <w:rPr>
                <w:b/>
                <w:bCs/>
                <w:sz w:val="24"/>
                <w:szCs w:val="24"/>
              </w:rPr>
              <w:t>’</w:t>
            </w:r>
            <w:r w:rsidRPr="00A40397">
              <w:rPr>
                <w:rFonts w:hint="eastAsia"/>
                <w:b/>
                <w:bCs/>
                <w:sz w:val="24"/>
                <w:szCs w:val="24"/>
              </w:rPr>
              <w:t>-3</w:t>
            </w:r>
            <w:r w:rsidRPr="00A40397">
              <w:rPr>
                <w:b/>
                <w:bCs/>
                <w:sz w:val="24"/>
                <w:szCs w:val="24"/>
              </w:rPr>
              <w:t>’</w:t>
            </w:r>
            <w:r w:rsidRPr="00A40397">
              <w:rPr>
                <w:rFonts w:hint="eastAsia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636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3EA4B98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A40397">
              <w:rPr>
                <w:rFonts w:hint="eastAsia"/>
                <w:b/>
                <w:bCs/>
                <w:sz w:val="24"/>
                <w:szCs w:val="24"/>
              </w:rPr>
              <w:t>Target virus</w:t>
            </w:r>
          </w:p>
        </w:tc>
      </w:tr>
      <w:tr w:rsidR="00A40397" w:rsidRPr="00A40397" w14:paraId="2DCFA405" w14:textId="77777777" w:rsidTr="00133B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14:paraId="22B60B90" w14:textId="77777777" w:rsidR="00A40397" w:rsidRPr="00A40397" w:rsidRDefault="00A40397" w:rsidP="00A40397">
            <w:pPr>
              <w:adjustRightInd w:val="0"/>
              <w:snapToGrid w:val="0"/>
              <w:rPr>
                <w:szCs w:val="21"/>
              </w:rPr>
            </w:pPr>
            <w:proofErr w:type="spellStart"/>
            <w:r w:rsidRPr="00A40397">
              <w:rPr>
                <w:szCs w:val="21"/>
              </w:rPr>
              <w:t>CDq-Fw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3CE654F3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40397">
              <w:rPr>
                <w:szCs w:val="21"/>
              </w:rPr>
              <w:t>Forward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14:paraId="6B55CC9C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40397">
              <w:rPr>
                <w:szCs w:val="21"/>
              </w:rPr>
              <w:t>AGCCAGCTACTCAACACCCT</w:t>
            </w:r>
          </w:p>
        </w:tc>
        <w:tc>
          <w:tcPr>
            <w:tcW w:w="2636" w:type="dxa"/>
            <w:tcBorders>
              <w:top w:val="single" w:sz="4" w:space="0" w:color="auto"/>
              <w:bottom w:val="nil"/>
            </w:tcBorders>
            <w:vAlign w:val="center"/>
          </w:tcPr>
          <w:p w14:paraId="559770CF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40397">
              <w:rPr>
                <w:szCs w:val="21"/>
              </w:rPr>
              <w:t xml:space="preserve">CD virus; </w:t>
            </w:r>
            <w:proofErr w:type="spellStart"/>
            <w:r w:rsidRPr="00A40397">
              <w:rPr>
                <w:szCs w:val="21"/>
              </w:rPr>
              <w:t>His.Def</w:t>
            </w:r>
            <w:proofErr w:type="spellEnd"/>
            <w:r w:rsidRPr="00A40397">
              <w:rPr>
                <w:szCs w:val="21"/>
              </w:rPr>
              <w:t xml:space="preserve"> virus; R3 virus</w:t>
            </w:r>
          </w:p>
        </w:tc>
      </w:tr>
      <w:tr w:rsidR="00A40397" w:rsidRPr="00A40397" w14:paraId="2633E711" w14:textId="77777777" w:rsidTr="00133B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nil"/>
            </w:tcBorders>
            <w:vAlign w:val="center"/>
          </w:tcPr>
          <w:p w14:paraId="11D42019" w14:textId="77777777" w:rsidR="00A40397" w:rsidRPr="00A40397" w:rsidRDefault="00A40397" w:rsidP="00A40397">
            <w:pPr>
              <w:adjustRightInd w:val="0"/>
              <w:snapToGrid w:val="0"/>
              <w:rPr>
                <w:szCs w:val="21"/>
              </w:rPr>
            </w:pPr>
            <w:proofErr w:type="spellStart"/>
            <w:r w:rsidRPr="00A40397">
              <w:rPr>
                <w:szCs w:val="21"/>
              </w:rPr>
              <w:t>CDq-Rv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1E00F1D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40397">
              <w:rPr>
                <w:szCs w:val="21"/>
              </w:rPr>
              <w:t>Reverse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5BB08F92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40397">
              <w:rPr>
                <w:szCs w:val="21"/>
              </w:rPr>
              <w:t>AACTTGTTCTGGTTCACTCT</w:t>
            </w:r>
          </w:p>
        </w:tc>
        <w:tc>
          <w:tcPr>
            <w:tcW w:w="2636" w:type="dxa"/>
            <w:tcBorders>
              <w:top w:val="nil"/>
              <w:bottom w:val="nil"/>
            </w:tcBorders>
            <w:vAlign w:val="center"/>
          </w:tcPr>
          <w:p w14:paraId="1F80AB2F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1"/>
              </w:rPr>
            </w:pPr>
            <w:r w:rsidRPr="00A40397">
              <w:rPr>
                <w:szCs w:val="21"/>
              </w:rPr>
              <w:t xml:space="preserve">CD virus; </w:t>
            </w:r>
            <w:proofErr w:type="spellStart"/>
            <w:r w:rsidRPr="00A40397">
              <w:rPr>
                <w:szCs w:val="21"/>
              </w:rPr>
              <w:t>His.Def</w:t>
            </w:r>
            <w:proofErr w:type="spellEnd"/>
            <w:r w:rsidRPr="00A40397">
              <w:rPr>
                <w:szCs w:val="21"/>
              </w:rPr>
              <w:t xml:space="preserve"> virus; R3 virus</w:t>
            </w:r>
          </w:p>
        </w:tc>
      </w:tr>
      <w:tr w:rsidR="00A40397" w:rsidRPr="00A40397" w14:paraId="1FA4CDCF" w14:textId="77777777" w:rsidTr="00133B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nil"/>
            </w:tcBorders>
            <w:vAlign w:val="center"/>
          </w:tcPr>
          <w:p w14:paraId="30344B79" w14:textId="77777777" w:rsidR="00A40397" w:rsidRPr="00A40397" w:rsidRDefault="00A40397" w:rsidP="00A40397">
            <w:pPr>
              <w:adjustRightInd w:val="0"/>
              <w:snapToGrid w:val="0"/>
              <w:rPr>
                <w:szCs w:val="21"/>
              </w:rPr>
            </w:pPr>
            <w:r w:rsidRPr="00A40397">
              <w:rPr>
                <w:szCs w:val="21"/>
              </w:rPr>
              <w:t>His.C129S-Fw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14021B2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40397">
              <w:rPr>
                <w:szCs w:val="21"/>
              </w:rPr>
              <w:t>Forward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7459811A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40397">
              <w:rPr>
                <w:szCs w:val="21"/>
              </w:rPr>
              <w:t>CGTCTGGAAGAGACCTCCGG</w:t>
            </w:r>
          </w:p>
        </w:tc>
        <w:tc>
          <w:tcPr>
            <w:tcW w:w="2636" w:type="dxa"/>
            <w:tcBorders>
              <w:top w:val="nil"/>
              <w:bottom w:val="nil"/>
            </w:tcBorders>
            <w:vAlign w:val="center"/>
          </w:tcPr>
          <w:p w14:paraId="28BAC1AD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40397">
              <w:rPr>
                <w:szCs w:val="21"/>
              </w:rPr>
              <w:t>His.C129S virus</w:t>
            </w:r>
          </w:p>
        </w:tc>
      </w:tr>
      <w:tr w:rsidR="00A40397" w:rsidRPr="00A40397" w14:paraId="1D33AE57" w14:textId="77777777" w:rsidTr="00133B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single" w:sz="18" w:space="0" w:color="auto"/>
            </w:tcBorders>
            <w:vAlign w:val="center"/>
          </w:tcPr>
          <w:p w14:paraId="10784E60" w14:textId="77777777" w:rsidR="00A40397" w:rsidRPr="00A40397" w:rsidRDefault="00A40397" w:rsidP="00A40397">
            <w:pPr>
              <w:adjustRightInd w:val="0"/>
              <w:snapToGrid w:val="0"/>
              <w:rPr>
                <w:szCs w:val="21"/>
              </w:rPr>
            </w:pPr>
            <w:r w:rsidRPr="00A40397">
              <w:rPr>
                <w:szCs w:val="21"/>
              </w:rPr>
              <w:t>His.C129S-Rv</w:t>
            </w:r>
          </w:p>
        </w:tc>
        <w:tc>
          <w:tcPr>
            <w:tcW w:w="1560" w:type="dxa"/>
            <w:tcBorders>
              <w:top w:val="nil"/>
              <w:bottom w:val="single" w:sz="18" w:space="0" w:color="auto"/>
            </w:tcBorders>
            <w:vAlign w:val="center"/>
          </w:tcPr>
          <w:p w14:paraId="726379FC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40397">
              <w:rPr>
                <w:szCs w:val="21"/>
              </w:rPr>
              <w:t>Reverse</w:t>
            </w:r>
          </w:p>
        </w:tc>
        <w:tc>
          <w:tcPr>
            <w:tcW w:w="2409" w:type="dxa"/>
            <w:tcBorders>
              <w:top w:val="nil"/>
              <w:bottom w:val="single" w:sz="18" w:space="0" w:color="auto"/>
            </w:tcBorders>
            <w:vAlign w:val="center"/>
          </w:tcPr>
          <w:p w14:paraId="6D4BB2D4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40397">
              <w:rPr>
                <w:szCs w:val="21"/>
              </w:rPr>
              <w:t>TCGATGAAACTTTGATCATG</w:t>
            </w:r>
          </w:p>
        </w:tc>
        <w:tc>
          <w:tcPr>
            <w:tcW w:w="2636" w:type="dxa"/>
            <w:tcBorders>
              <w:top w:val="nil"/>
              <w:bottom w:val="single" w:sz="18" w:space="0" w:color="auto"/>
            </w:tcBorders>
            <w:vAlign w:val="center"/>
          </w:tcPr>
          <w:p w14:paraId="0C1859A4" w14:textId="77777777" w:rsidR="00A40397" w:rsidRPr="00A40397" w:rsidRDefault="00A40397" w:rsidP="00A4039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1"/>
              </w:rPr>
            </w:pPr>
            <w:r w:rsidRPr="00A40397">
              <w:rPr>
                <w:szCs w:val="21"/>
              </w:rPr>
              <w:t>His.C129S virus</w:t>
            </w:r>
          </w:p>
        </w:tc>
      </w:tr>
    </w:tbl>
    <w:p w14:paraId="62B3F733" w14:textId="77777777" w:rsidR="00A40397" w:rsidRPr="00A40397" w:rsidRDefault="00A40397" w:rsidP="00A403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none"/>
        </w:rPr>
      </w:pPr>
      <w:r w:rsidRPr="00A40397">
        <w:rPr>
          <w:rFonts w:ascii="Times New Roman" w:eastAsia="宋体" w:hAnsi="Times New Roman" w:cs="Times New Roman"/>
          <w:b/>
          <w:bCs/>
          <w:sz w:val="24"/>
          <w:szCs w:val="24"/>
          <w14:ligatures w14:val="none"/>
        </w:rPr>
        <w:t xml:space="preserve">Note: </w:t>
      </w:r>
      <w:r w:rsidRPr="00A40397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The CD virus, </w:t>
      </w:r>
      <w:proofErr w:type="spellStart"/>
      <w:r w:rsidRPr="00A40397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His.Def</w:t>
      </w:r>
      <w:proofErr w:type="spellEnd"/>
      <w:r w:rsidRPr="00A40397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 virus, and R3 virus all contain the gene </w:t>
      </w:r>
      <w:r w:rsidRPr="00A40397">
        <w:rPr>
          <w:rFonts w:ascii="Times New Roman" w:eastAsia="宋体" w:hAnsi="Times New Roman" w:cs="Times New Roman"/>
          <w:i/>
          <w:iCs/>
          <w:sz w:val="24"/>
          <w:szCs w:val="24"/>
          <w14:ligatures w14:val="none"/>
        </w:rPr>
        <w:t>DEF</w:t>
      </w:r>
      <w:r w:rsidRPr="00A40397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, so the </w:t>
      </w:r>
      <w:r w:rsidRPr="00A40397">
        <w:rPr>
          <w:rFonts w:ascii="Times New Roman" w:eastAsia="宋体" w:hAnsi="Times New Roman" w:cs="Times New Roman"/>
          <w:i/>
          <w:iCs/>
          <w:sz w:val="24"/>
          <w:szCs w:val="24"/>
          <w14:ligatures w14:val="none"/>
        </w:rPr>
        <w:t>DEF</w:t>
      </w:r>
      <w:r w:rsidRPr="00A40397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 specific primers designed could apply to all three virus. As for His.C129S virus, the designed primers are derived from the </w:t>
      </w:r>
      <w:r w:rsidRPr="00A40397">
        <w:rPr>
          <w:rFonts w:ascii="Times New Roman" w:eastAsia="宋体" w:hAnsi="Times New Roman" w:cs="Times New Roman"/>
          <w:i/>
          <w:iCs/>
          <w:sz w:val="24"/>
          <w:szCs w:val="24"/>
          <w14:ligatures w14:val="none"/>
        </w:rPr>
        <w:t>CAPN3</w:t>
      </w:r>
      <w:r w:rsidRPr="00A40397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  <w14:ligatures w14:val="none"/>
        </w:rPr>
        <w:t>C129S</w:t>
      </w:r>
      <w:r w:rsidRPr="00A40397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 gene.</w:t>
      </w:r>
    </w:p>
    <w:p w14:paraId="2D1F5730" w14:textId="77777777" w:rsidR="00A40397" w:rsidRPr="00A40397" w:rsidRDefault="00A40397" w:rsidP="00A403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  <w14:ligatures w14:val="none"/>
        </w:rPr>
      </w:pPr>
    </w:p>
    <w:p w14:paraId="74C62D51" w14:textId="77777777" w:rsidR="00A40397" w:rsidRPr="00A40397" w:rsidRDefault="00A40397" w:rsidP="00A403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none"/>
        </w:rPr>
      </w:pPr>
    </w:p>
    <w:tbl>
      <w:tblPr>
        <w:tblStyle w:val="211"/>
        <w:tblW w:w="0" w:type="auto"/>
        <w:jc w:val="center"/>
        <w:tblLook w:val="04A0" w:firstRow="1" w:lastRow="0" w:firstColumn="1" w:lastColumn="0" w:noHBand="0" w:noVBand="1"/>
      </w:tblPr>
      <w:tblGrid>
        <w:gridCol w:w="2099"/>
        <w:gridCol w:w="2529"/>
      </w:tblGrid>
      <w:tr w:rsidR="00A40397" w:rsidRPr="00A40397" w14:paraId="3F5F48D7" w14:textId="77777777" w:rsidTr="00133B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8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71C5767B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A40397">
              <w:rPr>
                <w:sz w:val="24"/>
                <w:szCs w:val="24"/>
              </w:rPr>
              <w:t xml:space="preserve">Table </w:t>
            </w:r>
            <w:r w:rsidRPr="00A40397">
              <w:rPr>
                <w:rFonts w:hint="eastAsia"/>
                <w:sz w:val="24"/>
                <w:szCs w:val="24"/>
              </w:rPr>
              <w:t>S2</w:t>
            </w:r>
            <w:r w:rsidRPr="00A40397">
              <w:rPr>
                <w:sz w:val="24"/>
                <w:szCs w:val="24"/>
              </w:rPr>
              <w:t xml:space="preserve">. </w:t>
            </w:r>
            <w:r w:rsidRPr="00A40397">
              <w:rPr>
                <w:rFonts w:hint="eastAsia"/>
                <w:sz w:val="24"/>
                <w:szCs w:val="24"/>
              </w:rPr>
              <w:t>The components of qPCR reaction.</w:t>
            </w:r>
          </w:p>
        </w:tc>
      </w:tr>
      <w:tr w:rsidR="00A40397" w:rsidRPr="00A40397" w14:paraId="466192FA" w14:textId="77777777" w:rsidTr="00133B47">
        <w:trPr>
          <w:trHeight w:val="5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57A3932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>Component</w:t>
            </w:r>
          </w:p>
        </w:tc>
        <w:tc>
          <w:tcPr>
            <w:tcW w:w="252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CF10BE0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A40397">
              <w:rPr>
                <w:rFonts w:hint="eastAsia"/>
                <w:b/>
                <w:bCs/>
                <w:sz w:val="24"/>
                <w:szCs w:val="24"/>
              </w:rPr>
              <w:t>Volume</w:t>
            </w:r>
          </w:p>
        </w:tc>
      </w:tr>
      <w:tr w:rsidR="00A40397" w:rsidRPr="00A40397" w14:paraId="60D51EDE" w14:textId="77777777" w:rsidTr="00133B47">
        <w:trPr>
          <w:trHeight w:val="5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9" w:type="dxa"/>
            <w:tcBorders>
              <w:top w:val="single" w:sz="4" w:space="0" w:color="auto"/>
            </w:tcBorders>
            <w:vAlign w:val="center"/>
          </w:tcPr>
          <w:p w14:paraId="28504B60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>qPCR mix</w:t>
            </w:r>
          </w:p>
        </w:tc>
        <w:tc>
          <w:tcPr>
            <w:tcW w:w="2529" w:type="dxa"/>
            <w:tcBorders>
              <w:top w:val="single" w:sz="4" w:space="0" w:color="auto"/>
            </w:tcBorders>
            <w:vAlign w:val="center"/>
          </w:tcPr>
          <w:p w14:paraId="2B687173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 xml:space="preserve">5 </w:t>
            </w:r>
            <w:r w:rsidRPr="00A40397">
              <w:rPr>
                <w:sz w:val="24"/>
                <w:szCs w:val="24"/>
              </w:rPr>
              <w:t>µ</w:t>
            </w:r>
            <w:r w:rsidRPr="00A40397">
              <w:rPr>
                <w:rFonts w:hint="eastAsia"/>
                <w:sz w:val="24"/>
                <w:szCs w:val="24"/>
              </w:rPr>
              <w:t>L</w:t>
            </w:r>
          </w:p>
        </w:tc>
      </w:tr>
      <w:tr w:rsidR="00A40397" w:rsidRPr="00A40397" w14:paraId="08B4AEA0" w14:textId="77777777" w:rsidTr="00133B47">
        <w:trPr>
          <w:trHeight w:val="5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9" w:type="dxa"/>
            <w:vAlign w:val="center"/>
          </w:tcPr>
          <w:p w14:paraId="6B0E1F89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>Former primer</w:t>
            </w:r>
          </w:p>
        </w:tc>
        <w:tc>
          <w:tcPr>
            <w:tcW w:w="2529" w:type="dxa"/>
            <w:vAlign w:val="center"/>
          </w:tcPr>
          <w:p w14:paraId="17DCB266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 xml:space="preserve">0.2 </w:t>
            </w:r>
            <w:r w:rsidRPr="00A40397">
              <w:rPr>
                <w:sz w:val="24"/>
                <w:szCs w:val="24"/>
              </w:rPr>
              <w:t>µ</w:t>
            </w:r>
            <w:r w:rsidRPr="00A40397">
              <w:rPr>
                <w:rFonts w:hint="eastAsia"/>
                <w:sz w:val="24"/>
                <w:szCs w:val="24"/>
              </w:rPr>
              <w:t>L</w:t>
            </w:r>
          </w:p>
        </w:tc>
      </w:tr>
      <w:tr w:rsidR="00A40397" w:rsidRPr="00A40397" w14:paraId="2A189228" w14:textId="77777777" w:rsidTr="00133B47">
        <w:trPr>
          <w:trHeight w:val="5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9" w:type="dxa"/>
            <w:vAlign w:val="center"/>
          </w:tcPr>
          <w:p w14:paraId="169BF31D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>Reverse primer</w:t>
            </w:r>
          </w:p>
        </w:tc>
        <w:tc>
          <w:tcPr>
            <w:tcW w:w="2529" w:type="dxa"/>
            <w:vAlign w:val="center"/>
          </w:tcPr>
          <w:p w14:paraId="77CA61D8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 xml:space="preserve">0.2 </w:t>
            </w:r>
            <w:r w:rsidRPr="00A40397">
              <w:rPr>
                <w:sz w:val="24"/>
                <w:szCs w:val="24"/>
              </w:rPr>
              <w:t>µ</w:t>
            </w:r>
            <w:r w:rsidRPr="00A40397">
              <w:rPr>
                <w:rFonts w:hint="eastAsia"/>
                <w:sz w:val="24"/>
                <w:szCs w:val="24"/>
              </w:rPr>
              <w:t>L</w:t>
            </w:r>
          </w:p>
        </w:tc>
      </w:tr>
      <w:tr w:rsidR="00A40397" w:rsidRPr="00A40397" w14:paraId="1E2EDC36" w14:textId="77777777" w:rsidTr="00133B47">
        <w:trPr>
          <w:trHeight w:val="5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9" w:type="dxa"/>
            <w:vAlign w:val="center"/>
          </w:tcPr>
          <w:p w14:paraId="0BABD796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>MQ water</w:t>
            </w:r>
          </w:p>
        </w:tc>
        <w:tc>
          <w:tcPr>
            <w:tcW w:w="2529" w:type="dxa"/>
            <w:vAlign w:val="center"/>
          </w:tcPr>
          <w:p w14:paraId="5A7A3ACE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 xml:space="preserve">3.6 </w:t>
            </w:r>
            <w:r w:rsidRPr="00A40397">
              <w:rPr>
                <w:sz w:val="24"/>
                <w:szCs w:val="24"/>
              </w:rPr>
              <w:t>µ</w:t>
            </w:r>
            <w:r w:rsidRPr="00A40397">
              <w:rPr>
                <w:rFonts w:hint="eastAsia"/>
                <w:sz w:val="24"/>
                <w:szCs w:val="24"/>
              </w:rPr>
              <w:t>L</w:t>
            </w:r>
          </w:p>
        </w:tc>
      </w:tr>
      <w:tr w:rsidR="00A40397" w:rsidRPr="00A40397" w14:paraId="27C6A86E" w14:textId="77777777" w:rsidTr="00133B47">
        <w:trPr>
          <w:trHeight w:val="5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9" w:type="dxa"/>
            <w:tcBorders>
              <w:bottom w:val="single" w:sz="18" w:space="0" w:color="auto"/>
            </w:tcBorders>
            <w:vAlign w:val="center"/>
          </w:tcPr>
          <w:p w14:paraId="06C2C243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>template</w:t>
            </w:r>
          </w:p>
        </w:tc>
        <w:tc>
          <w:tcPr>
            <w:tcW w:w="2529" w:type="dxa"/>
            <w:tcBorders>
              <w:bottom w:val="single" w:sz="18" w:space="0" w:color="auto"/>
            </w:tcBorders>
            <w:vAlign w:val="center"/>
          </w:tcPr>
          <w:p w14:paraId="78A3321E" w14:textId="77777777" w:rsidR="00A40397" w:rsidRPr="00A40397" w:rsidRDefault="00A40397" w:rsidP="00A40397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40397">
              <w:rPr>
                <w:rFonts w:hint="eastAsia"/>
                <w:sz w:val="24"/>
                <w:szCs w:val="24"/>
              </w:rPr>
              <w:t xml:space="preserve">1 </w:t>
            </w:r>
            <w:r w:rsidRPr="00A40397">
              <w:rPr>
                <w:sz w:val="24"/>
                <w:szCs w:val="24"/>
              </w:rPr>
              <w:t>µ</w:t>
            </w:r>
            <w:r w:rsidRPr="00A40397">
              <w:rPr>
                <w:rFonts w:hint="eastAsia"/>
                <w:sz w:val="24"/>
                <w:szCs w:val="24"/>
              </w:rPr>
              <w:t>L</w:t>
            </w:r>
          </w:p>
        </w:tc>
      </w:tr>
    </w:tbl>
    <w:p w14:paraId="0B383D6F" w14:textId="77777777" w:rsidR="00A40397" w:rsidRPr="00A40397" w:rsidRDefault="00A40397" w:rsidP="00A403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none"/>
        </w:rPr>
      </w:pPr>
      <w:r w:rsidRPr="00A40397">
        <w:rPr>
          <w:rFonts w:ascii="Times New Roman" w:eastAsia="宋体" w:hAnsi="Times New Roman" w:cs="Times New Roman" w:hint="eastAsia"/>
          <w:b/>
          <w:bCs/>
          <w:sz w:val="24"/>
          <w:szCs w:val="24"/>
          <w14:ligatures w14:val="none"/>
        </w:rPr>
        <w:t>Note:</w:t>
      </w:r>
      <w:r w:rsidRPr="00A40397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 </w:t>
      </w:r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Use </w:t>
      </w:r>
      <w:proofErr w:type="spellStart"/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>Vazyme</w:t>
      </w:r>
      <w:proofErr w:type="spellEnd"/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2×AceQ qPCR SYBR Green Master Mix for the qPCR reaction. Begin by labeling a 96-well </w:t>
      </w:r>
      <w:r w:rsidRPr="00A40397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optical </w:t>
      </w:r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>plate</w:t>
      </w:r>
      <w:r w:rsidRPr="00A40397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 </w:t>
      </w:r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(Hangzhou Vtuo Biotechnology </w:t>
      </w:r>
      <w:proofErr w:type="spellStart"/>
      <w:proofErr w:type="gramStart"/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>Co.,ltd</w:t>
      </w:r>
      <w:proofErr w:type="spellEnd"/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>.</w:t>
      </w:r>
      <w:proofErr w:type="gramEnd"/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>) according to the sample names.</w:t>
      </w:r>
      <w:r w:rsidRPr="00A40397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 </w:t>
      </w:r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Cover the 96-well plate with </w:t>
      </w:r>
      <w:proofErr w:type="spellStart"/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>Microseal</w:t>
      </w:r>
      <w:proofErr w:type="spellEnd"/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(Bio-Rad's </w:t>
      </w:r>
      <w:proofErr w:type="spellStart"/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>Microseal</w:t>
      </w:r>
      <w:proofErr w:type="spellEnd"/>
      <w:r w:rsidRPr="00A40397">
        <w:rPr>
          <w:rFonts w:ascii="Times New Roman" w:eastAsia="宋体" w:hAnsi="Times New Roman" w:cs="Times New Roman"/>
          <w:sz w:val="24"/>
          <w:szCs w:val="24"/>
          <w14:ligatures w14:val="none"/>
        </w:rPr>
        <w:t>) and centrifuge at 2,000×g for 3 minutes. After centrifugation, vortex thoroughly to mix, then centrifuge again at 2,000×g for 5 minutes.</w:t>
      </w:r>
    </w:p>
    <w:p w14:paraId="62A248F1" w14:textId="77777777" w:rsidR="00A40397" w:rsidRPr="00A40397" w:rsidRDefault="00A40397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3A8C40B5" w14:textId="77777777" w:rsidR="00A40397" w:rsidRDefault="00A40397" w:rsidP="00343AC8">
      <w:pPr>
        <w:adjustRightInd w:val="0"/>
        <w:snapToGrid w:val="0"/>
        <w:spacing w:line="480" w:lineRule="auto"/>
        <w:rPr>
          <w:rFonts w:hint="eastAsia"/>
        </w:rPr>
      </w:pPr>
    </w:p>
    <w:tbl>
      <w:tblPr>
        <w:tblStyle w:val="212"/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2939"/>
        <w:gridCol w:w="2358"/>
      </w:tblGrid>
      <w:tr w:rsidR="000929D4" w:rsidRPr="000929D4" w14:paraId="313A9688" w14:textId="77777777" w:rsidTr="00133B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6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6916F825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929D4">
              <w:rPr>
                <w:sz w:val="24"/>
                <w:szCs w:val="24"/>
              </w:rPr>
              <w:lastRenderedPageBreak/>
              <w:t xml:space="preserve">Table </w:t>
            </w:r>
            <w:r w:rsidRPr="000929D4">
              <w:rPr>
                <w:rFonts w:hint="eastAsia"/>
                <w:sz w:val="24"/>
                <w:szCs w:val="24"/>
              </w:rPr>
              <w:t>S3</w:t>
            </w:r>
            <w:r w:rsidRPr="000929D4">
              <w:rPr>
                <w:sz w:val="24"/>
                <w:szCs w:val="24"/>
              </w:rPr>
              <w:t xml:space="preserve">. </w:t>
            </w:r>
            <w:r w:rsidRPr="000929D4">
              <w:rPr>
                <w:rFonts w:hint="eastAsia"/>
                <w:sz w:val="24"/>
                <w:szCs w:val="24"/>
              </w:rPr>
              <w:t>The parameters of the qPCR program.</w:t>
            </w:r>
          </w:p>
        </w:tc>
      </w:tr>
      <w:tr w:rsidR="000929D4" w:rsidRPr="000929D4" w14:paraId="203811D5" w14:textId="77777777" w:rsidTr="00133B47">
        <w:trPr>
          <w:trHeight w:val="4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tcBorders>
              <w:top w:val="single" w:sz="18" w:space="0" w:color="auto"/>
            </w:tcBorders>
            <w:vAlign w:val="center"/>
          </w:tcPr>
          <w:p w14:paraId="2FADB93F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Step</w:t>
            </w:r>
          </w:p>
        </w:tc>
        <w:tc>
          <w:tcPr>
            <w:tcW w:w="2939" w:type="dxa"/>
            <w:tcBorders>
              <w:top w:val="single" w:sz="18" w:space="0" w:color="auto"/>
            </w:tcBorders>
            <w:vAlign w:val="center"/>
          </w:tcPr>
          <w:p w14:paraId="36A8778F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0929D4">
              <w:rPr>
                <w:rFonts w:hint="eastAsia"/>
                <w:b/>
                <w:bCs/>
                <w:sz w:val="24"/>
                <w:szCs w:val="24"/>
              </w:rPr>
              <w:t>Temperature</w:t>
            </w:r>
          </w:p>
        </w:tc>
        <w:tc>
          <w:tcPr>
            <w:tcW w:w="2358" w:type="dxa"/>
            <w:tcBorders>
              <w:top w:val="single" w:sz="18" w:space="0" w:color="auto"/>
            </w:tcBorders>
            <w:vAlign w:val="center"/>
          </w:tcPr>
          <w:p w14:paraId="77FF8256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0929D4">
              <w:rPr>
                <w:rFonts w:hint="eastAsia"/>
                <w:b/>
                <w:bCs/>
                <w:sz w:val="24"/>
                <w:szCs w:val="24"/>
              </w:rPr>
              <w:t>Duration</w:t>
            </w:r>
          </w:p>
        </w:tc>
      </w:tr>
      <w:tr w:rsidR="000929D4" w:rsidRPr="000929D4" w14:paraId="15DAD0A7" w14:textId="77777777" w:rsidTr="00133B47">
        <w:trPr>
          <w:trHeight w:val="4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</w:tcPr>
          <w:p w14:paraId="2210E422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939" w:type="dxa"/>
          </w:tcPr>
          <w:p w14:paraId="7D0CB853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95.0</w:t>
            </w:r>
            <w:r w:rsidRPr="000929D4"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2358" w:type="dxa"/>
          </w:tcPr>
          <w:p w14:paraId="6C084F65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0929D4">
              <w:rPr>
                <w:sz w:val="24"/>
                <w:szCs w:val="24"/>
              </w:rPr>
              <w:t>F</w:t>
            </w:r>
            <w:r w:rsidRPr="000929D4">
              <w:rPr>
                <w:rFonts w:hint="eastAsia"/>
                <w:sz w:val="24"/>
                <w:szCs w:val="24"/>
              </w:rPr>
              <w:t>or 5:00</w:t>
            </w:r>
          </w:p>
        </w:tc>
      </w:tr>
      <w:tr w:rsidR="000929D4" w:rsidRPr="000929D4" w14:paraId="5E7D7E1A" w14:textId="77777777" w:rsidTr="00133B47">
        <w:trPr>
          <w:trHeight w:val="4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</w:tcPr>
          <w:p w14:paraId="06834CFF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939" w:type="dxa"/>
          </w:tcPr>
          <w:p w14:paraId="762D7A32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95.0</w:t>
            </w:r>
            <w:r w:rsidRPr="000929D4"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2358" w:type="dxa"/>
          </w:tcPr>
          <w:p w14:paraId="49B5CCC5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sz w:val="24"/>
                <w:szCs w:val="24"/>
              </w:rPr>
              <w:t>F</w:t>
            </w:r>
            <w:r w:rsidRPr="000929D4">
              <w:rPr>
                <w:rFonts w:hint="eastAsia"/>
                <w:sz w:val="24"/>
                <w:szCs w:val="24"/>
              </w:rPr>
              <w:t>or 0:10</w:t>
            </w:r>
          </w:p>
        </w:tc>
      </w:tr>
      <w:tr w:rsidR="000929D4" w:rsidRPr="000929D4" w14:paraId="110B2FE4" w14:textId="77777777" w:rsidTr="00133B47">
        <w:trPr>
          <w:trHeight w:val="4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</w:tcPr>
          <w:p w14:paraId="0F5B91CD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939" w:type="dxa"/>
          </w:tcPr>
          <w:p w14:paraId="46F51D98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60.0</w:t>
            </w:r>
            <w:r w:rsidRPr="000929D4"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2358" w:type="dxa"/>
          </w:tcPr>
          <w:p w14:paraId="447D2BEE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sz w:val="24"/>
                <w:szCs w:val="24"/>
              </w:rPr>
              <w:t>F</w:t>
            </w:r>
            <w:r w:rsidRPr="000929D4">
              <w:rPr>
                <w:rFonts w:hint="eastAsia"/>
                <w:sz w:val="24"/>
                <w:szCs w:val="24"/>
              </w:rPr>
              <w:t>or 0:30</w:t>
            </w:r>
          </w:p>
        </w:tc>
      </w:tr>
      <w:tr w:rsidR="000929D4" w:rsidRPr="000929D4" w14:paraId="264B9AF7" w14:textId="77777777" w:rsidTr="00133B47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6" w:type="dxa"/>
            <w:gridSpan w:val="3"/>
          </w:tcPr>
          <w:p w14:paraId="7538FCEA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+Plate Read</w:t>
            </w:r>
          </w:p>
        </w:tc>
      </w:tr>
      <w:tr w:rsidR="000929D4" w:rsidRPr="000929D4" w14:paraId="4F508176" w14:textId="77777777" w:rsidTr="00133B47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</w:tcPr>
          <w:p w14:paraId="3D84B63F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5297" w:type="dxa"/>
            <w:gridSpan w:val="2"/>
          </w:tcPr>
          <w:p w14:paraId="2750516D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GOTO 2, 39 more times</w:t>
            </w:r>
          </w:p>
        </w:tc>
      </w:tr>
      <w:tr w:rsidR="000929D4" w:rsidRPr="000929D4" w14:paraId="43E6394C" w14:textId="77777777" w:rsidTr="00133B47">
        <w:trPr>
          <w:trHeight w:val="4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</w:tcPr>
          <w:p w14:paraId="5E8374EA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939" w:type="dxa"/>
          </w:tcPr>
          <w:p w14:paraId="7429282B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95.0</w:t>
            </w:r>
            <w:r w:rsidRPr="000929D4"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2358" w:type="dxa"/>
          </w:tcPr>
          <w:p w14:paraId="69F700CA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sz w:val="24"/>
                <w:szCs w:val="24"/>
              </w:rPr>
              <w:t>F</w:t>
            </w:r>
            <w:r w:rsidRPr="000929D4">
              <w:rPr>
                <w:rFonts w:hint="eastAsia"/>
                <w:sz w:val="24"/>
                <w:szCs w:val="24"/>
              </w:rPr>
              <w:t>or 0:15</w:t>
            </w:r>
          </w:p>
        </w:tc>
      </w:tr>
      <w:tr w:rsidR="000929D4" w:rsidRPr="000929D4" w14:paraId="55C8665A" w14:textId="77777777" w:rsidTr="00133B47">
        <w:trPr>
          <w:trHeight w:val="4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</w:tcPr>
          <w:p w14:paraId="7230F25F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297" w:type="dxa"/>
            <w:gridSpan w:val="2"/>
          </w:tcPr>
          <w:p w14:paraId="5ACF1794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Melt Curve 65.0</w:t>
            </w:r>
            <w:r w:rsidRPr="000929D4">
              <w:rPr>
                <w:rFonts w:hint="eastAsia"/>
                <w:sz w:val="24"/>
                <w:szCs w:val="24"/>
              </w:rPr>
              <w:t>℃</w:t>
            </w:r>
            <w:r w:rsidRPr="000929D4">
              <w:rPr>
                <w:rFonts w:hint="eastAsia"/>
                <w:sz w:val="24"/>
                <w:szCs w:val="24"/>
              </w:rPr>
              <w:t xml:space="preserve"> to 95.0</w:t>
            </w:r>
            <w:r w:rsidRPr="000929D4">
              <w:rPr>
                <w:rFonts w:hint="eastAsia"/>
                <w:sz w:val="24"/>
                <w:szCs w:val="24"/>
              </w:rPr>
              <w:t>℃</w:t>
            </w:r>
            <w:r w:rsidRPr="000929D4">
              <w:rPr>
                <w:rFonts w:hint="eastAsia"/>
                <w:sz w:val="24"/>
                <w:szCs w:val="24"/>
              </w:rPr>
              <w:t>, increment 0.5</w:t>
            </w:r>
            <w:r w:rsidRPr="000929D4">
              <w:rPr>
                <w:rFonts w:hint="eastAsia"/>
                <w:sz w:val="24"/>
                <w:szCs w:val="24"/>
              </w:rPr>
              <w:t>℃</w:t>
            </w:r>
            <w:r w:rsidRPr="000929D4">
              <w:rPr>
                <w:rFonts w:hint="eastAsia"/>
                <w:sz w:val="24"/>
                <w:szCs w:val="24"/>
              </w:rPr>
              <w:t>,</w:t>
            </w:r>
          </w:p>
        </w:tc>
      </w:tr>
      <w:tr w:rsidR="000929D4" w:rsidRPr="000929D4" w14:paraId="3CE33CB1" w14:textId="77777777" w:rsidTr="00133B47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</w:tcPr>
          <w:p w14:paraId="040B5F85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939" w:type="dxa"/>
          </w:tcPr>
          <w:p w14:paraId="435C161B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sz w:val="24"/>
                <w:szCs w:val="24"/>
              </w:rPr>
              <w:t>F</w:t>
            </w:r>
            <w:r w:rsidRPr="000929D4">
              <w:rPr>
                <w:rFonts w:hint="eastAsia"/>
                <w:sz w:val="24"/>
                <w:szCs w:val="24"/>
              </w:rPr>
              <w:t>or 0:05</w:t>
            </w:r>
          </w:p>
        </w:tc>
        <w:tc>
          <w:tcPr>
            <w:tcW w:w="2358" w:type="dxa"/>
          </w:tcPr>
          <w:p w14:paraId="3EC8EAC4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+Plate Read</w:t>
            </w:r>
          </w:p>
        </w:tc>
      </w:tr>
      <w:tr w:rsidR="000929D4" w:rsidRPr="000929D4" w14:paraId="434E51AB" w14:textId="77777777" w:rsidTr="00133B47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tcBorders>
              <w:bottom w:val="single" w:sz="18" w:space="0" w:color="auto"/>
            </w:tcBorders>
          </w:tcPr>
          <w:p w14:paraId="749C23D2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939" w:type="dxa"/>
            <w:tcBorders>
              <w:bottom w:val="single" w:sz="18" w:space="0" w:color="auto"/>
            </w:tcBorders>
          </w:tcPr>
          <w:p w14:paraId="2517211B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929D4">
              <w:rPr>
                <w:rFonts w:hint="eastAsia"/>
                <w:sz w:val="24"/>
                <w:szCs w:val="24"/>
              </w:rPr>
              <w:t>END</w:t>
            </w:r>
          </w:p>
        </w:tc>
        <w:tc>
          <w:tcPr>
            <w:tcW w:w="2358" w:type="dxa"/>
            <w:tcBorders>
              <w:bottom w:val="single" w:sz="18" w:space="0" w:color="auto"/>
            </w:tcBorders>
          </w:tcPr>
          <w:p w14:paraId="035DDF5B" w14:textId="77777777" w:rsidR="000929D4" w:rsidRPr="000929D4" w:rsidRDefault="000929D4" w:rsidP="000929D4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14:paraId="2E9FDC06" w14:textId="77777777" w:rsidR="000929D4" w:rsidRPr="000929D4" w:rsidRDefault="000929D4" w:rsidP="000F1763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none"/>
        </w:rPr>
      </w:pPr>
      <w:r w:rsidRPr="000929D4">
        <w:rPr>
          <w:rFonts w:ascii="Times New Roman" w:eastAsia="宋体" w:hAnsi="Times New Roman" w:cs="Times New Roman"/>
          <w:b/>
          <w:bCs/>
          <w:sz w:val="24"/>
          <w:szCs w:val="24"/>
          <w14:ligatures w14:val="none"/>
        </w:rPr>
        <w:t>Note:</w:t>
      </w:r>
      <w:r w:rsidRPr="000929D4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 The </w:t>
      </w:r>
      <w:r w:rsidRPr="000929D4">
        <w:rPr>
          <w:rFonts w:ascii="Times New Roman" w:eastAsia="宋体" w:hAnsi="Times New Roman" w:cs="Times New Roman"/>
          <w:sz w:val="24"/>
          <w:szCs w:val="24"/>
          <w14:ligatures w14:val="none"/>
        </w:rPr>
        <w:t>Express Load mode</w:t>
      </w:r>
      <w:r w:rsidRPr="000929D4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 we selected was </w:t>
      </w:r>
      <w:r w:rsidRPr="000929D4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“Quick Plate_96 </w:t>
      </w:r>
      <w:proofErr w:type="spellStart"/>
      <w:r w:rsidRPr="000929D4">
        <w:rPr>
          <w:rFonts w:ascii="Times New Roman" w:eastAsia="宋体" w:hAnsi="Times New Roman" w:cs="Times New Roman"/>
          <w:sz w:val="24"/>
          <w:szCs w:val="24"/>
          <w14:ligatures w14:val="none"/>
        </w:rPr>
        <w:t>wells_SYBR</w:t>
      </w:r>
      <w:proofErr w:type="spellEnd"/>
      <w:r w:rsidRPr="000929D4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Only.pltd”</w:t>
      </w:r>
      <w:r w:rsidRPr="000929D4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.</w:t>
      </w:r>
    </w:p>
    <w:p w14:paraId="100462CC" w14:textId="77777777" w:rsidR="00A40397" w:rsidRPr="000929D4" w:rsidRDefault="00A40397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55D2B8EB" w14:textId="77777777" w:rsidR="00A40397" w:rsidRDefault="00A40397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5D4CAC67" w14:textId="77777777" w:rsidR="00A40397" w:rsidRDefault="00A40397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5C3C0EC7" w14:textId="77777777" w:rsidR="00A40397" w:rsidRDefault="00A40397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50550774" w14:textId="77777777" w:rsidR="00314B46" w:rsidRDefault="00314B46" w:rsidP="00343AC8">
      <w:pPr>
        <w:adjustRightInd w:val="0"/>
        <w:snapToGrid w:val="0"/>
        <w:spacing w:line="480" w:lineRule="auto"/>
        <w:rPr>
          <w:rFonts w:hint="eastAsia"/>
        </w:rPr>
      </w:pPr>
    </w:p>
    <w:p w14:paraId="4248CAF4" w14:textId="77777777" w:rsidR="00343AC8" w:rsidRDefault="00343AC8" w:rsidP="00343AC8">
      <w:pPr>
        <w:adjustRightInd w:val="0"/>
        <w:snapToGrid w:val="0"/>
        <w:spacing w:line="480" w:lineRule="auto"/>
        <w:rPr>
          <w:rFonts w:hint="eastAsia"/>
        </w:rPr>
      </w:pPr>
    </w:p>
    <w:sectPr w:rsidR="00343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EE5BE2" w14:textId="77777777" w:rsidR="007279DF" w:rsidRDefault="007279DF" w:rsidP="00F97466">
      <w:pPr>
        <w:rPr>
          <w:rFonts w:hint="eastAsia"/>
        </w:rPr>
      </w:pPr>
      <w:r>
        <w:separator/>
      </w:r>
    </w:p>
  </w:endnote>
  <w:endnote w:type="continuationSeparator" w:id="0">
    <w:p w14:paraId="6303D915" w14:textId="77777777" w:rsidR="007279DF" w:rsidRDefault="007279DF" w:rsidP="00F9746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234CE8" w14:textId="77777777" w:rsidR="007279DF" w:rsidRDefault="007279DF" w:rsidP="00F97466">
      <w:pPr>
        <w:rPr>
          <w:rFonts w:hint="eastAsia"/>
        </w:rPr>
      </w:pPr>
      <w:r>
        <w:separator/>
      </w:r>
    </w:p>
  </w:footnote>
  <w:footnote w:type="continuationSeparator" w:id="0">
    <w:p w14:paraId="3DF50550" w14:textId="77777777" w:rsidR="007279DF" w:rsidRDefault="007279DF" w:rsidP="00F9746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AC8"/>
    <w:rsid w:val="000929D4"/>
    <w:rsid w:val="000F1763"/>
    <w:rsid w:val="00314B46"/>
    <w:rsid w:val="00331848"/>
    <w:rsid w:val="00343AC8"/>
    <w:rsid w:val="003F2B61"/>
    <w:rsid w:val="005A4A84"/>
    <w:rsid w:val="00606017"/>
    <w:rsid w:val="007279DF"/>
    <w:rsid w:val="008B6035"/>
    <w:rsid w:val="008D342D"/>
    <w:rsid w:val="00930DAB"/>
    <w:rsid w:val="00A200A3"/>
    <w:rsid w:val="00A40397"/>
    <w:rsid w:val="00A46D88"/>
    <w:rsid w:val="00EF1FEC"/>
    <w:rsid w:val="00F9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55A943"/>
  <w15:chartTrackingRefBased/>
  <w15:docId w15:val="{D6BFFE83-DED3-42EB-8439-99DBC0F22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rsid w:val="00A40397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1">
    <w:name w:val="无格式表格 211"/>
    <w:basedOn w:val="a1"/>
    <w:uiPriority w:val="42"/>
    <w:rsid w:val="00A40397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2">
    <w:name w:val="无格式表格 212"/>
    <w:basedOn w:val="a1"/>
    <w:uiPriority w:val="42"/>
    <w:rsid w:val="000929D4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a3">
    <w:name w:val="header"/>
    <w:basedOn w:val="a"/>
    <w:link w:val="a4"/>
    <w:uiPriority w:val="99"/>
    <w:unhideWhenUsed/>
    <w:rsid w:val="00F974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74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7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74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 Peng</dc:creator>
  <cp:keywords/>
  <dc:description/>
  <cp:lastModifiedBy>jr Peng</cp:lastModifiedBy>
  <cp:revision>10</cp:revision>
  <dcterms:created xsi:type="dcterms:W3CDTF">2024-08-25T07:38:00Z</dcterms:created>
  <dcterms:modified xsi:type="dcterms:W3CDTF">2024-08-25T08:59:00Z</dcterms:modified>
</cp:coreProperties>
</file>