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54DDC3" w14:textId="77777777" w:rsidR="00974F3A" w:rsidRPr="007F1058" w:rsidRDefault="00974F3A" w:rsidP="00974F3A">
      <w:pPr>
        <w:bidi w:val="0"/>
        <w:spacing w:line="240" w:lineRule="auto"/>
        <w:rPr>
          <w:rFonts w:asciiTheme="majorBidi" w:hAnsiTheme="majorBidi" w:cstheme="majorBidi"/>
          <w:b/>
          <w:bCs/>
          <w:sz w:val="24"/>
          <w:szCs w:val="24"/>
        </w:rPr>
      </w:pPr>
      <w:r w:rsidRPr="007F1058">
        <w:rPr>
          <w:rFonts w:asciiTheme="majorBidi" w:hAnsiTheme="majorBidi" w:cstheme="majorBidi"/>
          <w:b/>
          <w:bCs/>
          <w:sz w:val="24"/>
          <w:szCs w:val="24"/>
        </w:rPr>
        <w:t>Appendix</w:t>
      </w:r>
    </w:p>
    <w:p w14:paraId="0FCC6413" w14:textId="77777777" w:rsidR="00974F3A" w:rsidRPr="007F1058" w:rsidRDefault="00974F3A" w:rsidP="00974F3A">
      <w:pPr>
        <w:bidi w:val="0"/>
        <w:spacing w:line="240" w:lineRule="auto"/>
        <w:rPr>
          <w:rFonts w:asciiTheme="majorBidi" w:hAnsiTheme="majorBidi" w:cstheme="majorBidi"/>
          <w:sz w:val="24"/>
          <w:szCs w:val="24"/>
        </w:rPr>
      </w:pPr>
    </w:p>
    <w:p w14:paraId="2F27E566" w14:textId="77777777" w:rsidR="00974F3A" w:rsidRPr="007F1058" w:rsidRDefault="00974F3A" w:rsidP="00974F3A">
      <w:pPr>
        <w:bidi w:val="0"/>
        <w:spacing w:line="240" w:lineRule="auto"/>
        <w:rPr>
          <w:rFonts w:asciiTheme="majorBidi" w:hAnsiTheme="majorBidi" w:cstheme="majorBidi"/>
          <w:b/>
          <w:bCs/>
          <w:sz w:val="24"/>
          <w:szCs w:val="24"/>
        </w:rPr>
      </w:pPr>
      <w:r w:rsidRPr="007F1058">
        <w:rPr>
          <w:rFonts w:asciiTheme="majorBidi" w:hAnsiTheme="majorBidi" w:cstheme="majorBidi"/>
          <w:b/>
          <w:bCs/>
          <w:sz w:val="24"/>
          <w:szCs w:val="24"/>
        </w:rPr>
        <w:t>Explanation on the Socio-Economic Status (SES) Measure</w:t>
      </w:r>
      <w:r w:rsidRPr="007F1058">
        <w:rPr>
          <w:rFonts w:asciiTheme="majorBidi" w:hAnsiTheme="majorBidi" w:cs="Times New Roman"/>
          <w:b/>
          <w:bCs/>
          <w:sz w:val="24"/>
          <w:szCs w:val="24"/>
          <w:rtl/>
        </w:rPr>
        <w:t xml:space="preserve"> </w:t>
      </w:r>
    </w:p>
    <w:p w14:paraId="2898523F" w14:textId="77777777" w:rsidR="00974F3A" w:rsidRPr="007F1058" w:rsidRDefault="00974F3A" w:rsidP="00974F3A">
      <w:pPr>
        <w:bidi w:val="0"/>
        <w:spacing w:line="480" w:lineRule="auto"/>
        <w:rPr>
          <w:rFonts w:asciiTheme="majorBidi" w:hAnsiTheme="majorBidi" w:cstheme="majorBidi"/>
          <w:sz w:val="24"/>
          <w:szCs w:val="24"/>
        </w:rPr>
      </w:pPr>
      <w:r w:rsidRPr="007F1058">
        <w:rPr>
          <w:rFonts w:asciiTheme="majorBidi" w:hAnsiTheme="majorBidi" w:cstheme="majorBidi"/>
          <w:sz w:val="24"/>
          <w:szCs w:val="24"/>
        </w:rPr>
        <w:t>SES was based on the small statistical areas (SSA) used in the 2008 Israeli census. The SSAs contain 3000–4000 people and are created to maintain homogeneity in terms of the sociodemographic composition of the population (1). The Israeli Central Bureau of Statistics (CBS) utilized demography, education, employment, housing conditions, and income to define the SSAs, and these were grouped into 20 categories. This data was updated by the POINTS Location Intelligence Company (2) to improve the accuracy of the SES measure, using up-to-date sociodemographic, commercial, and housing data (3). The entire CHS population was grouped into ten categories, ranging from 1 (lowest) to 10 (highest)</w:t>
      </w:r>
      <w:r w:rsidRPr="007F1058">
        <w:rPr>
          <w:rFonts w:asciiTheme="majorBidi" w:hAnsiTheme="majorBidi" w:cs="Times New Roman"/>
          <w:sz w:val="24"/>
          <w:szCs w:val="24"/>
          <w:rtl/>
        </w:rPr>
        <w:t>.</w:t>
      </w:r>
    </w:p>
    <w:p w14:paraId="76980CB5" w14:textId="77777777" w:rsidR="00974F3A" w:rsidRPr="007F1058" w:rsidRDefault="00974F3A" w:rsidP="00974F3A">
      <w:pPr>
        <w:pStyle w:val="ListParagraph"/>
        <w:numPr>
          <w:ilvl w:val="0"/>
          <w:numId w:val="1"/>
        </w:numPr>
        <w:bidi w:val="0"/>
        <w:spacing w:line="240" w:lineRule="auto"/>
        <w:rPr>
          <w:rFonts w:asciiTheme="majorBidi" w:hAnsiTheme="majorBidi" w:cstheme="majorBidi"/>
          <w:sz w:val="24"/>
          <w:szCs w:val="24"/>
        </w:rPr>
      </w:pPr>
      <w:r w:rsidRPr="007F1058">
        <w:rPr>
          <w:rFonts w:asciiTheme="majorBidi" w:hAnsiTheme="majorBidi" w:cstheme="majorBidi"/>
          <w:sz w:val="24"/>
          <w:szCs w:val="24"/>
        </w:rPr>
        <w:t>Central Bureau of Statistics Israel. Characterization and classification of geographical units by the socio-economic level of the population 2008. Jerusalem, 2013</w:t>
      </w:r>
      <w:r w:rsidRPr="007F1058">
        <w:rPr>
          <w:rFonts w:asciiTheme="majorBidi" w:hAnsiTheme="majorBidi" w:cs="Times New Roman"/>
          <w:sz w:val="24"/>
          <w:szCs w:val="24"/>
          <w:rtl/>
        </w:rPr>
        <w:t>.</w:t>
      </w:r>
    </w:p>
    <w:p w14:paraId="422C6315" w14:textId="77777777" w:rsidR="00974F3A" w:rsidRPr="007F1058" w:rsidRDefault="00974F3A" w:rsidP="00974F3A">
      <w:pPr>
        <w:pStyle w:val="ListParagraph"/>
        <w:numPr>
          <w:ilvl w:val="0"/>
          <w:numId w:val="1"/>
        </w:numPr>
        <w:bidi w:val="0"/>
        <w:spacing w:line="240" w:lineRule="auto"/>
        <w:rPr>
          <w:rFonts w:asciiTheme="majorBidi" w:hAnsiTheme="majorBidi" w:cstheme="majorBidi"/>
          <w:sz w:val="24"/>
          <w:szCs w:val="24"/>
        </w:rPr>
      </w:pPr>
      <w:r w:rsidRPr="007F1058">
        <w:rPr>
          <w:rFonts w:asciiTheme="majorBidi" w:hAnsiTheme="majorBidi" w:cstheme="majorBidi"/>
          <w:sz w:val="24"/>
          <w:szCs w:val="24"/>
        </w:rPr>
        <w:t>Points location intelligence, 2021. https://points.co.il/en/points-location-intelligence/[Accessed Oct 3, 2021]</w:t>
      </w:r>
      <w:r w:rsidRPr="007F1058">
        <w:rPr>
          <w:rFonts w:asciiTheme="majorBidi" w:hAnsiTheme="majorBidi" w:cs="Times New Roman"/>
          <w:sz w:val="24"/>
          <w:szCs w:val="24"/>
          <w:rtl/>
        </w:rPr>
        <w:t>.</w:t>
      </w:r>
    </w:p>
    <w:p w14:paraId="3BE1E2B0" w14:textId="77777777" w:rsidR="00974F3A" w:rsidRDefault="00974F3A" w:rsidP="00974F3A">
      <w:pPr>
        <w:pStyle w:val="ListParagraph"/>
        <w:numPr>
          <w:ilvl w:val="0"/>
          <w:numId w:val="1"/>
        </w:numPr>
        <w:bidi w:val="0"/>
        <w:spacing w:line="240" w:lineRule="auto"/>
        <w:rPr>
          <w:rFonts w:asciiTheme="majorBidi" w:hAnsiTheme="majorBidi" w:cstheme="majorBidi"/>
          <w:sz w:val="24"/>
          <w:szCs w:val="24"/>
        </w:rPr>
      </w:pPr>
      <w:r w:rsidRPr="007F1058">
        <w:rPr>
          <w:rFonts w:asciiTheme="majorBidi" w:hAnsiTheme="majorBidi" w:cstheme="majorBidi"/>
          <w:sz w:val="24"/>
          <w:szCs w:val="24"/>
        </w:rPr>
        <w:t>Weisband, Y.L., Kaufman-Shriqui, V., Sagy, Y.W., Krieger, M., Ahmad, W.A. and Manor, O., 2020. Area-level socio-economic disparity trends in nutritional status among 5–6-year-old children in Israel. Archives of disease in childhood, 105(11), pp.1049-1054.</w:t>
      </w:r>
    </w:p>
    <w:p w14:paraId="63C24D68" w14:textId="77777777" w:rsidR="00974F3A" w:rsidRDefault="00974F3A" w:rsidP="00974F3A">
      <w:pPr>
        <w:bidi w:val="0"/>
        <w:spacing w:line="240" w:lineRule="auto"/>
        <w:rPr>
          <w:rFonts w:asciiTheme="majorBidi" w:hAnsiTheme="majorBidi" w:cstheme="majorBidi"/>
          <w:sz w:val="24"/>
          <w:szCs w:val="24"/>
        </w:rPr>
      </w:pPr>
    </w:p>
    <w:p w14:paraId="302075F5" w14:textId="77777777" w:rsidR="00974F3A" w:rsidRDefault="00974F3A" w:rsidP="00974F3A">
      <w:pPr>
        <w:bidi w:val="0"/>
        <w:spacing w:line="240" w:lineRule="auto"/>
        <w:rPr>
          <w:rFonts w:asciiTheme="majorBidi" w:hAnsiTheme="majorBidi" w:cstheme="majorBidi"/>
          <w:sz w:val="24"/>
          <w:szCs w:val="24"/>
        </w:rPr>
      </w:pPr>
    </w:p>
    <w:p w14:paraId="685A1669" w14:textId="77777777" w:rsidR="00974F3A" w:rsidRDefault="00974F3A" w:rsidP="00974F3A">
      <w:pPr>
        <w:bidi w:val="0"/>
        <w:spacing w:line="240" w:lineRule="auto"/>
        <w:rPr>
          <w:rFonts w:asciiTheme="majorBidi" w:hAnsiTheme="majorBidi" w:cstheme="majorBidi"/>
          <w:sz w:val="24"/>
          <w:szCs w:val="24"/>
        </w:rPr>
      </w:pPr>
    </w:p>
    <w:p w14:paraId="631AB540" w14:textId="77777777" w:rsidR="00974F3A" w:rsidRDefault="00974F3A" w:rsidP="00974F3A">
      <w:pPr>
        <w:bidi w:val="0"/>
        <w:spacing w:line="240" w:lineRule="auto"/>
        <w:rPr>
          <w:rFonts w:asciiTheme="majorBidi" w:hAnsiTheme="majorBidi" w:cstheme="majorBidi"/>
          <w:sz w:val="24"/>
          <w:szCs w:val="24"/>
        </w:rPr>
      </w:pPr>
    </w:p>
    <w:p w14:paraId="12A842CD" w14:textId="77777777" w:rsidR="00974F3A" w:rsidRDefault="00974F3A" w:rsidP="00974F3A">
      <w:pPr>
        <w:bidi w:val="0"/>
        <w:spacing w:line="240" w:lineRule="auto"/>
        <w:rPr>
          <w:rFonts w:asciiTheme="majorBidi" w:hAnsiTheme="majorBidi" w:cstheme="majorBidi"/>
          <w:sz w:val="24"/>
          <w:szCs w:val="24"/>
        </w:rPr>
      </w:pPr>
    </w:p>
    <w:p w14:paraId="5C177130" w14:textId="77777777" w:rsidR="00974F3A" w:rsidRDefault="00974F3A" w:rsidP="00974F3A">
      <w:pPr>
        <w:bidi w:val="0"/>
        <w:spacing w:line="240" w:lineRule="auto"/>
        <w:rPr>
          <w:rFonts w:asciiTheme="majorBidi" w:hAnsiTheme="majorBidi" w:cstheme="majorBidi"/>
          <w:sz w:val="24"/>
          <w:szCs w:val="24"/>
        </w:rPr>
      </w:pPr>
    </w:p>
    <w:p w14:paraId="0A5E198E" w14:textId="77777777" w:rsidR="00974F3A" w:rsidRDefault="00974F3A" w:rsidP="00974F3A">
      <w:pPr>
        <w:bidi w:val="0"/>
        <w:spacing w:line="240" w:lineRule="auto"/>
        <w:rPr>
          <w:rFonts w:asciiTheme="majorBidi" w:hAnsiTheme="majorBidi" w:cstheme="majorBidi"/>
          <w:sz w:val="24"/>
          <w:szCs w:val="24"/>
        </w:rPr>
      </w:pPr>
    </w:p>
    <w:p w14:paraId="57070B44" w14:textId="77777777" w:rsidR="00974F3A" w:rsidRDefault="00974F3A" w:rsidP="00974F3A">
      <w:pPr>
        <w:bidi w:val="0"/>
        <w:spacing w:line="240" w:lineRule="auto"/>
        <w:rPr>
          <w:rFonts w:asciiTheme="majorBidi" w:hAnsiTheme="majorBidi" w:cstheme="majorBidi"/>
          <w:sz w:val="24"/>
          <w:szCs w:val="24"/>
        </w:rPr>
      </w:pPr>
    </w:p>
    <w:p w14:paraId="44480FC3" w14:textId="77777777" w:rsidR="00974F3A" w:rsidRDefault="00974F3A" w:rsidP="00974F3A">
      <w:pPr>
        <w:bidi w:val="0"/>
        <w:spacing w:line="240" w:lineRule="auto"/>
        <w:rPr>
          <w:rFonts w:asciiTheme="majorBidi" w:hAnsiTheme="majorBidi" w:cstheme="majorBidi"/>
          <w:sz w:val="24"/>
          <w:szCs w:val="24"/>
        </w:rPr>
      </w:pPr>
    </w:p>
    <w:p w14:paraId="1B918070" w14:textId="77777777" w:rsidR="00974F3A" w:rsidRDefault="00974F3A" w:rsidP="00974F3A">
      <w:pPr>
        <w:bidi w:val="0"/>
        <w:spacing w:line="240" w:lineRule="auto"/>
        <w:rPr>
          <w:rFonts w:asciiTheme="majorBidi" w:hAnsiTheme="majorBidi" w:cstheme="majorBidi"/>
          <w:sz w:val="24"/>
          <w:szCs w:val="24"/>
        </w:rPr>
        <w:sectPr w:rsidR="00974F3A" w:rsidSect="00974F3A">
          <w:pgSz w:w="11906" w:h="16838"/>
          <w:pgMar w:top="1440" w:right="1800" w:bottom="1440" w:left="1800" w:header="708" w:footer="708" w:gutter="0"/>
          <w:cols w:space="708"/>
          <w:bidi/>
          <w:rtlGutter/>
          <w:docGrid w:linePitch="360"/>
        </w:sectPr>
      </w:pPr>
    </w:p>
    <w:p w14:paraId="37F8FEF0" w14:textId="77777777" w:rsidR="00974F3A" w:rsidRDefault="00974F3A" w:rsidP="00974F3A">
      <w:pPr>
        <w:bidi w:val="0"/>
        <w:spacing w:after="0" w:line="240" w:lineRule="auto"/>
        <w:rPr>
          <w:rFonts w:asciiTheme="majorBidi" w:hAnsiTheme="majorBidi" w:cstheme="majorBidi"/>
          <w:sz w:val="24"/>
          <w:szCs w:val="24"/>
        </w:rPr>
      </w:pPr>
    </w:p>
    <w:p w14:paraId="66590425" w14:textId="77777777" w:rsidR="00974F3A" w:rsidRPr="003645F7" w:rsidRDefault="00974F3A" w:rsidP="00974F3A">
      <w:pPr>
        <w:pStyle w:val="ListParagraph"/>
        <w:numPr>
          <w:ilvl w:val="0"/>
          <w:numId w:val="2"/>
        </w:numPr>
        <w:bidi w:val="0"/>
        <w:spacing w:after="0" w:line="240" w:lineRule="auto"/>
        <w:rPr>
          <w:rFonts w:asciiTheme="majorBidi" w:hAnsiTheme="majorBidi" w:cstheme="majorBidi"/>
          <w:b/>
          <w:bCs/>
          <w:sz w:val="24"/>
          <w:szCs w:val="24"/>
        </w:rPr>
      </w:pPr>
      <w:r w:rsidRPr="003645F7">
        <w:rPr>
          <w:rFonts w:asciiTheme="majorBidi" w:hAnsiTheme="majorBidi" w:cstheme="majorBidi"/>
          <w:b/>
          <w:bCs/>
          <w:sz w:val="24"/>
          <w:szCs w:val="24"/>
        </w:rPr>
        <w:t xml:space="preserve">                                                                             (b)</w:t>
      </w:r>
    </w:p>
    <w:p w14:paraId="0000D9CF" w14:textId="77777777" w:rsidR="00974F3A" w:rsidRDefault="00974F3A" w:rsidP="00974F3A">
      <w:pPr>
        <w:bidi w:val="0"/>
        <w:spacing w:after="0" w:line="240" w:lineRule="auto"/>
        <w:jc w:val="center"/>
        <w:rPr>
          <w:rFonts w:asciiTheme="majorBidi" w:hAnsiTheme="majorBidi" w:cstheme="majorBidi"/>
          <w:sz w:val="24"/>
          <w:szCs w:val="24"/>
        </w:rPr>
      </w:pPr>
      <w:r w:rsidRPr="00775B64">
        <w:rPr>
          <w:rFonts w:cs="Arial"/>
          <w:noProof/>
          <w:rtl/>
        </w:rPr>
        <w:drawing>
          <wp:inline distT="0" distB="0" distL="0" distR="0" wp14:anchorId="66C66EB4" wp14:editId="6591EB05">
            <wp:extent cx="3420000" cy="2736000"/>
            <wp:effectExtent l="0" t="0" r="9525" b="7620"/>
            <wp:docPr id="1" name="תמונה 1" descr="\\clalit\dfs$\Docs\TICHNON\Share\mechkar\Projects\Wiessam\LongCovid_mortality_Individual\landmark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alit\dfs$\Docs\TICHNON\Share\mechkar\Projects\Wiessam\LongCovid_mortality_Individual\landmark_6.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20000" cy="2736000"/>
                    </a:xfrm>
                    <a:prstGeom prst="rect">
                      <a:avLst/>
                    </a:prstGeom>
                    <a:noFill/>
                    <a:ln>
                      <a:noFill/>
                    </a:ln>
                  </pic:spPr>
                </pic:pic>
              </a:graphicData>
            </a:graphic>
          </wp:inline>
        </w:drawing>
      </w:r>
      <w:r w:rsidRPr="00775B64">
        <w:rPr>
          <w:rFonts w:cs="Arial"/>
          <w:noProof/>
          <w:rtl/>
        </w:rPr>
        <w:drawing>
          <wp:inline distT="0" distB="0" distL="0" distR="0" wp14:anchorId="29F213C8" wp14:editId="46EDA7E3">
            <wp:extent cx="3420000" cy="2736000"/>
            <wp:effectExtent l="0" t="0" r="9525" b="7620"/>
            <wp:docPr id="2" name="תמונה 2" descr="\\clalit\dfs$\Docs\TICHNON\Share\mechkar\Projects\Wiessam\LongCovid_mortality_Individual\landmark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alit\dfs$\Docs\TICHNON\Share\mechkar\Projects\Wiessam\LongCovid_mortality_Individual\landmark_1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20000" cy="2736000"/>
                    </a:xfrm>
                    <a:prstGeom prst="rect">
                      <a:avLst/>
                    </a:prstGeom>
                    <a:noFill/>
                    <a:ln>
                      <a:noFill/>
                    </a:ln>
                  </pic:spPr>
                </pic:pic>
              </a:graphicData>
            </a:graphic>
          </wp:inline>
        </w:drawing>
      </w:r>
    </w:p>
    <w:p w14:paraId="3BB08FEC" w14:textId="77777777" w:rsidR="00974F3A" w:rsidRPr="003645F7" w:rsidRDefault="00974F3A" w:rsidP="00974F3A">
      <w:pPr>
        <w:bidi w:val="0"/>
        <w:spacing w:after="0" w:line="240" w:lineRule="auto"/>
        <w:ind w:left="3540"/>
        <w:rPr>
          <w:rFonts w:asciiTheme="majorBidi" w:hAnsiTheme="majorBidi" w:cstheme="majorBidi"/>
          <w:b/>
          <w:bCs/>
          <w:sz w:val="24"/>
          <w:szCs w:val="24"/>
        </w:rPr>
      </w:pPr>
      <w:r w:rsidRPr="003645F7">
        <w:rPr>
          <w:rFonts w:asciiTheme="majorBidi" w:hAnsiTheme="majorBidi" w:cstheme="majorBidi"/>
          <w:b/>
          <w:bCs/>
          <w:sz w:val="24"/>
          <w:szCs w:val="24"/>
        </w:rPr>
        <w:t>(c)                                                                             (d)</w:t>
      </w:r>
    </w:p>
    <w:p w14:paraId="7F8E33A3" w14:textId="77777777" w:rsidR="00974F3A" w:rsidRDefault="00974F3A" w:rsidP="00974F3A">
      <w:pPr>
        <w:bidi w:val="0"/>
        <w:spacing w:after="0" w:line="240" w:lineRule="auto"/>
        <w:jc w:val="center"/>
        <w:rPr>
          <w:rFonts w:asciiTheme="majorBidi" w:hAnsiTheme="majorBidi" w:cstheme="majorBidi"/>
          <w:sz w:val="24"/>
          <w:szCs w:val="24"/>
        </w:rPr>
      </w:pPr>
      <w:r w:rsidRPr="00775B64">
        <w:rPr>
          <w:rFonts w:cs="Arial"/>
          <w:noProof/>
          <w:rtl/>
        </w:rPr>
        <w:drawing>
          <wp:inline distT="0" distB="0" distL="0" distR="0" wp14:anchorId="264E8D34" wp14:editId="2E8BC049">
            <wp:extent cx="3420000" cy="2736000"/>
            <wp:effectExtent l="0" t="0" r="9525" b="7620"/>
            <wp:docPr id="3" name="תמונה 3" descr="\\clalit\dfs$\Docs\TICHNON\Share\mechkar\Projects\Wiessam\LongCovid_mortality_Individual\landmark_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alit\dfs$\Docs\TICHNON\Share\mechkar\Projects\Wiessam\LongCovid_mortality_Individual\landmark_18.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20000" cy="2736000"/>
                    </a:xfrm>
                    <a:prstGeom prst="rect">
                      <a:avLst/>
                    </a:prstGeom>
                    <a:noFill/>
                    <a:ln>
                      <a:noFill/>
                    </a:ln>
                  </pic:spPr>
                </pic:pic>
              </a:graphicData>
            </a:graphic>
          </wp:inline>
        </w:drawing>
      </w:r>
      <w:r w:rsidRPr="00775B64">
        <w:rPr>
          <w:rFonts w:cs="Arial"/>
          <w:noProof/>
          <w:rtl/>
        </w:rPr>
        <w:drawing>
          <wp:inline distT="0" distB="0" distL="0" distR="0" wp14:anchorId="425C736E" wp14:editId="6FC524AA">
            <wp:extent cx="3420000" cy="2736000"/>
            <wp:effectExtent l="0" t="0" r="9525" b="7620"/>
            <wp:docPr id="4" name="תמונה 4" descr="\\clalit\dfs$\Docs\TICHNON\Share\mechkar\Projects\Wiessam\LongCovid_mortality_Individual\landmark_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alit\dfs$\Docs\TICHNON\Share\mechkar\Projects\Wiessam\LongCovid_mortality_Individual\landmark_24.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0000" cy="2736000"/>
                    </a:xfrm>
                    <a:prstGeom prst="rect">
                      <a:avLst/>
                    </a:prstGeom>
                    <a:noFill/>
                    <a:ln>
                      <a:noFill/>
                    </a:ln>
                  </pic:spPr>
                </pic:pic>
              </a:graphicData>
            </a:graphic>
          </wp:inline>
        </w:drawing>
      </w:r>
    </w:p>
    <w:p w14:paraId="0D5FF937" w14:textId="77777777" w:rsidR="00974F3A" w:rsidRPr="003645F7" w:rsidRDefault="00974F3A" w:rsidP="00974F3A">
      <w:pPr>
        <w:bidi w:val="0"/>
        <w:spacing w:after="0" w:line="240" w:lineRule="auto"/>
        <w:ind w:left="3540"/>
        <w:rPr>
          <w:rFonts w:asciiTheme="majorBidi" w:hAnsiTheme="majorBidi" w:cstheme="majorBidi"/>
          <w:b/>
          <w:bCs/>
          <w:sz w:val="24"/>
          <w:szCs w:val="24"/>
        </w:rPr>
      </w:pPr>
      <w:r w:rsidRPr="003645F7">
        <w:rPr>
          <w:rFonts w:asciiTheme="majorBidi" w:hAnsiTheme="majorBidi" w:cstheme="majorBidi"/>
          <w:b/>
          <w:bCs/>
          <w:sz w:val="24"/>
          <w:szCs w:val="24"/>
        </w:rPr>
        <w:t>(e)                                                                             (f)</w:t>
      </w:r>
    </w:p>
    <w:p w14:paraId="35E87658" w14:textId="77777777" w:rsidR="00974F3A" w:rsidRDefault="00974F3A" w:rsidP="00974F3A">
      <w:pPr>
        <w:bidi w:val="0"/>
        <w:spacing w:after="0" w:line="240" w:lineRule="auto"/>
        <w:jc w:val="center"/>
        <w:rPr>
          <w:rFonts w:asciiTheme="majorBidi" w:hAnsiTheme="majorBidi" w:cstheme="majorBidi"/>
          <w:sz w:val="24"/>
          <w:szCs w:val="24"/>
        </w:rPr>
      </w:pPr>
      <w:r w:rsidRPr="00775B64">
        <w:rPr>
          <w:rFonts w:cs="Arial"/>
          <w:noProof/>
          <w:rtl/>
        </w:rPr>
        <w:drawing>
          <wp:inline distT="0" distB="0" distL="0" distR="0" wp14:anchorId="791C8890" wp14:editId="56AFF16D">
            <wp:extent cx="3420000" cy="2736000"/>
            <wp:effectExtent l="0" t="0" r="9525" b="7620"/>
            <wp:docPr id="5" name="תמונה 5" descr="\\clalit\dfs$\Docs\TICHNON\Share\mechkar\Projects\Wiessam\LongCovid_mortality_Individual\landmark_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lit\dfs$\Docs\TICHNON\Share\mechkar\Projects\Wiessam\LongCovid_mortality_Individual\landmark_3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0000" cy="2736000"/>
                    </a:xfrm>
                    <a:prstGeom prst="rect">
                      <a:avLst/>
                    </a:prstGeom>
                    <a:noFill/>
                    <a:ln>
                      <a:noFill/>
                    </a:ln>
                  </pic:spPr>
                </pic:pic>
              </a:graphicData>
            </a:graphic>
          </wp:inline>
        </w:drawing>
      </w:r>
      <w:r w:rsidRPr="00775B64">
        <w:rPr>
          <w:rFonts w:cs="Arial"/>
          <w:noProof/>
          <w:rtl/>
        </w:rPr>
        <w:drawing>
          <wp:inline distT="0" distB="0" distL="0" distR="0" wp14:anchorId="36CDB8D7" wp14:editId="0D38EC92">
            <wp:extent cx="3420000" cy="2736000"/>
            <wp:effectExtent l="0" t="0" r="9525" b="7620"/>
            <wp:docPr id="6" name="תמונה 6" descr="\\clalit\dfs$\Docs\TICHNON\Share\mechkar\Projects\Wiessam\LongCovid_mortality_Individual\landmark_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lit\dfs$\Docs\TICHNON\Share\mechkar\Projects\Wiessam\LongCovid_mortality_Individual\landmark_36.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20000" cy="2736000"/>
                    </a:xfrm>
                    <a:prstGeom prst="rect">
                      <a:avLst/>
                    </a:prstGeom>
                    <a:noFill/>
                    <a:ln>
                      <a:noFill/>
                    </a:ln>
                  </pic:spPr>
                </pic:pic>
              </a:graphicData>
            </a:graphic>
          </wp:inline>
        </w:drawing>
      </w:r>
    </w:p>
    <w:p w14:paraId="3210CCC3" w14:textId="77777777" w:rsidR="00974F3A" w:rsidRDefault="00974F3A" w:rsidP="00974F3A">
      <w:pPr>
        <w:bidi w:val="0"/>
        <w:spacing w:line="240" w:lineRule="auto"/>
        <w:rPr>
          <w:rFonts w:asciiTheme="majorBidi" w:hAnsiTheme="majorBidi" w:cstheme="majorBidi"/>
          <w:sz w:val="24"/>
          <w:szCs w:val="24"/>
        </w:rPr>
        <w:sectPr w:rsidR="00974F3A" w:rsidSect="00974F3A">
          <w:pgSz w:w="11906" w:h="16838"/>
          <w:pgMar w:top="113" w:right="113" w:bottom="113" w:left="113" w:header="709" w:footer="709" w:gutter="0"/>
          <w:cols w:space="708"/>
          <w:bidi/>
          <w:rtlGutter/>
          <w:docGrid w:linePitch="360"/>
        </w:sectPr>
      </w:pPr>
      <w:r w:rsidRPr="00112DC1">
        <w:rPr>
          <w:rFonts w:asciiTheme="majorBidi" w:hAnsiTheme="majorBidi" w:cstheme="majorBidi"/>
          <w:b/>
          <w:bCs/>
          <w:sz w:val="24"/>
          <w:szCs w:val="24"/>
        </w:rPr>
        <w:t>Figure S</w:t>
      </w:r>
      <w:r>
        <w:rPr>
          <w:rFonts w:asciiTheme="majorBidi" w:hAnsiTheme="majorBidi" w:cstheme="majorBidi"/>
          <w:b/>
          <w:bCs/>
          <w:sz w:val="24"/>
          <w:szCs w:val="24"/>
        </w:rPr>
        <w:t>1</w:t>
      </w:r>
      <w:r w:rsidRPr="00112DC1">
        <w:rPr>
          <w:rFonts w:asciiTheme="majorBidi" w:hAnsiTheme="majorBidi" w:cstheme="majorBidi"/>
          <w:b/>
          <w:bCs/>
          <w:sz w:val="24"/>
          <w:szCs w:val="24"/>
        </w:rPr>
        <w:t>.</w:t>
      </w:r>
      <w:r>
        <w:rPr>
          <w:rFonts w:asciiTheme="majorBidi" w:hAnsiTheme="majorBidi" w:cstheme="majorBidi"/>
          <w:sz w:val="24"/>
          <w:szCs w:val="24"/>
        </w:rPr>
        <w:t xml:space="preserve"> </w:t>
      </w:r>
      <w:r w:rsidRPr="00112DC1">
        <w:rPr>
          <w:rFonts w:asciiTheme="majorBidi" w:hAnsiTheme="majorBidi" w:cstheme="majorBidi"/>
          <w:sz w:val="24"/>
          <w:szCs w:val="24"/>
        </w:rPr>
        <w:t>Cumulative incidence of death over time from 6-month landmarks: Comparative analysis of COVID-19 hospitalized vs. control groups. (a) 6 months after the start of follow-up</w:t>
      </w:r>
      <w:r>
        <w:rPr>
          <w:rFonts w:asciiTheme="majorBidi" w:hAnsiTheme="majorBidi" w:cstheme="majorBidi"/>
          <w:sz w:val="24"/>
          <w:szCs w:val="24"/>
        </w:rPr>
        <w:t xml:space="preserve"> (HR=1.49 (1.36-1.62))</w:t>
      </w:r>
      <w:r w:rsidRPr="00112DC1">
        <w:rPr>
          <w:rFonts w:asciiTheme="majorBidi" w:hAnsiTheme="majorBidi" w:cstheme="majorBidi"/>
          <w:sz w:val="24"/>
          <w:szCs w:val="24"/>
        </w:rPr>
        <w:t>, (b) 12 months after the start of follow-up</w:t>
      </w:r>
      <w:r>
        <w:rPr>
          <w:rFonts w:asciiTheme="majorBidi" w:hAnsiTheme="majorBidi" w:cstheme="majorBidi"/>
          <w:sz w:val="24"/>
          <w:szCs w:val="24"/>
        </w:rPr>
        <w:t xml:space="preserve"> (1.38 (1.25-1.53))</w:t>
      </w:r>
      <w:r w:rsidRPr="00112DC1">
        <w:rPr>
          <w:rFonts w:asciiTheme="majorBidi" w:hAnsiTheme="majorBidi" w:cstheme="majorBidi"/>
          <w:sz w:val="24"/>
          <w:szCs w:val="24"/>
        </w:rPr>
        <w:t>, (c) 18 months after the start of follow-up</w:t>
      </w:r>
      <w:r>
        <w:rPr>
          <w:rFonts w:asciiTheme="majorBidi" w:hAnsiTheme="majorBidi" w:cstheme="majorBidi"/>
          <w:sz w:val="24"/>
          <w:szCs w:val="24"/>
        </w:rPr>
        <w:t xml:space="preserve"> (1.34 (1.19-1.52)</w:t>
      </w:r>
      <w:r w:rsidRPr="00112DC1">
        <w:rPr>
          <w:rFonts w:asciiTheme="majorBidi" w:hAnsiTheme="majorBidi" w:cstheme="majorBidi"/>
          <w:sz w:val="24"/>
          <w:szCs w:val="24"/>
        </w:rPr>
        <w:t>, (d) 24 months after the start of follow-up</w:t>
      </w:r>
      <w:r>
        <w:rPr>
          <w:rFonts w:asciiTheme="majorBidi" w:hAnsiTheme="majorBidi" w:cstheme="majorBidi"/>
          <w:sz w:val="24"/>
          <w:szCs w:val="24"/>
        </w:rPr>
        <w:t xml:space="preserve"> (1.31 (1.11-1.55)</w:t>
      </w:r>
      <w:r w:rsidRPr="00112DC1">
        <w:rPr>
          <w:rFonts w:asciiTheme="majorBidi" w:hAnsiTheme="majorBidi" w:cstheme="majorBidi"/>
          <w:sz w:val="24"/>
          <w:szCs w:val="24"/>
        </w:rPr>
        <w:t>, (e) 30 months after the start of follow-up</w:t>
      </w:r>
      <w:r>
        <w:rPr>
          <w:rFonts w:asciiTheme="majorBidi" w:hAnsiTheme="majorBidi" w:cstheme="majorBidi"/>
          <w:sz w:val="24"/>
          <w:szCs w:val="24"/>
        </w:rPr>
        <w:t xml:space="preserve"> (1.28 (0.99-1.65))</w:t>
      </w:r>
      <w:r w:rsidRPr="00112DC1">
        <w:rPr>
          <w:rFonts w:asciiTheme="majorBidi" w:hAnsiTheme="majorBidi" w:cstheme="majorBidi"/>
          <w:sz w:val="24"/>
          <w:szCs w:val="24"/>
        </w:rPr>
        <w:t>, (f) 36 months after the start of follow-up</w:t>
      </w:r>
      <w:r>
        <w:rPr>
          <w:rFonts w:asciiTheme="majorBidi" w:hAnsiTheme="majorBidi" w:cstheme="majorBidi"/>
          <w:sz w:val="24"/>
          <w:szCs w:val="24"/>
        </w:rPr>
        <w:t xml:space="preserve"> (1.26 (0.66-2.42)).</w:t>
      </w:r>
    </w:p>
    <w:p w14:paraId="498C108F" w14:textId="77777777" w:rsidR="00974F3A" w:rsidRPr="00B35CBB" w:rsidRDefault="00974F3A" w:rsidP="00974F3A">
      <w:pPr>
        <w:bidi w:val="0"/>
        <w:rPr>
          <w:rFonts w:asciiTheme="majorBidi" w:hAnsiTheme="majorBidi" w:cstheme="majorBidi"/>
          <w:b/>
          <w:sz w:val="24"/>
          <w:szCs w:val="24"/>
        </w:rPr>
      </w:pPr>
      <w:r w:rsidRPr="00AF7572">
        <w:rPr>
          <w:rFonts w:asciiTheme="majorBidi" w:hAnsiTheme="majorBidi" w:cstheme="majorBidi"/>
          <w:b/>
          <w:sz w:val="24"/>
          <w:szCs w:val="24"/>
        </w:rPr>
        <w:lastRenderedPageBreak/>
        <w:t xml:space="preserve">Table </w:t>
      </w:r>
      <w:r>
        <w:rPr>
          <w:rFonts w:asciiTheme="majorBidi" w:hAnsiTheme="majorBidi" w:cstheme="majorBidi"/>
          <w:b/>
          <w:sz w:val="24"/>
          <w:szCs w:val="24"/>
        </w:rPr>
        <w:t>S1</w:t>
      </w:r>
      <w:r w:rsidRPr="00AF7572">
        <w:rPr>
          <w:rFonts w:asciiTheme="majorBidi" w:hAnsiTheme="majorBidi" w:cstheme="majorBidi"/>
          <w:b/>
          <w:sz w:val="24"/>
          <w:szCs w:val="24"/>
        </w:rPr>
        <w:t xml:space="preserve">. </w:t>
      </w:r>
      <w:r w:rsidRPr="008014D2">
        <w:rPr>
          <w:rFonts w:asciiTheme="majorBidi" w:hAnsiTheme="majorBidi" w:cstheme="majorBidi"/>
          <w:b/>
          <w:sz w:val="24"/>
          <w:szCs w:val="24"/>
        </w:rPr>
        <w:t xml:space="preserve">Association of </w:t>
      </w:r>
      <w:r w:rsidRPr="00AF7572">
        <w:rPr>
          <w:rFonts w:asciiTheme="majorBidi" w:hAnsiTheme="majorBidi" w:cstheme="majorBidi"/>
          <w:b/>
          <w:sz w:val="24"/>
          <w:szCs w:val="24"/>
        </w:rPr>
        <w:t xml:space="preserve">COVID-19 </w:t>
      </w:r>
      <w:r>
        <w:rPr>
          <w:rFonts w:asciiTheme="majorBidi" w:hAnsiTheme="majorBidi" w:cstheme="majorBidi"/>
          <w:b/>
          <w:sz w:val="24"/>
          <w:szCs w:val="24"/>
        </w:rPr>
        <w:t>hospitalization</w:t>
      </w:r>
      <w:r w:rsidRPr="00AF7572">
        <w:rPr>
          <w:rFonts w:asciiTheme="majorBidi" w:hAnsiTheme="majorBidi" w:cstheme="majorBidi"/>
          <w:b/>
          <w:sz w:val="24"/>
          <w:szCs w:val="24"/>
        </w:rPr>
        <w:t xml:space="preserve"> </w:t>
      </w:r>
      <w:r w:rsidRPr="008014D2">
        <w:rPr>
          <w:rFonts w:asciiTheme="majorBidi" w:hAnsiTheme="majorBidi" w:cstheme="majorBidi"/>
          <w:b/>
          <w:sz w:val="24"/>
          <w:szCs w:val="24"/>
        </w:rPr>
        <w:t xml:space="preserve">with </w:t>
      </w:r>
      <w:r w:rsidRPr="00AF7572">
        <w:rPr>
          <w:rFonts w:asciiTheme="majorBidi" w:hAnsiTheme="majorBidi" w:cstheme="majorBidi"/>
          <w:b/>
          <w:sz w:val="24"/>
          <w:szCs w:val="24"/>
        </w:rPr>
        <w:t xml:space="preserve">all-cause mortality by </w:t>
      </w:r>
      <w:r>
        <w:rPr>
          <w:rFonts w:asciiTheme="majorBidi" w:hAnsiTheme="majorBidi" w:cstheme="majorBidi"/>
          <w:b/>
          <w:sz w:val="24"/>
          <w:szCs w:val="24"/>
        </w:rPr>
        <w:t>sex</w:t>
      </w:r>
    </w:p>
    <w:tbl>
      <w:tblPr>
        <w:tblStyle w:val="TableGrid"/>
        <w:tblW w:w="6578" w:type="pct"/>
        <w:tblInd w:w="-1281" w:type="dxa"/>
        <w:tblLook w:val="04A0" w:firstRow="1" w:lastRow="0" w:firstColumn="1" w:lastColumn="0" w:noHBand="0" w:noVBand="1"/>
      </w:tblPr>
      <w:tblGrid>
        <w:gridCol w:w="2409"/>
        <w:gridCol w:w="1135"/>
        <w:gridCol w:w="2268"/>
        <w:gridCol w:w="2552"/>
        <w:gridCol w:w="2550"/>
      </w:tblGrid>
      <w:tr w:rsidR="00974F3A" w:rsidRPr="00B70F21" w14:paraId="7B3A2897" w14:textId="77777777" w:rsidTr="004A2867">
        <w:trPr>
          <w:trHeight w:val="774"/>
        </w:trPr>
        <w:tc>
          <w:tcPr>
            <w:tcW w:w="1104" w:type="pct"/>
            <w:vAlign w:val="center"/>
          </w:tcPr>
          <w:p w14:paraId="1D640EE0" w14:textId="77777777" w:rsidR="00974F3A" w:rsidRPr="00B70F21" w:rsidRDefault="00974F3A" w:rsidP="004A2867">
            <w:pPr>
              <w:bidi w:val="0"/>
              <w:spacing w:before="120"/>
              <w:jc w:val="center"/>
              <w:rPr>
                <w:rFonts w:asciiTheme="majorBidi" w:hAnsiTheme="majorBidi" w:cstheme="majorBidi"/>
              </w:rPr>
            </w:pPr>
            <w:r>
              <w:rPr>
                <w:rFonts w:asciiTheme="majorBidi" w:hAnsiTheme="majorBidi" w:cstheme="majorBidi"/>
              </w:rPr>
              <w:t>Variable</w:t>
            </w:r>
          </w:p>
        </w:tc>
        <w:tc>
          <w:tcPr>
            <w:tcW w:w="520" w:type="pct"/>
          </w:tcPr>
          <w:p w14:paraId="229B6172" w14:textId="77777777" w:rsidR="00974F3A" w:rsidRPr="00B70F21" w:rsidRDefault="00974F3A" w:rsidP="004A2867">
            <w:pPr>
              <w:bidi w:val="0"/>
              <w:spacing w:before="120"/>
              <w:jc w:val="center"/>
              <w:rPr>
                <w:rFonts w:asciiTheme="majorBidi" w:hAnsiTheme="majorBidi" w:cstheme="majorBidi"/>
              </w:rPr>
            </w:pPr>
            <w:r>
              <w:rPr>
                <w:rFonts w:asciiTheme="majorBidi" w:hAnsiTheme="majorBidi" w:cstheme="majorBidi"/>
                <w:sz w:val="24"/>
                <w:szCs w:val="24"/>
              </w:rPr>
              <w:t>Category</w:t>
            </w:r>
          </w:p>
        </w:tc>
        <w:tc>
          <w:tcPr>
            <w:tcW w:w="1039" w:type="pct"/>
            <w:vAlign w:val="center"/>
          </w:tcPr>
          <w:p w14:paraId="3DF6237D" w14:textId="77777777" w:rsidR="00974F3A" w:rsidRPr="00B70F21" w:rsidRDefault="00974F3A" w:rsidP="004A2867">
            <w:pPr>
              <w:bidi w:val="0"/>
              <w:spacing w:before="120"/>
              <w:jc w:val="center"/>
              <w:rPr>
                <w:rFonts w:asciiTheme="majorBidi" w:hAnsiTheme="majorBidi" w:cstheme="majorBidi"/>
              </w:rPr>
            </w:pPr>
            <w:r w:rsidRPr="00B70F21">
              <w:rPr>
                <w:rFonts w:asciiTheme="majorBidi" w:hAnsiTheme="majorBidi" w:cstheme="majorBidi"/>
                <w:sz w:val="24"/>
                <w:szCs w:val="24"/>
              </w:rPr>
              <w:t>HR</w:t>
            </w:r>
            <w:r w:rsidRPr="00B70F21">
              <w:rPr>
                <w:rFonts w:asciiTheme="majorBidi" w:hAnsiTheme="majorBidi" w:cstheme="majorBidi"/>
                <w:sz w:val="24"/>
                <w:szCs w:val="24"/>
                <w:vertAlign w:val="superscript"/>
              </w:rPr>
              <w:t>a</w:t>
            </w:r>
            <w:r w:rsidRPr="00B70F21">
              <w:rPr>
                <w:rFonts w:asciiTheme="majorBidi" w:hAnsiTheme="majorBidi" w:cstheme="majorBidi"/>
                <w:sz w:val="24"/>
                <w:szCs w:val="24"/>
              </w:rPr>
              <w:t xml:space="preserve"> </w:t>
            </w:r>
          </w:p>
          <w:p w14:paraId="26BC3A6B" w14:textId="77777777" w:rsidR="00974F3A" w:rsidRPr="00B70F21" w:rsidRDefault="00974F3A" w:rsidP="004A2867">
            <w:pPr>
              <w:bidi w:val="0"/>
              <w:spacing w:before="120"/>
              <w:jc w:val="center"/>
              <w:rPr>
                <w:rFonts w:asciiTheme="majorBidi" w:hAnsiTheme="majorBidi" w:cstheme="majorBidi"/>
              </w:rPr>
            </w:pPr>
            <w:r w:rsidRPr="00B70F21">
              <w:rPr>
                <w:rFonts w:asciiTheme="majorBidi" w:hAnsiTheme="majorBidi" w:cstheme="majorBidi"/>
                <w:sz w:val="24"/>
                <w:szCs w:val="24"/>
              </w:rPr>
              <w:t>(95% CI)</w:t>
            </w:r>
          </w:p>
        </w:tc>
        <w:tc>
          <w:tcPr>
            <w:tcW w:w="1169" w:type="pct"/>
          </w:tcPr>
          <w:p w14:paraId="1E19E3B4" w14:textId="77777777" w:rsidR="00974F3A" w:rsidRPr="00B70F21" w:rsidRDefault="00974F3A" w:rsidP="004A2867">
            <w:pPr>
              <w:bidi w:val="0"/>
              <w:spacing w:before="120"/>
              <w:jc w:val="center"/>
              <w:rPr>
                <w:rFonts w:asciiTheme="majorBidi" w:hAnsiTheme="majorBidi" w:cstheme="majorBidi"/>
                <w:sz w:val="24"/>
                <w:szCs w:val="24"/>
              </w:rPr>
            </w:pPr>
            <w:r>
              <w:rPr>
                <w:rFonts w:asciiTheme="majorBidi" w:hAnsiTheme="majorBidi" w:cstheme="majorBidi"/>
                <w:sz w:val="24"/>
                <w:szCs w:val="24"/>
              </w:rPr>
              <w:t>Mortality r</w:t>
            </w:r>
            <w:r w:rsidRPr="00BF22CC">
              <w:rPr>
                <w:rFonts w:asciiTheme="majorBidi" w:hAnsiTheme="majorBidi" w:cstheme="majorBidi"/>
                <w:sz w:val="24"/>
                <w:szCs w:val="24"/>
              </w:rPr>
              <w:t xml:space="preserve">ate per 1,000 person-days in </w:t>
            </w:r>
            <w:r>
              <w:rPr>
                <w:rFonts w:asciiTheme="majorBidi" w:hAnsiTheme="majorBidi" w:cstheme="majorBidi"/>
                <w:sz w:val="24"/>
                <w:szCs w:val="24"/>
                <w:lang w:val="en-US"/>
              </w:rPr>
              <w:t>cases</w:t>
            </w:r>
          </w:p>
        </w:tc>
        <w:tc>
          <w:tcPr>
            <w:tcW w:w="1168" w:type="pct"/>
          </w:tcPr>
          <w:p w14:paraId="62413925" w14:textId="77777777" w:rsidR="00974F3A" w:rsidRPr="00B70F21" w:rsidRDefault="00974F3A" w:rsidP="004A2867">
            <w:pPr>
              <w:bidi w:val="0"/>
              <w:spacing w:before="120"/>
              <w:jc w:val="center"/>
              <w:rPr>
                <w:rFonts w:asciiTheme="majorBidi" w:hAnsiTheme="majorBidi" w:cstheme="majorBidi"/>
                <w:sz w:val="24"/>
                <w:szCs w:val="24"/>
              </w:rPr>
            </w:pPr>
            <w:r>
              <w:rPr>
                <w:rFonts w:asciiTheme="majorBidi" w:hAnsiTheme="majorBidi" w:cstheme="majorBidi"/>
                <w:sz w:val="24"/>
                <w:szCs w:val="24"/>
              </w:rPr>
              <w:t>Mortality r</w:t>
            </w:r>
            <w:r w:rsidRPr="00BF22CC">
              <w:rPr>
                <w:rFonts w:asciiTheme="majorBidi" w:hAnsiTheme="majorBidi" w:cstheme="majorBidi"/>
                <w:sz w:val="24"/>
                <w:szCs w:val="24"/>
              </w:rPr>
              <w:t>ate per 1</w:t>
            </w:r>
            <w:r>
              <w:rPr>
                <w:rFonts w:asciiTheme="majorBidi" w:hAnsiTheme="majorBidi" w:cstheme="majorBidi"/>
                <w:sz w:val="24"/>
                <w:szCs w:val="24"/>
              </w:rPr>
              <w:t>,</w:t>
            </w:r>
            <w:r w:rsidRPr="00BF22CC">
              <w:rPr>
                <w:rFonts w:asciiTheme="majorBidi" w:hAnsiTheme="majorBidi" w:cstheme="majorBidi"/>
                <w:sz w:val="24"/>
                <w:szCs w:val="24"/>
              </w:rPr>
              <w:t xml:space="preserve">000 person-days in </w:t>
            </w:r>
            <w:r>
              <w:rPr>
                <w:rFonts w:asciiTheme="majorBidi" w:hAnsiTheme="majorBidi" w:cstheme="majorBidi"/>
                <w:sz w:val="24"/>
                <w:szCs w:val="24"/>
                <w:lang w:val="en-US"/>
              </w:rPr>
              <w:t>controls</w:t>
            </w:r>
          </w:p>
        </w:tc>
      </w:tr>
      <w:tr w:rsidR="00974F3A" w:rsidRPr="00B70F21" w14:paraId="3473976B" w14:textId="77777777" w:rsidTr="004A2867">
        <w:trPr>
          <w:trHeight w:val="476"/>
        </w:trPr>
        <w:tc>
          <w:tcPr>
            <w:tcW w:w="1104" w:type="pct"/>
            <w:vMerge w:val="restart"/>
            <w:vAlign w:val="center"/>
          </w:tcPr>
          <w:p w14:paraId="01341522" w14:textId="77777777" w:rsidR="00974F3A" w:rsidRPr="00B70F21" w:rsidRDefault="00974F3A" w:rsidP="004A2867">
            <w:pPr>
              <w:bidi w:val="0"/>
              <w:spacing w:before="120"/>
              <w:jc w:val="center"/>
              <w:rPr>
                <w:rFonts w:asciiTheme="majorBidi" w:hAnsiTheme="majorBidi" w:cstheme="majorBidi"/>
              </w:rPr>
            </w:pPr>
            <w:r w:rsidRPr="00B70F21">
              <w:rPr>
                <w:rFonts w:asciiTheme="majorBidi" w:hAnsiTheme="majorBidi" w:cstheme="majorBidi"/>
                <w:sz w:val="24"/>
                <w:szCs w:val="24"/>
              </w:rPr>
              <w:t>Sex</w:t>
            </w:r>
          </w:p>
        </w:tc>
        <w:tc>
          <w:tcPr>
            <w:tcW w:w="520" w:type="pct"/>
          </w:tcPr>
          <w:p w14:paraId="461B5899" w14:textId="77777777" w:rsidR="00974F3A" w:rsidRPr="00B70F21" w:rsidRDefault="00974F3A" w:rsidP="004A2867">
            <w:pPr>
              <w:bidi w:val="0"/>
              <w:spacing w:before="120"/>
              <w:jc w:val="center"/>
              <w:rPr>
                <w:rFonts w:asciiTheme="majorBidi" w:hAnsiTheme="majorBidi" w:cstheme="majorBidi"/>
                <w:b/>
                <w:bCs/>
              </w:rPr>
            </w:pPr>
            <w:r w:rsidRPr="00B70F21">
              <w:rPr>
                <w:rFonts w:asciiTheme="majorBidi" w:hAnsiTheme="majorBidi" w:cstheme="majorBidi"/>
                <w:sz w:val="24"/>
                <w:szCs w:val="24"/>
              </w:rPr>
              <w:t>Male</w:t>
            </w:r>
          </w:p>
        </w:tc>
        <w:tc>
          <w:tcPr>
            <w:tcW w:w="1039" w:type="pct"/>
            <w:vAlign w:val="center"/>
          </w:tcPr>
          <w:p w14:paraId="2222B59C" w14:textId="77777777" w:rsidR="00974F3A" w:rsidRPr="00B70F21" w:rsidRDefault="00974F3A" w:rsidP="004A2867">
            <w:pPr>
              <w:bidi w:val="0"/>
              <w:spacing w:before="120"/>
              <w:jc w:val="center"/>
              <w:rPr>
                <w:rFonts w:asciiTheme="majorBidi" w:hAnsiTheme="majorBidi" w:cstheme="majorBidi"/>
                <w:sz w:val="24"/>
                <w:szCs w:val="24"/>
              </w:rPr>
            </w:pPr>
            <w:r w:rsidRPr="00B70F21">
              <w:rPr>
                <w:rFonts w:asciiTheme="majorBidi" w:hAnsiTheme="majorBidi" w:cstheme="majorBidi"/>
                <w:color w:val="222222"/>
                <w:sz w:val="24"/>
                <w:szCs w:val="24"/>
                <w:lang w:eastAsia=""/>
              </w:rPr>
              <w:t>1.75 (1.57–1.96)</w:t>
            </w:r>
          </w:p>
        </w:tc>
        <w:tc>
          <w:tcPr>
            <w:tcW w:w="1169" w:type="pct"/>
          </w:tcPr>
          <w:p w14:paraId="289DE050" w14:textId="77777777" w:rsidR="00974F3A" w:rsidRPr="00B70F21" w:rsidRDefault="00974F3A" w:rsidP="004A2867">
            <w:pPr>
              <w:bidi w:val="0"/>
              <w:spacing w:before="120"/>
              <w:jc w:val="center"/>
              <w:rPr>
                <w:rFonts w:asciiTheme="majorBidi" w:hAnsiTheme="majorBidi" w:cstheme="majorBidi"/>
                <w:color w:val="222222"/>
                <w:sz w:val="24"/>
                <w:szCs w:val="24"/>
                <w:lang w:eastAsia=""/>
              </w:rPr>
            </w:pPr>
            <w:r>
              <w:rPr>
                <w:rFonts w:asciiTheme="majorBidi" w:hAnsiTheme="majorBidi" w:cstheme="majorBidi"/>
                <w:color w:val="222222"/>
                <w:sz w:val="24"/>
                <w:szCs w:val="24"/>
                <w:lang w:eastAsia=""/>
              </w:rPr>
              <w:t>4.59</w:t>
            </w:r>
          </w:p>
        </w:tc>
        <w:tc>
          <w:tcPr>
            <w:tcW w:w="1168" w:type="pct"/>
          </w:tcPr>
          <w:p w14:paraId="4BB33135" w14:textId="77777777" w:rsidR="00974F3A" w:rsidRPr="00B70F21" w:rsidRDefault="00974F3A" w:rsidP="004A2867">
            <w:pPr>
              <w:bidi w:val="0"/>
              <w:spacing w:before="120"/>
              <w:jc w:val="center"/>
              <w:rPr>
                <w:rFonts w:asciiTheme="majorBidi" w:hAnsiTheme="majorBidi" w:cstheme="majorBidi"/>
                <w:color w:val="222222"/>
                <w:sz w:val="24"/>
                <w:szCs w:val="24"/>
                <w:lang w:eastAsia=""/>
              </w:rPr>
            </w:pPr>
            <w:r>
              <w:rPr>
                <w:rFonts w:asciiTheme="majorBidi" w:hAnsiTheme="majorBidi" w:cstheme="majorBidi"/>
                <w:color w:val="222222"/>
                <w:sz w:val="24"/>
                <w:szCs w:val="24"/>
                <w:lang w:eastAsia=""/>
              </w:rPr>
              <w:t>2.66</w:t>
            </w:r>
          </w:p>
        </w:tc>
      </w:tr>
      <w:tr w:rsidR="00974F3A" w:rsidRPr="00B70F21" w14:paraId="75B40B16" w14:textId="77777777" w:rsidTr="004A2867">
        <w:trPr>
          <w:trHeight w:val="476"/>
        </w:trPr>
        <w:tc>
          <w:tcPr>
            <w:tcW w:w="1104" w:type="pct"/>
            <w:vMerge/>
            <w:vAlign w:val="center"/>
          </w:tcPr>
          <w:p w14:paraId="5184C38E" w14:textId="77777777" w:rsidR="00974F3A" w:rsidRPr="00B70F21" w:rsidRDefault="00974F3A" w:rsidP="004A2867">
            <w:pPr>
              <w:bidi w:val="0"/>
              <w:spacing w:before="120"/>
              <w:jc w:val="center"/>
              <w:rPr>
                <w:rFonts w:asciiTheme="majorBidi" w:hAnsiTheme="majorBidi" w:cstheme="majorBidi"/>
              </w:rPr>
            </w:pPr>
          </w:p>
        </w:tc>
        <w:tc>
          <w:tcPr>
            <w:tcW w:w="520" w:type="pct"/>
            <w:vAlign w:val="center"/>
          </w:tcPr>
          <w:p w14:paraId="6D4EF6B3" w14:textId="77777777" w:rsidR="00974F3A" w:rsidRPr="00B70F21" w:rsidRDefault="00974F3A" w:rsidP="004A2867">
            <w:pPr>
              <w:bidi w:val="0"/>
              <w:spacing w:before="120"/>
              <w:jc w:val="center"/>
              <w:rPr>
                <w:rFonts w:asciiTheme="majorBidi" w:hAnsiTheme="majorBidi" w:cstheme="majorBidi"/>
              </w:rPr>
            </w:pPr>
            <w:r w:rsidRPr="00B70F21">
              <w:rPr>
                <w:rFonts w:asciiTheme="majorBidi" w:hAnsiTheme="majorBidi" w:cstheme="majorBidi"/>
                <w:sz w:val="24"/>
                <w:szCs w:val="24"/>
              </w:rPr>
              <w:t>Female</w:t>
            </w:r>
          </w:p>
        </w:tc>
        <w:tc>
          <w:tcPr>
            <w:tcW w:w="1039" w:type="pct"/>
            <w:vAlign w:val="center"/>
          </w:tcPr>
          <w:p w14:paraId="095B223F" w14:textId="77777777" w:rsidR="00974F3A" w:rsidRPr="00B70F21" w:rsidRDefault="00974F3A" w:rsidP="004A2867">
            <w:pPr>
              <w:bidi w:val="0"/>
              <w:spacing w:before="120"/>
              <w:jc w:val="center"/>
              <w:rPr>
                <w:rFonts w:asciiTheme="majorBidi" w:hAnsiTheme="majorBidi" w:cstheme="majorBidi"/>
                <w:sz w:val="24"/>
                <w:szCs w:val="24"/>
              </w:rPr>
            </w:pPr>
            <w:r w:rsidRPr="00B70F21">
              <w:rPr>
                <w:rFonts w:asciiTheme="majorBidi" w:hAnsiTheme="majorBidi" w:cstheme="majorBidi"/>
                <w:color w:val="222222"/>
                <w:sz w:val="24"/>
                <w:szCs w:val="24"/>
                <w:lang w:eastAsia=""/>
              </w:rPr>
              <w:t>1.55 (1.39–1.73)</w:t>
            </w:r>
          </w:p>
        </w:tc>
        <w:tc>
          <w:tcPr>
            <w:tcW w:w="1169" w:type="pct"/>
          </w:tcPr>
          <w:p w14:paraId="083D900D" w14:textId="77777777" w:rsidR="00974F3A" w:rsidRPr="00B70F21" w:rsidRDefault="00974F3A" w:rsidP="004A2867">
            <w:pPr>
              <w:bidi w:val="0"/>
              <w:spacing w:before="120"/>
              <w:jc w:val="center"/>
              <w:rPr>
                <w:rFonts w:asciiTheme="majorBidi" w:hAnsiTheme="majorBidi" w:cstheme="majorBidi"/>
                <w:color w:val="222222"/>
                <w:sz w:val="24"/>
                <w:szCs w:val="24"/>
                <w:lang w:eastAsia=""/>
              </w:rPr>
            </w:pPr>
            <w:r>
              <w:rPr>
                <w:rFonts w:asciiTheme="majorBidi" w:hAnsiTheme="majorBidi" w:cstheme="majorBidi"/>
                <w:color w:val="222222"/>
                <w:sz w:val="24"/>
                <w:szCs w:val="24"/>
                <w:lang w:eastAsia=""/>
              </w:rPr>
              <w:t>5.24</w:t>
            </w:r>
          </w:p>
        </w:tc>
        <w:tc>
          <w:tcPr>
            <w:tcW w:w="1168" w:type="pct"/>
          </w:tcPr>
          <w:p w14:paraId="3CCBE8F0" w14:textId="77777777" w:rsidR="00974F3A" w:rsidRPr="00B70F21" w:rsidRDefault="00974F3A" w:rsidP="004A2867">
            <w:pPr>
              <w:bidi w:val="0"/>
              <w:spacing w:before="120"/>
              <w:jc w:val="center"/>
              <w:rPr>
                <w:rFonts w:asciiTheme="majorBidi" w:hAnsiTheme="majorBidi" w:cstheme="majorBidi"/>
                <w:color w:val="222222"/>
                <w:sz w:val="24"/>
                <w:szCs w:val="24"/>
                <w:lang w:eastAsia=""/>
              </w:rPr>
            </w:pPr>
            <w:r>
              <w:rPr>
                <w:rFonts w:asciiTheme="majorBidi" w:hAnsiTheme="majorBidi" w:cstheme="majorBidi"/>
                <w:color w:val="222222"/>
                <w:sz w:val="24"/>
                <w:szCs w:val="24"/>
                <w:lang w:eastAsia=""/>
              </w:rPr>
              <w:t>2.59</w:t>
            </w:r>
          </w:p>
        </w:tc>
      </w:tr>
    </w:tbl>
    <w:p w14:paraId="171A4B46" w14:textId="77777777" w:rsidR="00974F3A" w:rsidRPr="00B70F21" w:rsidRDefault="00974F3A" w:rsidP="00974F3A">
      <w:pPr>
        <w:bidi w:val="0"/>
        <w:spacing w:line="240" w:lineRule="auto"/>
        <w:rPr>
          <w:rFonts w:asciiTheme="majorBidi" w:hAnsiTheme="majorBidi" w:cstheme="majorBidi"/>
          <w:sz w:val="20"/>
          <w:szCs w:val="20"/>
          <w:rtl/>
        </w:rPr>
      </w:pPr>
      <w:r w:rsidRPr="00B70F21">
        <w:rPr>
          <w:rFonts w:asciiTheme="majorBidi" w:hAnsiTheme="majorBidi" w:cstheme="majorBidi"/>
          <w:sz w:val="20"/>
          <w:szCs w:val="20"/>
          <w:vertAlign w:val="superscript"/>
        </w:rPr>
        <w:t xml:space="preserve">a </w:t>
      </w:r>
      <w:r w:rsidRPr="00B70F21">
        <w:rPr>
          <w:rFonts w:asciiTheme="majorBidi" w:hAnsiTheme="majorBidi" w:cstheme="majorBidi"/>
          <w:sz w:val="20"/>
          <w:szCs w:val="20"/>
        </w:rPr>
        <w:t xml:space="preserve">Hazards ratios (HR) from </w:t>
      </w:r>
      <w:r>
        <w:rPr>
          <w:rFonts w:asciiTheme="majorBidi" w:hAnsiTheme="majorBidi" w:cstheme="majorBidi"/>
          <w:sz w:val="20"/>
          <w:szCs w:val="20"/>
        </w:rPr>
        <w:t>multivariable</w:t>
      </w:r>
      <w:r w:rsidRPr="00B70F21">
        <w:rPr>
          <w:rFonts w:asciiTheme="majorBidi" w:hAnsiTheme="majorBidi" w:cstheme="majorBidi"/>
          <w:sz w:val="20"/>
          <w:szCs w:val="20"/>
        </w:rPr>
        <w:t xml:space="preserve"> Cox models.</w:t>
      </w:r>
    </w:p>
    <w:p w14:paraId="2E62EFDB" w14:textId="77777777" w:rsidR="00755780" w:rsidRDefault="00755780"/>
    <w:sectPr w:rsidR="00755780" w:rsidSect="00974F3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EC305D"/>
    <w:multiLevelType w:val="hybridMultilevel"/>
    <w:tmpl w:val="93EEB796"/>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6F6835BF"/>
    <w:multiLevelType w:val="hybridMultilevel"/>
    <w:tmpl w:val="E3409E72"/>
    <w:lvl w:ilvl="0" w:tplc="EBD61C66">
      <w:start w:val="1"/>
      <w:numFmt w:val="lowerLetter"/>
      <w:lvlText w:val="(%1)"/>
      <w:lvlJc w:val="left"/>
      <w:pPr>
        <w:ind w:left="3900" w:hanging="360"/>
      </w:pPr>
      <w:rPr>
        <w:rFonts w:hint="default"/>
      </w:rPr>
    </w:lvl>
    <w:lvl w:ilvl="1" w:tplc="0C000019" w:tentative="1">
      <w:start w:val="1"/>
      <w:numFmt w:val="lowerLetter"/>
      <w:lvlText w:val="%2."/>
      <w:lvlJc w:val="left"/>
      <w:pPr>
        <w:ind w:left="4620" w:hanging="360"/>
      </w:pPr>
    </w:lvl>
    <w:lvl w:ilvl="2" w:tplc="0C00001B" w:tentative="1">
      <w:start w:val="1"/>
      <w:numFmt w:val="lowerRoman"/>
      <w:lvlText w:val="%3."/>
      <w:lvlJc w:val="right"/>
      <w:pPr>
        <w:ind w:left="5340" w:hanging="180"/>
      </w:pPr>
    </w:lvl>
    <w:lvl w:ilvl="3" w:tplc="0C00000F" w:tentative="1">
      <w:start w:val="1"/>
      <w:numFmt w:val="decimal"/>
      <w:lvlText w:val="%4."/>
      <w:lvlJc w:val="left"/>
      <w:pPr>
        <w:ind w:left="6060" w:hanging="360"/>
      </w:pPr>
    </w:lvl>
    <w:lvl w:ilvl="4" w:tplc="0C000019" w:tentative="1">
      <w:start w:val="1"/>
      <w:numFmt w:val="lowerLetter"/>
      <w:lvlText w:val="%5."/>
      <w:lvlJc w:val="left"/>
      <w:pPr>
        <w:ind w:left="6780" w:hanging="360"/>
      </w:pPr>
    </w:lvl>
    <w:lvl w:ilvl="5" w:tplc="0C00001B" w:tentative="1">
      <w:start w:val="1"/>
      <w:numFmt w:val="lowerRoman"/>
      <w:lvlText w:val="%6."/>
      <w:lvlJc w:val="right"/>
      <w:pPr>
        <w:ind w:left="7500" w:hanging="180"/>
      </w:pPr>
    </w:lvl>
    <w:lvl w:ilvl="6" w:tplc="0C00000F" w:tentative="1">
      <w:start w:val="1"/>
      <w:numFmt w:val="decimal"/>
      <w:lvlText w:val="%7."/>
      <w:lvlJc w:val="left"/>
      <w:pPr>
        <w:ind w:left="8220" w:hanging="360"/>
      </w:pPr>
    </w:lvl>
    <w:lvl w:ilvl="7" w:tplc="0C000019" w:tentative="1">
      <w:start w:val="1"/>
      <w:numFmt w:val="lowerLetter"/>
      <w:lvlText w:val="%8."/>
      <w:lvlJc w:val="left"/>
      <w:pPr>
        <w:ind w:left="8940" w:hanging="360"/>
      </w:pPr>
    </w:lvl>
    <w:lvl w:ilvl="8" w:tplc="0C00001B" w:tentative="1">
      <w:start w:val="1"/>
      <w:numFmt w:val="lowerRoman"/>
      <w:lvlText w:val="%9."/>
      <w:lvlJc w:val="right"/>
      <w:pPr>
        <w:ind w:left="9660" w:hanging="180"/>
      </w:pPr>
    </w:lvl>
  </w:abstractNum>
  <w:num w:numId="1" w16cid:durableId="232664257">
    <w:abstractNumId w:val="0"/>
  </w:num>
  <w:num w:numId="2" w16cid:durableId="649604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3A"/>
    <w:rsid w:val="00331A6B"/>
    <w:rsid w:val="00755780"/>
    <w:rsid w:val="00857596"/>
    <w:rsid w:val="00974F3A"/>
    <w:rsid w:val="00F03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4DB57"/>
  <w15:chartTrackingRefBased/>
  <w15:docId w15:val="{64032EB7-D81A-4A59-89EA-D9A609C59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F3A"/>
    <w:pPr>
      <w:bidi/>
    </w:pPr>
    <w:rPr>
      <w:kern w:val="0"/>
      <w:lang w:bidi="he-IL"/>
      <w14:ligatures w14:val="none"/>
    </w:rPr>
  </w:style>
  <w:style w:type="paragraph" w:styleId="Heading1">
    <w:name w:val="heading 1"/>
    <w:basedOn w:val="Normal"/>
    <w:next w:val="Normal"/>
    <w:link w:val="Heading1Char"/>
    <w:uiPriority w:val="9"/>
    <w:qFormat/>
    <w:rsid w:val="00974F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4F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4F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4F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4F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4F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4F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4F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4F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4F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4F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4F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4F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4F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4F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4F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4F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4F3A"/>
    <w:rPr>
      <w:rFonts w:eastAsiaTheme="majorEastAsia" w:cstheme="majorBidi"/>
      <w:color w:val="272727" w:themeColor="text1" w:themeTint="D8"/>
    </w:rPr>
  </w:style>
  <w:style w:type="paragraph" w:styleId="Title">
    <w:name w:val="Title"/>
    <w:basedOn w:val="Normal"/>
    <w:next w:val="Normal"/>
    <w:link w:val="TitleChar"/>
    <w:uiPriority w:val="10"/>
    <w:qFormat/>
    <w:rsid w:val="00974F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4F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4F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4F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4F3A"/>
    <w:pPr>
      <w:spacing w:before="160"/>
      <w:jc w:val="center"/>
    </w:pPr>
    <w:rPr>
      <w:i/>
      <w:iCs/>
      <w:color w:val="404040" w:themeColor="text1" w:themeTint="BF"/>
    </w:rPr>
  </w:style>
  <w:style w:type="character" w:customStyle="1" w:styleId="QuoteChar">
    <w:name w:val="Quote Char"/>
    <w:basedOn w:val="DefaultParagraphFont"/>
    <w:link w:val="Quote"/>
    <w:uiPriority w:val="29"/>
    <w:rsid w:val="00974F3A"/>
    <w:rPr>
      <w:i/>
      <w:iCs/>
      <w:color w:val="404040" w:themeColor="text1" w:themeTint="BF"/>
    </w:rPr>
  </w:style>
  <w:style w:type="paragraph" w:styleId="ListParagraph">
    <w:name w:val="List Paragraph"/>
    <w:basedOn w:val="Normal"/>
    <w:uiPriority w:val="34"/>
    <w:qFormat/>
    <w:rsid w:val="00974F3A"/>
    <w:pPr>
      <w:ind w:left="720"/>
      <w:contextualSpacing/>
    </w:pPr>
  </w:style>
  <w:style w:type="character" w:styleId="IntenseEmphasis">
    <w:name w:val="Intense Emphasis"/>
    <w:basedOn w:val="DefaultParagraphFont"/>
    <w:uiPriority w:val="21"/>
    <w:qFormat/>
    <w:rsid w:val="00974F3A"/>
    <w:rPr>
      <w:i/>
      <w:iCs/>
      <w:color w:val="0F4761" w:themeColor="accent1" w:themeShade="BF"/>
    </w:rPr>
  </w:style>
  <w:style w:type="paragraph" w:styleId="IntenseQuote">
    <w:name w:val="Intense Quote"/>
    <w:basedOn w:val="Normal"/>
    <w:next w:val="Normal"/>
    <w:link w:val="IntenseQuoteChar"/>
    <w:uiPriority w:val="30"/>
    <w:qFormat/>
    <w:rsid w:val="00974F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4F3A"/>
    <w:rPr>
      <w:i/>
      <w:iCs/>
      <w:color w:val="0F4761" w:themeColor="accent1" w:themeShade="BF"/>
    </w:rPr>
  </w:style>
  <w:style w:type="character" w:styleId="IntenseReference">
    <w:name w:val="Intense Reference"/>
    <w:basedOn w:val="DefaultParagraphFont"/>
    <w:uiPriority w:val="32"/>
    <w:qFormat/>
    <w:rsid w:val="00974F3A"/>
    <w:rPr>
      <w:b/>
      <w:bCs/>
      <w:smallCaps/>
      <w:color w:val="0F4761" w:themeColor="accent1" w:themeShade="BF"/>
      <w:spacing w:val="5"/>
    </w:rPr>
  </w:style>
  <w:style w:type="table" w:styleId="TableGrid">
    <w:name w:val="Table Grid"/>
    <w:basedOn w:val="TableNormal"/>
    <w:uiPriority w:val="39"/>
    <w:rsid w:val="00974F3A"/>
    <w:pPr>
      <w:spacing w:after="0" w:line="240" w:lineRule="auto"/>
    </w:pPr>
    <w:rPr>
      <w:kern w:val="0"/>
      <w:lang w:val="" w:bidi="he-I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360</Words>
  <Characters>2058</Characters>
  <Application>Microsoft Office Word</Application>
  <DocSecurity>0</DocSecurity>
  <Lines>17</Lines>
  <Paragraphs>4</Paragraphs>
  <ScaleCrop>false</ScaleCrop>
  <Company>Springer Nature</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2024-09-27T05:51:00Z</dcterms:created>
  <dcterms:modified xsi:type="dcterms:W3CDTF">2024-09-27T05:51:00Z</dcterms:modified>
</cp:coreProperties>
</file>