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A84AD" w14:textId="77777777" w:rsidR="00E846AB" w:rsidRPr="00223059" w:rsidRDefault="00E846AB" w:rsidP="00E846AB">
      <w:pPr>
        <w:spacing w:line="480" w:lineRule="auto"/>
        <w:jc w:val="center"/>
        <w:rPr>
          <w:rFonts w:ascii="Times New Roman" w:hAnsi="Times New Roman" w:cs="Times New Roman"/>
          <w:sz w:val="20"/>
        </w:rPr>
      </w:pPr>
      <w:r w:rsidRPr="003D168E">
        <w:rPr>
          <w:rFonts w:ascii="Times New Roman" w:hAnsi="Times New Roman" w:cs="Times New Roman"/>
          <w:b/>
          <w:sz w:val="20"/>
        </w:rPr>
        <w:t>Table 2</w:t>
      </w:r>
      <w:r>
        <w:rPr>
          <w:rFonts w:ascii="Times New Roman" w:hAnsi="Times New Roman" w:cs="Times New Roman"/>
          <w:sz w:val="20"/>
        </w:rPr>
        <w:t xml:space="preserve"> Results of antibiotic screening on isolated </w:t>
      </w:r>
      <w:r w:rsidRPr="003D168E">
        <w:rPr>
          <w:rFonts w:ascii="Times New Roman" w:hAnsi="Times New Roman" w:cs="Times New Roman"/>
          <w:i/>
          <w:sz w:val="20"/>
        </w:rPr>
        <w:t>M. abscessus subsp. massiliense</w:t>
      </w:r>
      <w:r>
        <w:rPr>
          <w:rFonts w:ascii="Times New Roman" w:hAnsi="Times New Roman" w:cs="Times New Roman"/>
          <w:sz w:val="20"/>
        </w:rPr>
        <w:t xml:space="preserve"> (MAM)</w:t>
      </w:r>
    </w:p>
    <w:tbl>
      <w:tblPr>
        <w:tblStyle w:val="TableGrid"/>
        <w:tblW w:w="8296" w:type="dxa"/>
        <w:tblLook w:val="04A0" w:firstRow="1" w:lastRow="0" w:firstColumn="1" w:lastColumn="0" w:noHBand="0" w:noVBand="1"/>
      </w:tblPr>
      <w:tblGrid>
        <w:gridCol w:w="2972"/>
        <w:gridCol w:w="1701"/>
        <w:gridCol w:w="1843"/>
        <w:gridCol w:w="1780"/>
      </w:tblGrid>
      <w:tr w:rsidR="00E846AB" w:rsidRPr="003D168E" w14:paraId="121595B4" w14:textId="77777777" w:rsidTr="00C81E50">
        <w:trPr>
          <w:trHeight w:val="145"/>
        </w:trPr>
        <w:tc>
          <w:tcPr>
            <w:tcW w:w="2972" w:type="dxa"/>
            <w:vMerge w:val="restart"/>
            <w:noWrap/>
            <w:vAlign w:val="center"/>
            <w:hideMark/>
          </w:tcPr>
          <w:p w14:paraId="0CA0BC6A" w14:textId="77777777" w:rsidR="00E846AB" w:rsidRPr="003D168E" w:rsidRDefault="00E846AB" w:rsidP="00C81E50">
            <w:pPr>
              <w:spacing w:line="480" w:lineRule="auto"/>
              <w:jc w:val="center"/>
              <w:rPr>
                <w:rFonts w:ascii="Times New Roman" w:eastAsia="Times New Roman" w:hAnsi="Times New Roman" w:cs="Times New Roman"/>
                <w:b/>
                <w:bCs/>
                <w:color w:val="000000"/>
                <w:sz w:val="20"/>
                <w:szCs w:val="20"/>
              </w:rPr>
            </w:pPr>
            <w:r w:rsidRPr="003D168E">
              <w:rPr>
                <w:rFonts w:ascii="Times New Roman" w:eastAsia="Times New Roman" w:hAnsi="Times New Roman" w:cs="Times New Roman"/>
                <w:b/>
                <w:bCs/>
                <w:color w:val="000000"/>
                <w:sz w:val="20"/>
                <w:szCs w:val="20"/>
              </w:rPr>
              <w:t>Antibiotic</w:t>
            </w:r>
          </w:p>
        </w:tc>
        <w:tc>
          <w:tcPr>
            <w:tcW w:w="1701" w:type="dxa"/>
            <w:vMerge w:val="restart"/>
            <w:noWrap/>
            <w:vAlign w:val="center"/>
            <w:hideMark/>
          </w:tcPr>
          <w:p w14:paraId="0D68E0A3" w14:textId="77777777" w:rsidR="00E846AB" w:rsidRPr="003D168E" w:rsidRDefault="00E846AB" w:rsidP="00C81E50">
            <w:pPr>
              <w:spacing w:line="480" w:lineRule="auto"/>
              <w:jc w:val="center"/>
              <w:rPr>
                <w:rFonts w:ascii="Times New Roman" w:eastAsia="Times New Roman" w:hAnsi="Times New Roman" w:cs="Times New Roman"/>
                <w:b/>
                <w:bCs/>
                <w:color w:val="000000"/>
                <w:sz w:val="20"/>
                <w:szCs w:val="20"/>
              </w:rPr>
            </w:pPr>
            <w:r w:rsidRPr="003D168E">
              <w:rPr>
                <w:rFonts w:ascii="Times New Roman" w:eastAsia="Times New Roman" w:hAnsi="Times New Roman" w:cs="Times New Roman"/>
                <w:b/>
                <w:bCs/>
                <w:color w:val="000000"/>
                <w:sz w:val="20"/>
                <w:szCs w:val="20"/>
              </w:rPr>
              <w:t>Concentration</w:t>
            </w:r>
          </w:p>
        </w:tc>
        <w:tc>
          <w:tcPr>
            <w:tcW w:w="3623" w:type="dxa"/>
            <w:gridSpan w:val="2"/>
            <w:noWrap/>
            <w:vAlign w:val="center"/>
            <w:hideMark/>
          </w:tcPr>
          <w:p w14:paraId="0B7E948D" w14:textId="77777777" w:rsidR="00E846AB" w:rsidRPr="00223059" w:rsidRDefault="00E846AB" w:rsidP="00C81E50">
            <w:pPr>
              <w:spacing w:line="480" w:lineRule="auto"/>
              <w:jc w:val="center"/>
              <w:rPr>
                <w:rFonts w:ascii="Times New Roman" w:eastAsia="Times New Roman" w:hAnsi="Times New Roman" w:cs="Times New Roman"/>
                <w:b/>
                <w:bCs/>
                <w:color w:val="000000"/>
                <w:sz w:val="20"/>
                <w:szCs w:val="20"/>
              </w:rPr>
            </w:pPr>
            <w:r w:rsidRPr="003D168E">
              <w:rPr>
                <w:rFonts w:ascii="Times New Roman" w:eastAsia="Times New Roman" w:hAnsi="Times New Roman" w:cs="Times New Roman"/>
                <w:b/>
                <w:bCs/>
                <w:color w:val="000000"/>
                <w:sz w:val="20"/>
                <w:szCs w:val="20"/>
              </w:rPr>
              <w:t xml:space="preserve">Zone </w:t>
            </w:r>
            <w:r w:rsidRPr="00223059">
              <w:rPr>
                <w:rFonts w:ascii="Times New Roman" w:eastAsia="Times New Roman" w:hAnsi="Times New Roman" w:cs="Times New Roman"/>
                <w:b/>
                <w:bCs/>
                <w:color w:val="000000"/>
                <w:sz w:val="20"/>
                <w:szCs w:val="20"/>
              </w:rPr>
              <w:t>of Inhibition</w:t>
            </w:r>
            <w:r w:rsidRPr="003D168E">
              <w:rPr>
                <w:rFonts w:ascii="Times New Roman" w:eastAsia="Times New Roman" w:hAnsi="Times New Roman" w:cs="Times New Roman"/>
                <w:b/>
                <w:bCs/>
                <w:color w:val="000000"/>
                <w:sz w:val="20"/>
                <w:szCs w:val="20"/>
              </w:rPr>
              <w:t xml:space="preserve"> (mm)</w:t>
            </w:r>
          </w:p>
        </w:tc>
      </w:tr>
      <w:tr w:rsidR="00E846AB" w:rsidRPr="003D168E" w14:paraId="642D5276" w14:textId="77777777" w:rsidTr="00C81E50">
        <w:trPr>
          <w:trHeight w:val="145"/>
        </w:trPr>
        <w:tc>
          <w:tcPr>
            <w:tcW w:w="2972" w:type="dxa"/>
            <w:vMerge/>
            <w:noWrap/>
            <w:vAlign w:val="center"/>
          </w:tcPr>
          <w:p w14:paraId="611CE1DF" w14:textId="77777777" w:rsidR="00E846AB" w:rsidRPr="00223059" w:rsidRDefault="00E846AB" w:rsidP="00C81E50">
            <w:pPr>
              <w:spacing w:line="480" w:lineRule="auto"/>
              <w:jc w:val="center"/>
              <w:rPr>
                <w:rFonts w:ascii="Times New Roman" w:eastAsia="Times New Roman" w:hAnsi="Times New Roman" w:cs="Times New Roman"/>
                <w:b/>
                <w:bCs/>
                <w:color w:val="000000"/>
                <w:sz w:val="20"/>
                <w:szCs w:val="20"/>
              </w:rPr>
            </w:pPr>
          </w:p>
        </w:tc>
        <w:tc>
          <w:tcPr>
            <w:tcW w:w="1701" w:type="dxa"/>
            <w:vMerge/>
            <w:noWrap/>
            <w:vAlign w:val="center"/>
          </w:tcPr>
          <w:p w14:paraId="2C120CCB" w14:textId="77777777" w:rsidR="00E846AB" w:rsidRPr="00223059" w:rsidRDefault="00E846AB" w:rsidP="00C81E50">
            <w:pPr>
              <w:spacing w:line="480" w:lineRule="auto"/>
              <w:jc w:val="center"/>
              <w:rPr>
                <w:rFonts w:ascii="Times New Roman" w:eastAsia="Times New Roman" w:hAnsi="Times New Roman" w:cs="Times New Roman"/>
                <w:b/>
                <w:bCs/>
                <w:color w:val="000000"/>
                <w:sz w:val="20"/>
                <w:szCs w:val="20"/>
              </w:rPr>
            </w:pPr>
          </w:p>
        </w:tc>
        <w:tc>
          <w:tcPr>
            <w:tcW w:w="1843" w:type="dxa"/>
            <w:noWrap/>
            <w:vAlign w:val="center"/>
          </w:tcPr>
          <w:p w14:paraId="4B8186FC" w14:textId="77777777" w:rsidR="00E846AB" w:rsidRPr="00223059" w:rsidRDefault="00E846AB" w:rsidP="00C81E50">
            <w:pPr>
              <w:spacing w:line="480" w:lineRule="auto"/>
              <w:jc w:val="center"/>
              <w:rPr>
                <w:rFonts w:ascii="Times New Roman" w:eastAsia="Times New Roman" w:hAnsi="Times New Roman" w:cs="Times New Roman"/>
                <w:b/>
                <w:bCs/>
                <w:color w:val="000000"/>
                <w:sz w:val="20"/>
                <w:szCs w:val="20"/>
              </w:rPr>
            </w:pPr>
            <w:r w:rsidRPr="00223059">
              <w:rPr>
                <w:rFonts w:ascii="Times New Roman" w:eastAsia="Times New Roman" w:hAnsi="Times New Roman" w:cs="Times New Roman"/>
                <w:b/>
                <w:bCs/>
                <w:color w:val="000000"/>
                <w:sz w:val="20"/>
                <w:szCs w:val="20"/>
              </w:rPr>
              <w:t>5 DPT</w:t>
            </w:r>
          </w:p>
        </w:tc>
        <w:tc>
          <w:tcPr>
            <w:tcW w:w="1780" w:type="dxa"/>
            <w:vAlign w:val="center"/>
          </w:tcPr>
          <w:p w14:paraId="43245713" w14:textId="77777777" w:rsidR="00E846AB" w:rsidRPr="00223059" w:rsidRDefault="00E846AB" w:rsidP="00C81E50">
            <w:pPr>
              <w:spacing w:line="480" w:lineRule="auto"/>
              <w:jc w:val="center"/>
              <w:rPr>
                <w:rFonts w:ascii="Times New Roman" w:eastAsia="Times New Roman" w:hAnsi="Times New Roman" w:cs="Times New Roman"/>
                <w:b/>
                <w:bCs/>
                <w:color w:val="000000"/>
                <w:sz w:val="20"/>
                <w:szCs w:val="20"/>
              </w:rPr>
            </w:pPr>
            <w:r w:rsidRPr="00223059">
              <w:rPr>
                <w:rFonts w:ascii="Times New Roman" w:eastAsia="Times New Roman" w:hAnsi="Times New Roman" w:cs="Times New Roman"/>
                <w:b/>
                <w:bCs/>
                <w:color w:val="000000"/>
                <w:sz w:val="20"/>
                <w:szCs w:val="20"/>
              </w:rPr>
              <w:t>7 DPT</w:t>
            </w:r>
          </w:p>
        </w:tc>
      </w:tr>
      <w:tr w:rsidR="00E846AB" w:rsidRPr="003D168E" w14:paraId="46B2ED29" w14:textId="77777777" w:rsidTr="00C81E50">
        <w:trPr>
          <w:trHeight w:val="288"/>
        </w:trPr>
        <w:tc>
          <w:tcPr>
            <w:tcW w:w="2972" w:type="dxa"/>
            <w:noWrap/>
            <w:vAlign w:val="center"/>
            <w:hideMark/>
          </w:tcPr>
          <w:p w14:paraId="39C15B8C"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Chloramphenicol (C)</w:t>
            </w:r>
          </w:p>
        </w:tc>
        <w:tc>
          <w:tcPr>
            <w:tcW w:w="1701" w:type="dxa"/>
            <w:noWrap/>
            <w:vAlign w:val="center"/>
            <w:hideMark/>
          </w:tcPr>
          <w:p w14:paraId="49E1EC2A"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30µg</w:t>
            </w:r>
          </w:p>
        </w:tc>
        <w:tc>
          <w:tcPr>
            <w:tcW w:w="1843" w:type="dxa"/>
            <w:noWrap/>
            <w:vAlign w:val="center"/>
            <w:hideMark/>
          </w:tcPr>
          <w:p w14:paraId="7B2DED15"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2BED3910"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2542F4F8" w14:textId="77777777" w:rsidTr="00C81E50">
        <w:trPr>
          <w:trHeight w:val="288"/>
        </w:trPr>
        <w:tc>
          <w:tcPr>
            <w:tcW w:w="2972" w:type="dxa"/>
            <w:noWrap/>
            <w:vAlign w:val="center"/>
            <w:hideMark/>
          </w:tcPr>
          <w:p w14:paraId="59410945"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Co-Trimoxazole (Sulpha/Trimethoprim) (COT)</w:t>
            </w:r>
          </w:p>
        </w:tc>
        <w:tc>
          <w:tcPr>
            <w:tcW w:w="1701" w:type="dxa"/>
            <w:noWrap/>
            <w:vAlign w:val="center"/>
            <w:hideMark/>
          </w:tcPr>
          <w:p w14:paraId="2F0D91EE"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25µg (23.75/1.25 µg)</w:t>
            </w:r>
          </w:p>
        </w:tc>
        <w:tc>
          <w:tcPr>
            <w:tcW w:w="1843" w:type="dxa"/>
            <w:noWrap/>
            <w:vAlign w:val="center"/>
            <w:hideMark/>
          </w:tcPr>
          <w:p w14:paraId="36A42696"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52691B23"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0E5D63B9" w14:textId="77777777" w:rsidTr="00C81E50">
        <w:trPr>
          <w:trHeight w:val="288"/>
        </w:trPr>
        <w:tc>
          <w:tcPr>
            <w:tcW w:w="2972" w:type="dxa"/>
            <w:noWrap/>
            <w:vAlign w:val="center"/>
            <w:hideMark/>
          </w:tcPr>
          <w:p w14:paraId="14BC8D1D"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Fusidic Acid (FC)</w:t>
            </w:r>
          </w:p>
        </w:tc>
        <w:tc>
          <w:tcPr>
            <w:tcW w:w="1701" w:type="dxa"/>
            <w:noWrap/>
            <w:vAlign w:val="center"/>
            <w:hideMark/>
          </w:tcPr>
          <w:p w14:paraId="207E3BCC"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30µg</w:t>
            </w:r>
          </w:p>
        </w:tc>
        <w:tc>
          <w:tcPr>
            <w:tcW w:w="1843" w:type="dxa"/>
            <w:noWrap/>
            <w:vAlign w:val="center"/>
            <w:hideMark/>
          </w:tcPr>
          <w:p w14:paraId="25C8C5AC"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225412AE"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0E174A2E" w14:textId="77777777" w:rsidTr="00C81E50">
        <w:trPr>
          <w:trHeight w:val="288"/>
        </w:trPr>
        <w:tc>
          <w:tcPr>
            <w:tcW w:w="2972" w:type="dxa"/>
            <w:shd w:val="clear" w:color="auto" w:fill="FFFF00"/>
            <w:noWrap/>
            <w:vAlign w:val="center"/>
            <w:hideMark/>
          </w:tcPr>
          <w:p w14:paraId="2FC760C3"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Linezolid (LZ)</w:t>
            </w:r>
          </w:p>
        </w:tc>
        <w:tc>
          <w:tcPr>
            <w:tcW w:w="1701" w:type="dxa"/>
            <w:shd w:val="clear" w:color="auto" w:fill="FFFF00"/>
            <w:noWrap/>
            <w:vAlign w:val="center"/>
            <w:hideMark/>
          </w:tcPr>
          <w:p w14:paraId="0ED7E74B"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30µg</w:t>
            </w:r>
          </w:p>
        </w:tc>
        <w:tc>
          <w:tcPr>
            <w:tcW w:w="1843" w:type="dxa"/>
            <w:shd w:val="clear" w:color="auto" w:fill="FFFF00"/>
            <w:noWrap/>
            <w:vAlign w:val="center"/>
            <w:hideMark/>
          </w:tcPr>
          <w:p w14:paraId="0BD0E28B"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29.75 ±2.63</w:t>
            </w:r>
          </w:p>
        </w:tc>
        <w:tc>
          <w:tcPr>
            <w:tcW w:w="1780" w:type="dxa"/>
            <w:shd w:val="clear" w:color="auto" w:fill="FFFF00"/>
            <w:vAlign w:val="center"/>
          </w:tcPr>
          <w:p w14:paraId="678FAE1C"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 7 ±12.12</w:t>
            </w:r>
          </w:p>
        </w:tc>
      </w:tr>
      <w:tr w:rsidR="00E846AB" w:rsidRPr="003D168E" w14:paraId="71F2C295" w14:textId="77777777" w:rsidTr="00C81E50">
        <w:trPr>
          <w:trHeight w:val="275"/>
        </w:trPr>
        <w:tc>
          <w:tcPr>
            <w:tcW w:w="2972" w:type="dxa"/>
            <w:noWrap/>
            <w:vAlign w:val="center"/>
            <w:hideMark/>
          </w:tcPr>
          <w:p w14:paraId="2E8590AB"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Rifampicin (RIF)</w:t>
            </w:r>
          </w:p>
        </w:tc>
        <w:tc>
          <w:tcPr>
            <w:tcW w:w="1701" w:type="dxa"/>
            <w:noWrap/>
            <w:vAlign w:val="center"/>
            <w:hideMark/>
          </w:tcPr>
          <w:p w14:paraId="550BAE50"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5µg</w:t>
            </w:r>
          </w:p>
        </w:tc>
        <w:tc>
          <w:tcPr>
            <w:tcW w:w="1843" w:type="dxa"/>
            <w:noWrap/>
            <w:vAlign w:val="center"/>
            <w:hideMark/>
          </w:tcPr>
          <w:p w14:paraId="3C2B03C3"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593C1B5E"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4613BD24" w14:textId="77777777" w:rsidTr="00C81E50">
        <w:trPr>
          <w:trHeight w:val="288"/>
        </w:trPr>
        <w:tc>
          <w:tcPr>
            <w:tcW w:w="2972" w:type="dxa"/>
            <w:noWrap/>
            <w:vAlign w:val="center"/>
            <w:hideMark/>
          </w:tcPr>
          <w:p w14:paraId="091FBB61"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Tetracycline (TE)</w:t>
            </w:r>
          </w:p>
        </w:tc>
        <w:tc>
          <w:tcPr>
            <w:tcW w:w="1701" w:type="dxa"/>
            <w:noWrap/>
            <w:vAlign w:val="center"/>
            <w:hideMark/>
          </w:tcPr>
          <w:p w14:paraId="2164256C"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30µg</w:t>
            </w:r>
          </w:p>
        </w:tc>
        <w:tc>
          <w:tcPr>
            <w:tcW w:w="1843" w:type="dxa"/>
            <w:noWrap/>
            <w:vAlign w:val="center"/>
            <w:hideMark/>
          </w:tcPr>
          <w:p w14:paraId="19FC6805"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032F3BBF"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32DADBA3" w14:textId="77777777" w:rsidTr="00C81E50">
        <w:trPr>
          <w:trHeight w:val="288"/>
        </w:trPr>
        <w:tc>
          <w:tcPr>
            <w:tcW w:w="2972" w:type="dxa"/>
            <w:noWrap/>
            <w:vAlign w:val="center"/>
            <w:hideMark/>
          </w:tcPr>
          <w:p w14:paraId="7E4BF51A"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Cephalothin (CEP)</w:t>
            </w:r>
          </w:p>
        </w:tc>
        <w:tc>
          <w:tcPr>
            <w:tcW w:w="1701" w:type="dxa"/>
            <w:noWrap/>
            <w:vAlign w:val="center"/>
            <w:hideMark/>
          </w:tcPr>
          <w:p w14:paraId="4306F449"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30μg</w:t>
            </w:r>
          </w:p>
        </w:tc>
        <w:tc>
          <w:tcPr>
            <w:tcW w:w="1843" w:type="dxa"/>
            <w:noWrap/>
            <w:vAlign w:val="center"/>
            <w:hideMark/>
          </w:tcPr>
          <w:p w14:paraId="7CD66883"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48745B2E"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4ECEEEF3" w14:textId="77777777" w:rsidTr="00C81E50">
        <w:trPr>
          <w:trHeight w:val="288"/>
        </w:trPr>
        <w:tc>
          <w:tcPr>
            <w:tcW w:w="2972" w:type="dxa"/>
            <w:noWrap/>
            <w:vAlign w:val="center"/>
            <w:hideMark/>
          </w:tcPr>
          <w:p w14:paraId="1128D396"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Clindamycin (CD)</w:t>
            </w:r>
          </w:p>
        </w:tc>
        <w:tc>
          <w:tcPr>
            <w:tcW w:w="1701" w:type="dxa"/>
            <w:noWrap/>
            <w:vAlign w:val="center"/>
            <w:hideMark/>
          </w:tcPr>
          <w:p w14:paraId="6649CD06"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2μg</w:t>
            </w:r>
          </w:p>
        </w:tc>
        <w:tc>
          <w:tcPr>
            <w:tcW w:w="1843" w:type="dxa"/>
            <w:noWrap/>
            <w:vAlign w:val="center"/>
            <w:hideMark/>
          </w:tcPr>
          <w:p w14:paraId="384B4D7A"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3BE8032F"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09EBCDFA" w14:textId="77777777" w:rsidTr="00C81E50">
        <w:trPr>
          <w:trHeight w:val="288"/>
        </w:trPr>
        <w:tc>
          <w:tcPr>
            <w:tcW w:w="2972" w:type="dxa"/>
            <w:shd w:val="clear" w:color="auto" w:fill="B3E5A1" w:themeFill="accent6" w:themeFillTint="66"/>
            <w:noWrap/>
            <w:vAlign w:val="center"/>
            <w:hideMark/>
          </w:tcPr>
          <w:p w14:paraId="73B1C80D"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Erythromycin (E)</w:t>
            </w:r>
          </w:p>
        </w:tc>
        <w:tc>
          <w:tcPr>
            <w:tcW w:w="1701" w:type="dxa"/>
            <w:shd w:val="clear" w:color="auto" w:fill="B3E5A1" w:themeFill="accent6" w:themeFillTint="66"/>
            <w:noWrap/>
            <w:vAlign w:val="center"/>
            <w:hideMark/>
          </w:tcPr>
          <w:p w14:paraId="06548A85"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15μg</w:t>
            </w:r>
          </w:p>
        </w:tc>
        <w:tc>
          <w:tcPr>
            <w:tcW w:w="1843" w:type="dxa"/>
            <w:shd w:val="clear" w:color="auto" w:fill="B3E5A1" w:themeFill="accent6" w:themeFillTint="66"/>
            <w:noWrap/>
            <w:vAlign w:val="center"/>
            <w:hideMark/>
          </w:tcPr>
          <w:p w14:paraId="7452C417"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25.2 ±8.53</w:t>
            </w:r>
          </w:p>
        </w:tc>
        <w:tc>
          <w:tcPr>
            <w:tcW w:w="1780" w:type="dxa"/>
            <w:shd w:val="clear" w:color="auto" w:fill="B3E5A1" w:themeFill="accent6" w:themeFillTint="66"/>
            <w:vAlign w:val="center"/>
          </w:tcPr>
          <w:p w14:paraId="263993E7"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26 ±5.29</w:t>
            </w:r>
          </w:p>
        </w:tc>
      </w:tr>
      <w:tr w:rsidR="00E846AB" w:rsidRPr="003D168E" w14:paraId="14B11B91" w14:textId="77777777" w:rsidTr="00C81E50">
        <w:trPr>
          <w:trHeight w:val="288"/>
        </w:trPr>
        <w:tc>
          <w:tcPr>
            <w:tcW w:w="2972" w:type="dxa"/>
            <w:shd w:val="clear" w:color="auto" w:fill="B3E5A1" w:themeFill="accent6" w:themeFillTint="66"/>
            <w:noWrap/>
            <w:vAlign w:val="center"/>
            <w:hideMark/>
          </w:tcPr>
          <w:p w14:paraId="3649A71E"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Gentamicin (GEN)</w:t>
            </w:r>
          </w:p>
        </w:tc>
        <w:tc>
          <w:tcPr>
            <w:tcW w:w="1701" w:type="dxa"/>
            <w:shd w:val="clear" w:color="auto" w:fill="B3E5A1" w:themeFill="accent6" w:themeFillTint="66"/>
            <w:noWrap/>
            <w:vAlign w:val="center"/>
            <w:hideMark/>
          </w:tcPr>
          <w:p w14:paraId="429D05B0"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10μg</w:t>
            </w:r>
          </w:p>
        </w:tc>
        <w:tc>
          <w:tcPr>
            <w:tcW w:w="1843" w:type="dxa"/>
            <w:shd w:val="clear" w:color="auto" w:fill="B3E5A1" w:themeFill="accent6" w:themeFillTint="66"/>
            <w:noWrap/>
            <w:vAlign w:val="center"/>
            <w:hideMark/>
          </w:tcPr>
          <w:p w14:paraId="1CEFF7F9"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29.09 ±7.13</w:t>
            </w:r>
          </w:p>
        </w:tc>
        <w:tc>
          <w:tcPr>
            <w:tcW w:w="1780" w:type="dxa"/>
            <w:shd w:val="clear" w:color="auto" w:fill="B3E5A1" w:themeFill="accent6" w:themeFillTint="66"/>
            <w:vAlign w:val="center"/>
          </w:tcPr>
          <w:p w14:paraId="3D08C66D"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28 ±1.41</w:t>
            </w:r>
          </w:p>
        </w:tc>
      </w:tr>
      <w:tr w:rsidR="00E846AB" w:rsidRPr="003D168E" w14:paraId="7715ED07" w14:textId="77777777" w:rsidTr="00C81E50">
        <w:trPr>
          <w:trHeight w:val="288"/>
        </w:trPr>
        <w:tc>
          <w:tcPr>
            <w:tcW w:w="2972" w:type="dxa"/>
            <w:noWrap/>
            <w:vAlign w:val="center"/>
            <w:hideMark/>
          </w:tcPr>
          <w:p w14:paraId="697B4697"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Ofloxacin (OF)</w:t>
            </w:r>
          </w:p>
        </w:tc>
        <w:tc>
          <w:tcPr>
            <w:tcW w:w="1701" w:type="dxa"/>
            <w:noWrap/>
            <w:vAlign w:val="center"/>
            <w:hideMark/>
          </w:tcPr>
          <w:p w14:paraId="3950028C"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5μg</w:t>
            </w:r>
          </w:p>
        </w:tc>
        <w:tc>
          <w:tcPr>
            <w:tcW w:w="1843" w:type="dxa"/>
            <w:noWrap/>
            <w:vAlign w:val="center"/>
            <w:hideMark/>
          </w:tcPr>
          <w:p w14:paraId="4D7E79B8"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08105EEA"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2EB5FC9F" w14:textId="77777777" w:rsidTr="00C81E50">
        <w:trPr>
          <w:trHeight w:val="288"/>
        </w:trPr>
        <w:tc>
          <w:tcPr>
            <w:tcW w:w="2972" w:type="dxa"/>
            <w:noWrap/>
            <w:vAlign w:val="center"/>
            <w:hideMark/>
          </w:tcPr>
          <w:p w14:paraId="1F332453"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Penicillin (P)</w:t>
            </w:r>
          </w:p>
        </w:tc>
        <w:tc>
          <w:tcPr>
            <w:tcW w:w="1701" w:type="dxa"/>
            <w:noWrap/>
            <w:vAlign w:val="center"/>
            <w:hideMark/>
          </w:tcPr>
          <w:p w14:paraId="08054485"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10Unit</w:t>
            </w:r>
          </w:p>
        </w:tc>
        <w:tc>
          <w:tcPr>
            <w:tcW w:w="1843" w:type="dxa"/>
            <w:noWrap/>
            <w:vAlign w:val="center"/>
            <w:hideMark/>
          </w:tcPr>
          <w:p w14:paraId="4D2256EA"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396D3C7B"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14A8DDC7" w14:textId="77777777" w:rsidTr="00C81E50">
        <w:trPr>
          <w:trHeight w:val="288"/>
        </w:trPr>
        <w:tc>
          <w:tcPr>
            <w:tcW w:w="2972" w:type="dxa"/>
            <w:noWrap/>
            <w:vAlign w:val="center"/>
            <w:hideMark/>
          </w:tcPr>
          <w:p w14:paraId="16A9339C"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Vancomycin (VA)</w:t>
            </w:r>
          </w:p>
        </w:tc>
        <w:tc>
          <w:tcPr>
            <w:tcW w:w="1701" w:type="dxa"/>
            <w:noWrap/>
            <w:vAlign w:val="center"/>
            <w:hideMark/>
          </w:tcPr>
          <w:p w14:paraId="742DA4F6"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30μg</w:t>
            </w:r>
          </w:p>
        </w:tc>
        <w:tc>
          <w:tcPr>
            <w:tcW w:w="1843" w:type="dxa"/>
            <w:noWrap/>
            <w:vAlign w:val="center"/>
            <w:hideMark/>
          </w:tcPr>
          <w:p w14:paraId="161E618A"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26909B77"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7675BEFD" w14:textId="77777777" w:rsidTr="00C81E50">
        <w:trPr>
          <w:trHeight w:val="288"/>
        </w:trPr>
        <w:tc>
          <w:tcPr>
            <w:tcW w:w="2972" w:type="dxa"/>
            <w:noWrap/>
            <w:vAlign w:val="center"/>
            <w:hideMark/>
          </w:tcPr>
          <w:p w14:paraId="2D50E1F4"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Ampicillin (AMP)</w:t>
            </w:r>
          </w:p>
        </w:tc>
        <w:tc>
          <w:tcPr>
            <w:tcW w:w="1701" w:type="dxa"/>
            <w:noWrap/>
            <w:vAlign w:val="center"/>
            <w:hideMark/>
          </w:tcPr>
          <w:p w14:paraId="12F90C22"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10μg</w:t>
            </w:r>
          </w:p>
        </w:tc>
        <w:tc>
          <w:tcPr>
            <w:tcW w:w="1843" w:type="dxa"/>
            <w:noWrap/>
            <w:vAlign w:val="center"/>
            <w:hideMark/>
          </w:tcPr>
          <w:p w14:paraId="77533A8E"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4EFA615B"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7EF45CFA" w14:textId="77777777" w:rsidTr="00C81E50">
        <w:trPr>
          <w:trHeight w:val="288"/>
        </w:trPr>
        <w:tc>
          <w:tcPr>
            <w:tcW w:w="2972" w:type="dxa"/>
            <w:noWrap/>
            <w:vAlign w:val="center"/>
            <w:hideMark/>
          </w:tcPr>
          <w:p w14:paraId="1E2CF56F"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Oxacillin (OX)</w:t>
            </w:r>
          </w:p>
        </w:tc>
        <w:tc>
          <w:tcPr>
            <w:tcW w:w="1701" w:type="dxa"/>
            <w:noWrap/>
            <w:vAlign w:val="center"/>
            <w:hideMark/>
          </w:tcPr>
          <w:p w14:paraId="3DD0712D"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1μg</w:t>
            </w:r>
          </w:p>
        </w:tc>
        <w:tc>
          <w:tcPr>
            <w:tcW w:w="1843" w:type="dxa"/>
            <w:noWrap/>
            <w:vAlign w:val="center"/>
            <w:hideMark/>
          </w:tcPr>
          <w:p w14:paraId="00929AA0"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1342A659"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43F95186" w14:textId="77777777" w:rsidTr="00C81E50">
        <w:trPr>
          <w:trHeight w:val="288"/>
        </w:trPr>
        <w:tc>
          <w:tcPr>
            <w:tcW w:w="2972" w:type="dxa"/>
            <w:shd w:val="clear" w:color="auto" w:fill="B3E5A1" w:themeFill="accent6" w:themeFillTint="66"/>
            <w:noWrap/>
            <w:vAlign w:val="center"/>
            <w:hideMark/>
          </w:tcPr>
          <w:p w14:paraId="7F9FD472"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Azithromycin (AZM)</w:t>
            </w:r>
          </w:p>
        </w:tc>
        <w:tc>
          <w:tcPr>
            <w:tcW w:w="1701" w:type="dxa"/>
            <w:shd w:val="clear" w:color="auto" w:fill="B3E5A1" w:themeFill="accent6" w:themeFillTint="66"/>
            <w:noWrap/>
            <w:vAlign w:val="center"/>
            <w:hideMark/>
          </w:tcPr>
          <w:p w14:paraId="31A6181E"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15μg</w:t>
            </w:r>
          </w:p>
        </w:tc>
        <w:tc>
          <w:tcPr>
            <w:tcW w:w="1843" w:type="dxa"/>
            <w:shd w:val="clear" w:color="auto" w:fill="B3E5A1" w:themeFill="accent6" w:themeFillTint="66"/>
            <w:noWrap/>
            <w:vAlign w:val="center"/>
            <w:hideMark/>
          </w:tcPr>
          <w:p w14:paraId="4BF816BB"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33.14 ±5.84</w:t>
            </w:r>
          </w:p>
        </w:tc>
        <w:tc>
          <w:tcPr>
            <w:tcW w:w="1780" w:type="dxa"/>
            <w:shd w:val="clear" w:color="auto" w:fill="B3E5A1" w:themeFill="accent6" w:themeFillTint="66"/>
            <w:vAlign w:val="center"/>
          </w:tcPr>
          <w:p w14:paraId="078CE9FD"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33.75 ±6.13</w:t>
            </w:r>
          </w:p>
        </w:tc>
      </w:tr>
      <w:tr w:rsidR="00E846AB" w:rsidRPr="003D168E" w14:paraId="3AD9E9C2" w14:textId="77777777" w:rsidTr="00C81E50">
        <w:trPr>
          <w:trHeight w:val="288"/>
        </w:trPr>
        <w:tc>
          <w:tcPr>
            <w:tcW w:w="2972" w:type="dxa"/>
            <w:shd w:val="clear" w:color="auto" w:fill="B3E5A1" w:themeFill="accent6" w:themeFillTint="66"/>
            <w:noWrap/>
            <w:vAlign w:val="center"/>
            <w:hideMark/>
          </w:tcPr>
          <w:p w14:paraId="4EB94783"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Amikacin (AK)</w:t>
            </w:r>
          </w:p>
        </w:tc>
        <w:tc>
          <w:tcPr>
            <w:tcW w:w="1701" w:type="dxa"/>
            <w:shd w:val="clear" w:color="auto" w:fill="B3E5A1" w:themeFill="accent6" w:themeFillTint="66"/>
            <w:noWrap/>
            <w:vAlign w:val="center"/>
            <w:hideMark/>
          </w:tcPr>
          <w:p w14:paraId="34F95185"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30μg</w:t>
            </w:r>
          </w:p>
        </w:tc>
        <w:tc>
          <w:tcPr>
            <w:tcW w:w="1843" w:type="dxa"/>
            <w:shd w:val="clear" w:color="auto" w:fill="B3E5A1" w:themeFill="accent6" w:themeFillTint="66"/>
            <w:noWrap/>
            <w:vAlign w:val="center"/>
            <w:hideMark/>
          </w:tcPr>
          <w:p w14:paraId="5BB9287E"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32.43 ±3.55</w:t>
            </w:r>
          </w:p>
        </w:tc>
        <w:tc>
          <w:tcPr>
            <w:tcW w:w="1780" w:type="dxa"/>
            <w:shd w:val="clear" w:color="auto" w:fill="B3E5A1" w:themeFill="accent6" w:themeFillTint="66"/>
            <w:vAlign w:val="center"/>
          </w:tcPr>
          <w:p w14:paraId="6953470F"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28.33 ±4.73</w:t>
            </w:r>
          </w:p>
        </w:tc>
      </w:tr>
      <w:tr w:rsidR="00E846AB" w:rsidRPr="003D168E" w14:paraId="762FB9AE" w14:textId="77777777" w:rsidTr="00C81E50">
        <w:trPr>
          <w:trHeight w:val="288"/>
        </w:trPr>
        <w:tc>
          <w:tcPr>
            <w:tcW w:w="2972" w:type="dxa"/>
            <w:shd w:val="clear" w:color="auto" w:fill="B3E5A1" w:themeFill="accent6" w:themeFillTint="66"/>
            <w:noWrap/>
            <w:vAlign w:val="center"/>
            <w:hideMark/>
          </w:tcPr>
          <w:p w14:paraId="54E9931D"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Clarithromycin (CLR)</w:t>
            </w:r>
          </w:p>
        </w:tc>
        <w:tc>
          <w:tcPr>
            <w:tcW w:w="1701" w:type="dxa"/>
            <w:shd w:val="clear" w:color="auto" w:fill="B3E5A1" w:themeFill="accent6" w:themeFillTint="66"/>
            <w:noWrap/>
            <w:vAlign w:val="center"/>
            <w:hideMark/>
          </w:tcPr>
          <w:p w14:paraId="1FBD9EFF"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15μg</w:t>
            </w:r>
          </w:p>
        </w:tc>
        <w:tc>
          <w:tcPr>
            <w:tcW w:w="1843" w:type="dxa"/>
            <w:shd w:val="clear" w:color="auto" w:fill="B3E5A1" w:themeFill="accent6" w:themeFillTint="66"/>
            <w:noWrap/>
            <w:vAlign w:val="center"/>
            <w:hideMark/>
          </w:tcPr>
          <w:p w14:paraId="48895FD9"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34.86 ±5.55</w:t>
            </w:r>
          </w:p>
        </w:tc>
        <w:tc>
          <w:tcPr>
            <w:tcW w:w="1780" w:type="dxa"/>
            <w:shd w:val="clear" w:color="auto" w:fill="B3E5A1" w:themeFill="accent6" w:themeFillTint="66"/>
            <w:vAlign w:val="center"/>
          </w:tcPr>
          <w:p w14:paraId="592EDF0C"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26.5 ±6.86</w:t>
            </w:r>
          </w:p>
        </w:tc>
      </w:tr>
      <w:tr w:rsidR="00E846AB" w:rsidRPr="003D168E" w14:paraId="79E12D0A" w14:textId="77777777" w:rsidTr="00C81E50">
        <w:trPr>
          <w:trHeight w:val="288"/>
        </w:trPr>
        <w:tc>
          <w:tcPr>
            <w:tcW w:w="2972" w:type="dxa"/>
            <w:shd w:val="clear" w:color="auto" w:fill="FFFF00"/>
            <w:noWrap/>
            <w:vAlign w:val="center"/>
            <w:hideMark/>
          </w:tcPr>
          <w:p w14:paraId="1FF33EC0"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Teicoplanin (TEI)</w:t>
            </w:r>
          </w:p>
        </w:tc>
        <w:tc>
          <w:tcPr>
            <w:tcW w:w="1701" w:type="dxa"/>
            <w:shd w:val="clear" w:color="auto" w:fill="FFFF00"/>
            <w:noWrap/>
            <w:vAlign w:val="center"/>
            <w:hideMark/>
          </w:tcPr>
          <w:p w14:paraId="51BB0D03"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10μg</w:t>
            </w:r>
          </w:p>
        </w:tc>
        <w:tc>
          <w:tcPr>
            <w:tcW w:w="1843" w:type="dxa"/>
            <w:shd w:val="clear" w:color="auto" w:fill="FFFF00"/>
            <w:noWrap/>
            <w:vAlign w:val="center"/>
            <w:hideMark/>
          </w:tcPr>
          <w:p w14:paraId="0FEF0DF3"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r w:rsidRPr="00223059">
              <w:rPr>
                <w:rFonts w:ascii="Times New Roman" w:eastAsia="Times New Roman" w:hAnsi="Times New Roman" w:cs="Times New Roman"/>
                <w:color w:val="000000"/>
                <w:sz w:val="20"/>
                <w:szCs w:val="20"/>
              </w:rPr>
              <w:t>, 11.89 ±9.18</w:t>
            </w:r>
          </w:p>
        </w:tc>
        <w:tc>
          <w:tcPr>
            <w:tcW w:w="1780" w:type="dxa"/>
            <w:shd w:val="clear" w:color="auto" w:fill="FFFF00"/>
            <w:vAlign w:val="center"/>
          </w:tcPr>
          <w:p w14:paraId="60F6DF4B"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 9.6 ±8.96</w:t>
            </w:r>
          </w:p>
        </w:tc>
      </w:tr>
      <w:tr w:rsidR="00E846AB" w:rsidRPr="003D168E" w14:paraId="6339B2E7" w14:textId="77777777" w:rsidTr="00C81E50">
        <w:trPr>
          <w:trHeight w:val="288"/>
        </w:trPr>
        <w:tc>
          <w:tcPr>
            <w:tcW w:w="2972" w:type="dxa"/>
            <w:noWrap/>
            <w:vAlign w:val="center"/>
            <w:hideMark/>
          </w:tcPr>
          <w:p w14:paraId="4E89CEF2"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Methicillin (MET)</w:t>
            </w:r>
          </w:p>
        </w:tc>
        <w:tc>
          <w:tcPr>
            <w:tcW w:w="1701" w:type="dxa"/>
            <w:noWrap/>
            <w:vAlign w:val="center"/>
            <w:hideMark/>
          </w:tcPr>
          <w:p w14:paraId="17D4EC90"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5μg</w:t>
            </w:r>
          </w:p>
        </w:tc>
        <w:tc>
          <w:tcPr>
            <w:tcW w:w="1843" w:type="dxa"/>
            <w:noWrap/>
            <w:vAlign w:val="center"/>
            <w:hideMark/>
          </w:tcPr>
          <w:p w14:paraId="5E841133"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0B94B6E9"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12E5BC37" w14:textId="77777777" w:rsidTr="00C81E50">
        <w:trPr>
          <w:trHeight w:val="288"/>
        </w:trPr>
        <w:tc>
          <w:tcPr>
            <w:tcW w:w="2972" w:type="dxa"/>
            <w:noWrap/>
            <w:vAlign w:val="center"/>
            <w:hideMark/>
          </w:tcPr>
          <w:p w14:paraId="379132D7"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Amoxyclav (AMC)</w:t>
            </w:r>
          </w:p>
        </w:tc>
        <w:tc>
          <w:tcPr>
            <w:tcW w:w="1701" w:type="dxa"/>
            <w:noWrap/>
            <w:vAlign w:val="center"/>
            <w:hideMark/>
          </w:tcPr>
          <w:p w14:paraId="585843A9"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30μg</w:t>
            </w:r>
          </w:p>
        </w:tc>
        <w:tc>
          <w:tcPr>
            <w:tcW w:w="1843" w:type="dxa"/>
            <w:noWrap/>
            <w:vAlign w:val="center"/>
            <w:hideMark/>
          </w:tcPr>
          <w:p w14:paraId="4D289744"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293FE29F"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629F1CDE" w14:textId="77777777" w:rsidTr="00C81E50">
        <w:trPr>
          <w:trHeight w:val="288"/>
        </w:trPr>
        <w:tc>
          <w:tcPr>
            <w:tcW w:w="2972" w:type="dxa"/>
            <w:noWrap/>
            <w:vAlign w:val="center"/>
            <w:hideMark/>
          </w:tcPr>
          <w:p w14:paraId="12724447"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Novobiocin (NV)</w:t>
            </w:r>
          </w:p>
        </w:tc>
        <w:tc>
          <w:tcPr>
            <w:tcW w:w="1701" w:type="dxa"/>
            <w:noWrap/>
            <w:vAlign w:val="center"/>
            <w:hideMark/>
          </w:tcPr>
          <w:p w14:paraId="44B21768"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5μg</w:t>
            </w:r>
          </w:p>
        </w:tc>
        <w:tc>
          <w:tcPr>
            <w:tcW w:w="1843" w:type="dxa"/>
            <w:noWrap/>
            <w:vAlign w:val="center"/>
            <w:hideMark/>
          </w:tcPr>
          <w:p w14:paraId="7F38D2C9"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41FB5956"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54B2C0F9" w14:textId="77777777" w:rsidTr="00C81E50">
        <w:trPr>
          <w:trHeight w:val="288"/>
        </w:trPr>
        <w:tc>
          <w:tcPr>
            <w:tcW w:w="2972" w:type="dxa"/>
            <w:shd w:val="clear" w:color="auto" w:fill="B3E5A1" w:themeFill="accent6" w:themeFillTint="66"/>
            <w:noWrap/>
            <w:vAlign w:val="center"/>
            <w:hideMark/>
          </w:tcPr>
          <w:p w14:paraId="0D236EAE"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Tigecycline (TGC)</w:t>
            </w:r>
          </w:p>
        </w:tc>
        <w:tc>
          <w:tcPr>
            <w:tcW w:w="1701" w:type="dxa"/>
            <w:shd w:val="clear" w:color="auto" w:fill="B3E5A1" w:themeFill="accent6" w:themeFillTint="66"/>
            <w:noWrap/>
            <w:vAlign w:val="center"/>
            <w:hideMark/>
          </w:tcPr>
          <w:p w14:paraId="2359D09F"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15μg</w:t>
            </w:r>
          </w:p>
        </w:tc>
        <w:tc>
          <w:tcPr>
            <w:tcW w:w="1843" w:type="dxa"/>
            <w:shd w:val="clear" w:color="auto" w:fill="B3E5A1" w:themeFill="accent6" w:themeFillTint="66"/>
            <w:noWrap/>
            <w:vAlign w:val="center"/>
            <w:hideMark/>
          </w:tcPr>
          <w:p w14:paraId="47A51B35"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28.17 ±4.17</w:t>
            </w:r>
          </w:p>
        </w:tc>
        <w:tc>
          <w:tcPr>
            <w:tcW w:w="1780" w:type="dxa"/>
            <w:shd w:val="clear" w:color="auto" w:fill="B3E5A1" w:themeFill="accent6" w:themeFillTint="66"/>
            <w:vAlign w:val="center"/>
          </w:tcPr>
          <w:p w14:paraId="2411A9FB"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17.5 ±6.36</w:t>
            </w:r>
          </w:p>
        </w:tc>
      </w:tr>
      <w:tr w:rsidR="00E846AB" w:rsidRPr="003D168E" w14:paraId="1A65B556" w14:textId="77777777" w:rsidTr="00C81E50">
        <w:trPr>
          <w:trHeight w:val="288"/>
        </w:trPr>
        <w:tc>
          <w:tcPr>
            <w:tcW w:w="2972" w:type="dxa"/>
            <w:shd w:val="clear" w:color="auto" w:fill="FFFF00"/>
            <w:noWrap/>
            <w:vAlign w:val="center"/>
            <w:hideMark/>
          </w:tcPr>
          <w:p w14:paraId="68A1F289"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lastRenderedPageBreak/>
              <w:t>Moxifloxacin (MO)</w:t>
            </w:r>
          </w:p>
        </w:tc>
        <w:tc>
          <w:tcPr>
            <w:tcW w:w="1701" w:type="dxa"/>
            <w:shd w:val="clear" w:color="auto" w:fill="FFFF00"/>
            <w:noWrap/>
            <w:vAlign w:val="center"/>
            <w:hideMark/>
          </w:tcPr>
          <w:p w14:paraId="27E2690F"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5μg</w:t>
            </w:r>
          </w:p>
        </w:tc>
        <w:tc>
          <w:tcPr>
            <w:tcW w:w="1843" w:type="dxa"/>
            <w:shd w:val="clear" w:color="auto" w:fill="FFFF00"/>
            <w:noWrap/>
            <w:vAlign w:val="center"/>
            <w:hideMark/>
          </w:tcPr>
          <w:p w14:paraId="33E51E85"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r w:rsidRPr="00223059">
              <w:rPr>
                <w:rFonts w:ascii="Times New Roman" w:eastAsia="Times New Roman" w:hAnsi="Times New Roman" w:cs="Times New Roman"/>
                <w:color w:val="000000"/>
                <w:sz w:val="20"/>
                <w:szCs w:val="20"/>
              </w:rPr>
              <w:t>, 14 ±13.56</w:t>
            </w:r>
          </w:p>
        </w:tc>
        <w:tc>
          <w:tcPr>
            <w:tcW w:w="1780" w:type="dxa"/>
            <w:shd w:val="clear" w:color="auto" w:fill="FFFF00"/>
            <w:vAlign w:val="center"/>
          </w:tcPr>
          <w:p w14:paraId="77D0A563"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0DA18F74" w14:textId="77777777" w:rsidTr="00C81E50">
        <w:trPr>
          <w:trHeight w:val="288"/>
        </w:trPr>
        <w:tc>
          <w:tcPr>
            <w:tcW w:w="2972" w:type="dxa"/>
            <w:noWrap/>
            <w:vAlign w:val="center"/>
            <w:hideMark/>
          </w:tcPr>
          <w:p w14:paraId="4AEA6D26"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Lomefloxacin (LOM)</w:t>
            </w:r>
          </w:p>
        </w:tc>
        <w:tc>
          <w:tcPr>
            <w:tcW w:w="1701" w:type="dxa"/>
            <w:noWrap/>
            <w:vAlign w:val="center"/>
            <w:hideMark/>
          </w:tcPr>
          <w:p w14:paraId="1E6A1A88"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10μg</w:t>
            </w:r>
          </w:p>
        </w:tc>
        <w:tc>
          <w:tcPr>
            <w:tcW w:w="1843" w:type="dxa"/>
            <w:noWrap/>
            <w:vAlign w:val="center"/>
            <w:hideMark/>
          </w:tcPr>
          <w:p w14:paraId="67889112"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7D324C2F"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03B7B103" w14:textId="77777777" w:rsidTr="00C81E50">
        <w:trPr>
          <w:trHeight w:val="288"/>
        </w:trPr>
        <w:tc>
          <w:tcPr>
            <w:tcW w:w="2972" w:type="dxa"/>
            <w:noWrap/>
            <w:vAlign w:val="center"/>
            <w:hideMark/>
          </w:tcPr>
          <w:p w14:paraId="0A0909AB"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Norfloxacin (NX)</w:t>
            </w:r>
          </w:p>
        </w:tc>
        <w:tc>
          <w:tcPr>
            <w:tcW w:w="1701" w:type="dxa"/>
            <w:noWrap/>
            <w:vAlign w:val="center"/>
            <w:hideMark/>
          </w:tcPr>
          <w:p w14:paraId="17C4A543"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10μg</w:t>
            </w:r>
          </w:p>
        </w:tc>
        <w:tc>
          <w:tcPr>
            <w:tcW w:w="1843" w:type="dxa"/>
            <w:noWrap/>
            <w:vAlign w:val="center"/>
            <w:hideMark/>
          </w:tcPr>
          <w:p w14:paraId="6E04C165"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477C3986"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7BC10E4A" w14:textId="77777777" w:rsidTr="00C81E50">
        <w:trPr>
          <w:trHeight w:val="288"/>
        </w:trPr>
        <w:tc>
          <w:tcPr>
            <w:tcW w:w="2972" w:type="dxa"/>
            <w:noWrap/>
            <w:vAlign w:val="center"/>
            <w:hideMark/>
          </w:tcPr>
          <w:p w14:paraId="390E5FB6"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Nitrofurantoin (NIT)</w:t>
            </w:r>
          </w:p>
        </w:tc>
        <w:tc>
          <w:tcPr>
            <w:tcW w:w="1701" w:type="dxa"/>
            <w:noWrap/>
            <w:vAlign w:val="center"/>
            <w:hideMark/>
          </w:tcPr>
          <w:p w14:paraId="777A959E"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300μg</w:t>
            </w:r>
          </w:p>
        </w:tc>
        <w:tc>
          <w:tcPr>
            <w:tcW w:w="1843" w:type="dxa"/>
            <w:noWrap/>
            <w:vAlign w:val="center"/>
            <w:hideMark/>
          </w:tcPr>
          <w:p w14:paraId="34CAB9B2"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6042BFB3"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708B80B1" w14:textId="77777777" w:rsidTr="00C81E50">
        <w:trPr>
          <w:trHeight w:val="288"/>
        </w:trPr>
        <w:tc>
          <w:tcPr>
            <w:tcW w:w="2972" w:type="dxa"/>
            <w:shd w:val="clear" w:color="auto" w:fill="B3E5A1" w:themeFill="accent6" w:themeFillTint="66"/>
            <w:noWrap/>
            <w:vAlign w:val="center"/>
            <w:hideMark/>
          </w:tcPr>
          <w:p w14:paraId="384E2C09"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Pristinamycin (RP)</w:t>
            </w:r>
          </w:p>
        </w:tc>
        <w:tc>
          <w:tcPr>
            <w:tcW w:w="1701" w:type="dxa"/>
            <w:shd w:val="clear" w:color="auto" w:fill="B3E5A1" w:themeFill="accent6" w:themeFillTint="66"/>
            <w:noWrap/>
            <w:vAlign w:val="center"/>
            <w:hideMark/>
          </w:tcPr>
          <w:p w14:paraId="29FC388D"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15μg</w:t>
            </w:r>
          </w:p>
        </w:tc>
        <w:tc>
          <w:tcPr>
            <w:tcW w:w="1843" w:type="dxa"/>
            <w:shd w:val="clear" w:color="auto" w:fill="B3E5A1" w:themeFill="accent6" w:themeFillTint="66"/>
            <w:noWrap/>
            <w:vAlign w:val="center"/>
            <w:hideMark/>
          </w:tcPr>
          <w:p w14:paraId="4C12468C"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29.33 ±6.66</w:t>
            </w:r>
          </w:p>
        </w:tc>
        <w:tc>
          <w:tcPr>
            <w:tcW w:w="1780" w:type="dxa"/>
            <w:shd w:val="clear" w:color="auto" w:fill="B3E5A1" w:themeFill="accent6" w:themeFillTint="66"/>
            <w:vAlign w:val="center"/>
          </w:tcPr>
          <w:p w14:paraId="74295414"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26 ±4.24</w:t>
            </w:r>
          </w:p>
        </w:tc>
      </w:tr>
      <w:tr w:rsidR="00E846AB" w:rsidRPr="003D168E" w14:paraId="70671E80" w14:textId="77777777" w:rsidTr="00C81E50">
        <w:trPr>
          <w:trHeight w:val="288"/>
        </w:trPr>
        <w:tc>
          <w:tcPr>
            <w:tcW w:w="2972" w:type="dxa"/>
            <w:noWrap/>
            <w:vAlign w:val="center"/>
            <w:hideMark/>
          </w:tcPr>
          <w:p w14:paraId="32D50934"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Ampicillin/Sulbactam (A/S)</w:t>
            </w:r>
          </w:p>
        </w:tc>
        <w:tc>
          <w:tcPr>
            <w:tcW w:w="1701" w:type="dxa"/>
            <w:noWrap/>
            <w:vAlign w:val="center"/>
            <w:hideMark/>
          </w:tcPr>
          <w:p w14:paraId="31CECFF5"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10/10μg</w:t>
            </w:r>
          </w:p>
        </w:tc>
        <w:tc>
          <w:tcPr>
            <w:tcW w:w="1843" w:type="dxa"/>
            <w:noWrap/>
            <w:vAlign w:val="center"/>
            <w:hideMark/>
          </w:tcPr>
          <w:p w14:paraId="660CA917"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0EBFD550"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r w:rsidR="00E846AB" w:rsidRPr="003D168E" w14:paraId="03E1D086" w14:textId="77777777" w:rsidTr="00C81E50">
        <w:trPr>
          <w:trHeight w:val="288"/>
        </w:trPr>
        <w:tc>
          <w:tcPr>
            <w:tcW w:w="2972" w:type="dxa"/>
            <w:noWrap/>
            <w:vAlign w:val="center"/>
            <w:hideMark/>
          </w:tcPr>
          <w:p w14:paraId="3F09F66F"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Piperacillin/Tazobactam (PIT)</w:t>
            </w:r>
          </w:p>
        </w:tc>
        <w:tc>
          <w:tcPr>
            <w:tcW w:w="1701" w:type="dxa"/>
            <w:noWrap/>
            <w:vAlign w:val="center"/>
            <w:hideMark/>
          </w:tcPr>
          <w:p w14:paraId="7C3FC362"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100/10μg</w:t>
            </w:r>
          </w:p>
        </w:tc>
        <w:tc>
          <w:tcPr>
            <w:tcW w:w="1843" w:type="dxa"/>
            <w:noWrap/>
            <w:vAlign w:val="center"/>
            <w:hideMark/>
          </w:tcPr>
          <w:p w14:paraId="3537763F" w14:textId="77777777" w:rsidR="00E846AB" w:rsidRPr="003D168E" w:rsidRDefault="00E846AB" w:rsidP="00C81E50">
            <w:pPr>
              <w:spacing w:line="480" w:lineRule="auto"/>
              <w:jc w:val="center"/>
              <w:rPr>
                <w:rFonts w:ascii="Times New Roman" w:eastAsia="Times New Roman" w:hAnsi="Times New Roman" w:cs="Times New Roman"/>
                <w:color w:val="000000"/>
                <w:sz w:val="20"/>
                <w:szCs w:val="20"/>
              </w:rPr>
            </w:pPr>
            <w:r w:rsidRPr="003D168E">
              <w:rPr>
                <w:rFonts w:ascii="Times New Roman" w:eastAsia="Times New Roman" w:hAnsi="Times New Roman" w:cs="Times New Roman"/>
                <w:color w:val="000000"/>
                <w:sz w:val="20"/>
                <w:szCs w:val="20"/>
              </w:rPr>
              <w:t>0</w:t>
            </w:r>
          </w:p>
        </w:tc>
        <w:tc>
          <w:tcPr>
            <w:tcW w:w="1780" w:type="dxa"/>
            <w:vAlign w:val="center"/>
          </w:tcPr>
          <w:p w14:paraId="2BC01B3D" w14:textId="77777777" w:rsidR="00E846AB" w:rsidRPr="00223059" w:rsidRDefault="00E846AB" w:rsidP="00C81E50">
            <w:pPr>
              <w:spacing w:line="480" w:lineRule="auto"/>
              <w:jc w:val="center"/>
              <w:rPr>
                <w:rFonts w:ascii="Times New Roman" w:eastAsia="Times New Roman" w:hAnsi="Times New Roman" w:cs="Times New Roman"/>
                <w:color w:val="000000"/>
                <w:sz w:val="20"/>
                <w:szCs w:val="20"/>
              </w:rPr>
            </w:pPr>
            <w:r w:rsidRPr="00223059">
              <w:rPr>
                <w:rFonts w:ascii="Times New Roman" w:eastAsia="Times New Roman" w:hAnsi="Times New Roman" w:cs="Times New Roman"/>
                <w:color w:val="000000"/>
                <w:sz w:val="20"/>
                <w:szCs w:val="20"/>
              </w:rPr>
              <w:t>0</w:t>
            </w:r>
          </w:p>
        </w:tc>
      </w:tr>
    </w:tbl>
    <w:p w14:paraId="09096499" w14:textId="77777777" w:rsidR="00E846AB" w:rsidRDefault="00E846AB" w:rsidP="00E846AB">
      <w:pPr>
        <w:spacing w:line="480" w:lineRule="auto"/>
        <w:jc w:val="both"/>
        <w:rPr>
          <w:rFonts w:ascii="Times New Roman" w:hAnsi="Times New Roman" w:cs="Times New Roman"/>
          <w:sz w:val="20"/>
        </w:rPr>
      </w:pPr>
      <w:r>
        <w:rPr>
          <w:rFonts w:ascii="Times New Roman" w:hAnsi="Times New Roman" w:cs="Times New Roman"/>
          <w:sz w:val="20"/>
        </w:rPr>
        <w:t>Antibiotics highlighted in green are effective against MAM. MAM develop resistance to antibiotics highlighted in yellow over time. MAM can be resistant and susceptible to some antibiotics (highlighted in yellow). The margins of error were obtained based on standard deviation (SD). DPT, days post-treatment.</w:t>
      </w:r>
    </w:p>
    <w:p w14:paraId="4864F2BC" w14:textId="77777777" w:rsidR="00E846AB" w:rsidRDefault="00E846AB" w:rsidP="00E846AB">
      <w:pPr>
        <w:spacing w:line="480" w:lineRule="auto"/>
        <w:jc w:val="both"/>
        <w:rPr>
          <w:rFonts w:ascii="Times New Roman" w:hAnsi="Times New Roman" w:cs="Times New Roman"/>
          <w:sz w:val="20"/>
        </w:rPr>
      </w:pPr>
    </w:p>
    <w:p w14:paraId="62E9D2C5" w14:textId="77777777" w:rsidR="00D30773" w:rsidRDefault="00D30773"/>
    <w:sectPr w:rsidR="00D307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6AB"/>
    <w:rsid w:val="00441C6B"/>
    <w:rsid w:val="00854297"/>
    <w:rsid w:val="00D30773"/>
    <w:rsid w:val="00E84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04AA7"/>
  <w15:chartTrackingRefBased/>
  <w15:docId w15:val="{D532962F-F710-42EB-90B1-AA215ED6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6AB"/>
    <w:pPr>
      <w:spacing w:line="259" w:lineRule="auto"/>
    </w:pPr>
    <w:rPr>
      <w:rFonts w:eastAsiaTheme="minorEastAsia"/>
      <w:kern w:val="0"/>
      <w:sz w:val="22"/>
      <w:szCs w:val="22"/>
      <w:lang w:val="en-MY" w:eastAsia="zh-CN"/>
      <w14:ligatures w14:val="none"/>
    </w:rPr>
  </w:style>
  <w:style w:type="paragraph" w:styleId="Heading1">
    <w:name w:val="heading 1"/>
    <w:basedOn w:val="Normal"/>
    <w:next w:val="Normal"/>
    <w:link w:val="Heading1Char"/>
    <w:uiPriority w:val="9"/>
    <w:qFormat/>
    <w:rsid w:val="00E846A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E846A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E846AB"/>
    <w:pPr>
      <w:keepNext/>
      <w:keepLines/>
      <w:spacing w:before="160" w:after="80" w:line="278" w:lineRule="auto"/>
      <w:outlineLvl w:val="2"/>
    </w:pPr>
    <w:rPr>
      <w:rFonts w:eastAsiaTheme="majorEastAsia"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E846AB"/>
    <w:pPr>
      <w:keepNext/>
      <w:keepLines/>
      <w:spacing w:before="80" w:after="40" w:line="278" w:lineRule="auto"/>
      <w:outlineLvl w:val="3"/>
    </w:pPr>
    <w:rPr>
      <w:rFonts w:eastAsiaTheme="majorEastAsia"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E846AB"/>
    <w:pPr>
      <w:keepNext/>
      <w:keepLines/>
      <w:spacing w:before="80" w:after="40" w:line="278" w:lineRule="auto"/>
      <w:outlineLvl w:val="4"/>
    </w:pPr>
    <w:rPr>
      <w:rFonts w:eastAsiaTheme="majorEastAsia"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E846AB"/>
    <w:pPr>
      <w:keepNext/>
      <w:keepLines/>
      <w:spacing w:before="40" w:after="0" w:line="278" w:lineRule="auto"/>
      <w:outlineLvl w:val="5"/>
    </w:pPr>
    <w:rPr>
      <w:rFonts w:eastAsiaTheme="majorEastAsia"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E846AB"/>
    <w:pPr>
      <w:keepNext/>
      <w:keepLines/>
      <w:spacing w:before="40" w:after="0" w:line="278" w:lineRule="auto"/>
      <w:outlineLvl w:val="6"/>
    </w:pPr>
    <w:rPr>
      <w:rFonts w:eastAsiaTheme="majorEastAsia"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E846AB"/>
    <w:pPr>
      <w:keepNext/>
      <w:keepLines/>
      <w:spacing w:after="0" w:line="278" w:lineRule="auto"/>
      <w:outlineLvl w:val="7"/>
    </w:pPr>
    <w:rPr>
      <w:rFonts w:eastAsiaTheme="majorEastAsia"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E846AB"/>
    <w:pPr>
      <w:keepNext/>
      <w:keepLines/>
      <w:spacing w:after="0" w:line="278" w:lineRule="auto"/>
      <w:outlineLvl w:val="8"/>
    </w:pPr>
    <w:rPr>
      <w:rFonts w:eastAsiaTheme="majorEastAsia"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6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6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6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6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6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6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6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6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6AB"/>
    <w:rPr>
      <w:rFonts w:eastAsiaTheme="majorEastAsia" w:cstheme="majorBidi"/>
      <w:color w:val="272727" w:themeColor="text1" w:themeTint="D8"/>
    </w:rPr>
  </w:style>
  <w:style w:type="paragraph" w:styleId="Title">
    <w:name w:val="Title"/>
    <w:basedOn w:val="Normal"/>
    <w:next w:val="Normal"/>
    <w:link w:val="TitleChar"/>
    <w:uiPriority w:val="10"/>
    <w:qFormat/>
    <w:rsid w:val="00E846AB"/>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E846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6AB"/>
    <w:pPr>
      <w:numPr>
        <w:ilvl w:val="1"/>
      </w:numPr>
      <w:spacing w:line="278" w:lineRule="auto"/>
    </w:pPr>
    <w:rPr>
      <w:rFonts w:eastAsiaTheme="majorEastAsia"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E846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6AB"/>
    <w:pPr>
      <w:spacing w:before="160" w:line="278" w:lineRule="auto"/>
      <w:jc w:val="center"/>
    </w:pPr>
    <w:rPr>
      <w:rFonts w:eastAsiaTheme="minorHAns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E846AB"/>
    <w:rPr>
      <w:i/>
      <w:iCs/>
      <w:color w:val="404040" w:themeColor="text1" w:themeTint="BF"/>
    </w:rPr>
  </w:style>
  <w:style w:type="paragraph" w:styleId="ListParagraph">
    <w:name w:val="List Paragraph"/>
    <w:basedOn w:val="Normal"/>
    <w:uiPriority w:val="34"/>
    <w:qFormat/>
    <w:rsid w:val="00E846AB"/>
    <w:pPr>
      <w:spacing w:line="278" w:lineRule="auto"/>
      <w:ind w:left="720"/>
      <w:contextualSpacing/>
    </w:pPr>
    <w:rPr>
      <w:rFonts w:eastAsiaTheme="minorHAnsi"/>
      <w:kern w:val="2"/>
      <w:sz w:val="24"/>
      <w:szCs w:val="24"/>
      <w:lang w:val="en-US" w:eastAsia="en-US"/>
      <w14:ligatures w14:val="standardContextual"/>
    </w:rPr>
  </w:style>
  <w:style w:type="character" w:styleId="IntenseEmphasis">
    <w:name w:val="Intense Emphasis"/>
    <w:basedOn w:val="DefaultParagraphFont"/>
    <w:uiPriority w:val="21"/>
    <w:qFormat/>
    <w:rsid w:val="00E846AB"/>
    <w:rPr>
      <w:i/>
      <w:iCs/>
      <w:color w:val="0F4761" w:themeColor="accent1" w:themeShade="BF"/>
    </w:rPr>
  </w:style>
  <w:style w:type="paragraph" w:styleId="IntenseQuote">
    <w:name w:val="Intense Quote"/>
    <w:basedOn w:val="Normal"/>
    <w:next w:val="Normal"/>
    <w:link w:val="IntenseQuoteChar"/>
    <w:uiPriority w:val="30"/>
    <w:qFormat/>
    <w:rsid w:val="00E846A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E846AB"/>
    <w:rPr>
      <w:i/>
      <w:iCs/>
      <w:color w:val="0F4761" w:themeColor="accent1" w:themeShade="BF"/>
    </w:rPr>
  </w:style>
  <w:style w:type="character" w:styleId="IntenseReference">
    <w:name w:val="Intense Reference"/>
    <w:basedOn w:val="DefaultParagraphFont"/>
    <w:uiPriority w:val="32"/>
    <w:qFormat/>
    <w:rsid w:val="00E846AB"/>
    <w:rPr>
      <w:b/>
      <w:bCs/>
      <w:smallCaps/>
      <w:color w:val="0F4761" w:themeColor="accent1" w:themeShade="BF"/>
      <w:spacing w:val="5"/>
    </w:rPr>
  </w:style>
  <w:style w:type="table" w:styleId="TableGrid">
    <w:name w:val="Table Grid"/>
    <w:basedOn w:val="TableNormal"/>
    <w:uiPriority w:val="39"/>
    <w:rsid w:val="00E846AB"/>
    <w:pPr>
      <w:spacing w:after="0" w:line="240" w:lineRule="auto"/>
    </w:pPr>
    <w:rPr>
      <w:rFonts w:eastAsiaTheme="minorEastAsia"/>
      <w:kern w:val="0"/>
      <w:sz w:val="22"/>
      <w:szCs w:val="22"/>
      <w:lang w:val="en-MY"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1307</Characters>
  <Application>Microsoft Office Word</Application>
  <DocSecurity>0</DocSecurity>
  <Lines>10</Lines>
  <Paragraphs>3</Paragraphs>
  <ScaleCrop>false</ScaleCrop>
  <Company>SpringerNature</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2024-11-15T11:59:00Z</dcterms:created>
  <dcterms:modified xsi:type="dcterms:W3CDTF">2024-11-15T11:59:00Z</dcterms:modified>
</cp:coreProperties>
</file>