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DE22DC" w14:textId="21B300F2" w:rsidR="0037418A" w:rsidRDefault="0037418A"/>
    <w:p w14:paraId="743E0916" w14:textId="243B4F95" w:rsidR="004E4656" w:rsidRDefault="004E4656">
      <w:r>
        <w:rPr>
          <w:noProof/>
        </w:rPr>
        <w:drawing>
          <wp:inline distT="0" distB="0" distL="0" distR="0" wp14:anchorId="1268DE47" wp14:editId="5C23F76C">
            <wp:extent cx="4943475" cy="3119438"/>
            <wp:effectExtent l="0" t="0" r="9525" b="5080"/>
            <wp:docPr id="1651002386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7DE2C675-7FBB-4ACB-9EDE-7498431C77A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2D175E2A" w14:textId="77777777" w:rsidR="004E4656" w:rsidRDefault="004E4656" w:rsidP="004E4656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</w:rPr>
        <w:t>Figure 1S</w:t>
      </w:r>
      <w:r>
        <w:rPr>
          <w:rFonts w:ascii="Times New Roman" w:hAnsi="Times New Roman"/>
          <w:sz w:val="24"/>
          <w:szCs w:val="24"/>
        </w:rPr>
        <w:t>:</w:t>
      </w:r>
      <w:r w:rsidRPr="001546E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Guaiacol conversion under different rpm over</w:t>
      </w:r>
      <w:r w:rsidRPr="0028375E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F05C83">
        <w:rPr>
          <w:rFonts w:ascii="Times New Roman" w:hAnsi="Times New Roman"/>
          <w:sz w:val="24"/>
          <w:szCs w:val="24"/>
          <w:lang w:val="en-GB"/>
        </w:rPr>
        <w:t>Pt-AC Commercial</w:t>
      </w:r>
      <w:r>
        <w:rPr>
          <w:rFonts w:ascii="Times New Roman" w:hAnsi="Times New Roman"/>
          <w:sz w:val="24"/>
          <w:szCs w:val="24"/>
          <w:lang w:val="en-GB"/>
        </w:rPr>
        <w:t xml:space="preserve"> and Pt-ACS-11</w:t>
      </w:r>
      <w:r w:rsidRPr="00F05C83">
        <w:rPr>
          <w:rFonts w:ascii="Times New Roman" w:hAnsi="Times New Roman"/>
          <w:sz w:val="24"/>
          <w:szCs w:val="24"/>
          <w:lang w:val="en-GB"/>
        </w:rPr>
        <w:t>.</w:t>
      </w:r>
      <w:r>
        <w:rPr>
          <w:rFonts w:ascii="Times New Roman" w:hAnsi="Times New Roman"/>
          <w:sz w:val="24"/>
          <w:szCs w:val="24"/>
        </w:rPr>
        <w:t xml:space="preserve"> Operation conditions:</w:t>
      </w:r>
      <w:r w:rsidRPr="00F05C83">
        <w:rPr>
          <w:rFonts w:ascii="Times New Roman" w:hAnsi="Times New Roman"/>
          <w:sz w:val="24"/>
          <w:szCs w:val="24"/>
        </w:rPr>
        <w:t xml:space="preserve"> 200 °C</w:t>
      </w:r>
      <w:r>
        <w:rPr>
          <w:rFonts w:ascii="Times New Roman" w:hAnsi="Times New Roman"/>
          <w:sz w:val="24"/>
          <w:szCs w:val="24"/>
        </w:rPr>
        <w:t xml:space="preserve">, </w:t>
      </w:r>
      <w:r w:rsidRPr="00F05C83">
        <w:rPr>
          <w:rFonts w:ascii="Times New Roman" w:hAnsi="Times New Roman"/>
          <w:sz w:val="24"/>
          <w:szCs w:val="24"/>
        </w:rPr>
        <w:t>12 atm of H</w:t>
      </w:r>
      <w:r w:rsidRPr="00F05C83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  <w:vertAlign w:val="subscript"/>
        </w:rPr>
        <w:t xml:space="preserve">, </w:t>
      </w:r>
      <w:bookmarkStart w:id="0" w:name="_Hlk161314577"/>
      <w:r w:rsidRPr="0037418A">
        <w:rPr>
          <w:rFonts w:ascii="Times New Roman" w:hAnsi="Times New Roman"/>
          <w:sz w:val="24"/>
          <w:szCs w:val="24"/>
        </w:rPr>
        <w:t xml:space="preserve">200 min and </w:t>
      </w:r>
      <w:bookmarkEnd w:id="0"/>
      <w:r>
        <w:rPr>
          <w:rFonts w:ascii="Times New Roman" w:hAnsi="Times New Roman"/>
          <w:sz w:val="24"/>
          <w:szCs w:val="24"/>
        </w:rPr>
        <w:t>m</w:t>
      </w:r>
      <w:r w:rsidRPr="00F05C83">
        <w:rPr>
          <w:rFonts w:ascii="Times New Roman" w:hAnsi="Times New Roman"/>
          <w:sz w:val="24"/>
          <w:szCs w:val="24"/>
        </w:rPr>
        <w:t>ass</w:t>
      </w:r>
      <w:r w:rsidRPr="00F05C83">
        <w:rPr>
          <w:rFonts w:ascii="Times New Roman" w:hAnsi="Times New Roman"/>
          <w:sz w:val="24"/>
          <w:szCs w:val="24"/>
          <w:lang w:val="en-GB"/>
        </w:rPr>
        <w:t xml:space="preserve"> ratio guaiacol/cat=</w:t>
      </w:r>
      <w:r>
        <w:rPr>
          <w:rFonts w:ascii="Times New Roman" w:hAnsi="Times New Roman"/>
          <w:sz w:val="24"/>
          <w:szCs w:val="24"/>
          <w:lang w:val="en-GB"/>
        </w:rPr>
        <w:t>5.6</w:t>
      </w:r>
      <w:r w:rsidRPr="00F05C83">
        <w:rPr>
          <w:rFonts w:ascii="Times New Roman" w:hAnsi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sz w:val="24"/>
          <w:szCs w:val="24"/>
          <w:lang w:val="en-GB"/>
        </w:rPr>
        <w:t>and catalyst particle diameter 0.4 mm.</w:t>
      </w:r>
    </w:p>
    <w:p w14:paraId="64C82744" w14:textId="77777777" w:rsidR="004E4656" w:rsidRDefault="004E4656" w:rsidP="004E4656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5ECDF192" w14:textId="77777777" w:rsidR="004E4656" w:rsidRDefault="004E4656" w:rsidP="004E4656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6852110C" w14:textId="77777777" w:rsidR="004E4656" w:rsidRDefault="004E4656" w:rsidP="004E4656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4B269044" w14:textId="77777777" w:rsidR="004E4656" w:rsidRDefault="004E4656" w:rsidP="004E4656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48FD87DF" w14:textId="77777777" w:rsidR="004E4656" w:rsidRDefault="004E4656" w:rsidP="004E4656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20F01BF4" w14:textId="77777777" w:rsidR="004E4656" w:rsidRDefault="004E4656"/>
    <w:p w14:paraId="05ADB253" w14:textId="77777777" w:rsidR="000823E8" w:rsidRDefault="000823E8"/>
    <w:p w14:paraId="476BF04B" w14:textId="2F2A6A1C" w:rsidR="004E4656" w:rsidRDefault="004E4656" w:rsidP="0028375E">
      <w:pPr>
        <w:spacing w:after="0" w:line="48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93574C4" wp14:editId="62CD2658">
            <wp:extent cx="4572000" cy="2743200"/>
            <wp:effectExtent l="0" t="0" r="0" b="0"/>
            <wp:docPr id="1899170882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F39B7D5E-6DD0-AE9A-B357-DAF91887DDC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68C47551" w14:textId="527B6CBA" w:rsidR="00464C79" w:rsidRPr="00F05C83" w:rsidRDefault="00464C79" w:rsidP="00464C79">
      <w:pPr>
        <w:spacing w:after="0" w:line="480" w:lineRule="auto"/>
        <w:jc w:val="both"/>
        <w:rPr>
          <w:rFonts w:ascii="Times New Roman" w:hAnsi="Times New Roman"/>
          <w:sz w:val="24"/>
          <w:szCs w:val="24"/>
          <w:highlight w:val="yellow"/>
          <w:lang w:val="en-GB"/>
        </w:rPr>
      </w:pPr>
      <w:r>
        <w:rPr>
          <w:rFonts w:ascii="Times New Roman" w:hAnsi="Times New Roman"/>
          <w:b/>
          <w:sz w:val="24"/>
          <w:szCs w:val="24"/>
        </w:rPr>
        <w:t>Figure 2S</w:t>
      </w:r>
      <w:r>
        <w:rPr>
          <w:rFonts w:ascii="Times New Roman" w:hAnsi="Times New Roman"/>
          <w:sz w:val="24"/>
          <w:szCs w:val="24"/>
        </w:rPr>
        <w:t>:</w:t>
      </w:r>
      <w:r w:rsidRPr="001546E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Guaiacol conversion vs different particle diameter over</w:t>
      </w:r>
      <w:r w:rsidRPr="0028375E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F05C83">
        <w:rPr>
          <w:rFonts w:ascii="Times New Roman" w:hAnsi="Times New Roman"/>
          <w:sz w:val="24"/>
          <w:szCs w:val="24"/>
          <w:lang w:val="en-GB"/>
        </w:rPr>
        <w:t>Pt-AC Commercial</w:t>
      </w:r>
      <w:r w:rsidR="000823E8">
        <w:rPr>
          <w:rFonts w:ascii="Times New Roman" w:hAnsi="Times New Roman"/>
          <w:sz w:val="24"/>
          <w:szCs w:val="24"/>
          <w:lang w:val="en-GB"/>
        </w:rPr>
        <w:t xml:space="preserve"> and Pt-ACS-11</w:t>
      </w:r>
      <w:r w:rsidR="000823E8" w:rsidRPr="00F05C83">
        <w:rPr>
          <w:rFonts w:ascii="Times New Roman" w:hAnsi="Times New Roman"/>
          <w:sz w:val="24"/>
          <w:szCs w:val="24"/>
          <w:lang w:val="en-GB"/>
        </w:rPr>
        <w:t>.</w:t>
      </w:r>
      <w:r>
        <w:rPr>
          <w:rFonts w:ascii="Times New Roman" w:hAnsi="Times New Roman"/>
          <w:sz w:val="24"/>
          <w:szCs w:val="24"/>
        </w:rPr>
        <w:t xml:space="preserve"> Operation conditions:</w:t>
      </w:r>
      <w:r w:rsidRPr="00F05C83">
        <w:rPr>
          <w:rFonts w:ascii="Times New Roman" w:hAnsi="Times New Roman"/>
          <w:sz w:val="24"/>
          <w:szCs w:val="24"/>
        </w:rPr>
        <w:t xml:space="preserve"> 200 °C</w:t>
      </w:r>
      <w:r>
        <w:rPr>
          <w:rFonts w:ascii="Times New Roman" w:hAnsi="Times New Roman"/>
          <w:sz w:val="24"/>
          <w:szCs w:val="24"/>
        </w:rPr>
        <w:t xml:space="preserve">, </w:t>
      </w:r>
      <w:r w:rsidRPr="00F05C83">
        <w:rPr>
          <w:rFonts w:ascii="Times New Roman" w:hAnsi="Times New Roman"/>
          <w:sz w:val="24"/>
          <w:szCs w:val="24"/>
        </w:rPr>
        <w:t>12 atm of H</w:t>
      </w:r>
      <w:r w:rsidRPr="00F05C83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  <w:vertAlign w:val="subscript"/>
        </w:rPr>
        <w:t xml:space="preserve">, </w:t>
      </w:r>
      <w:r w:rsidR="0037418A" w:rsidRPr="0037418A">
        <w:rPr>
          <w:rFonts w:ascii="Times New Roman" w:hAnsi="Times New Roman"/>
          <w:sz w:val="24"/>
          <w:szCs w:val="24"/>
        </w:rPr>
        <w:t xml:space="preserve">200 min and </w:t>
      </w:r>
      <w:r>
        <w:rPr>
          <w:rFonts w:ascii="Times New Roman" w:hAnsi="Times New Roman"/>
          <w:sz w:val="24"/>
          <w:szCs w:val="24"/>
        </w:rPr>
        <w:t>m</w:t>
      </w:r>
      <w:r w:rsidRPr="00F05C83">
        <w:rPr>
          <w:rFonts w:ascii="Times New Roman" w:hAnsi="Times New Roman"/>
          <w:sz w:val="24"/>
          <w:szCs w:val="24"/>
        </w:rPr>
        <w:t>ass</w:t>
      </w:r>
      <w:r w:rsidRPr="00F05C83">
        <w:rPr>
          <w:rFonts w:ascii="Times New Roman" w:hAnsi="Times New Roman"/>
          <w:sz w:val="24"/>
          <w:szCs w:val="24"/>
          <w:lang w:val="en-GB"/>
        </w:rPr>
        <w:t xml:space="preserve"> ratio guaiacol/cat=</w:t>
      </w:r>
      <w:r w:rsidR="0037418A">
        <w:rPr>
          <w:rFonts w:ascii="Times New Roman" w:hAnsi="Times New Roman"/>
          <w:sz w:val="24"/>
          <w:szCs w:val="24"/>
          <w:lang w:val="en-GB"/>
        </w:rPr>
        <w:t>5.6</w:t>
      </w:r>
      <w:r w:rsidRPr="00F05C83">
        <w:rPr>
          <w:rFonts w:ascii="Times New Roman" w:hAnsi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/>
          <w:sz w:val="24"/>
          <w:szCs w:val="24"/>
          <w:lang w:val="en-GB"/>
        </w:rPr>
        <w:t>and 360 rpm.</w:t>
      </w:r>
    </w:p>
    <w:p w14:paraId="6C99DC3D" w14:textId="77777777" w:rsidR="0028375E" w:rsidRDefault="0028375E">
      <w:pPr>
        <w:rPr>
          <w:lang w:val="en-GB"/>
        </w:rPr>
      </w:pPr>
    </w:p>
    <w:p w14:paraId="2FECC9F2" w14:textId="77777777" w:rsidR="005172EF" w:rsidRDefault="005172EF">
      <w:pPr>
        <w:rPr>
          <w:lang w:val="en-GB"/>
        </w:rPr>
      </w:pPr>
    </w:p>
    <w:p w14:paraId="2DA6E2E9" w14:textId="77777777" w:rsidR="005172EF" w:rsidRDefault="005172EF">
      <w:pPr>
        <w:rPr>
          <w:lang w:val="en-GB"/>
        </w:rPr>
      </w:pPr>
    </w:p>
    <w:p w14:paraId="3900BFEF" w14:textId="64D5AF70" w:rsidR="005172EF" w:rsidRDefault="005172EF">
      <w:pPr>
        <w:rPr>
          <w:lang w:val="en-GB"/>
        </w:rPr>
      </w:pPr>
    </w:p>
    <w:p w14:paraId="01F72379" w14:textId="77777777" w:rsidR="005172EF" w:rsidRPr="00464C79" w:rsidRDefault="005172EF">
      <w:pPr>
        <w:rPr>
          <w:lang w:val="en-GB"/>
        </w:rPr>
      </w:pPr>
    </w:p>
    <w:sectPr w:rsidR="005172EF" w:rsidRPr="00464C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75E"/>
    <w:rsid w:val="00053168"/>
    <w:rsid w:val="000823E8"/>
    <w:rsid w:val="0028375E"/>
    <w:rsid w:val="002D7BF6"/>
    <w:rsid w:val="0037418A"/>
    <w:rsid w:val="00464C79"/>
    <w:rsid w:val="004E4656"/>
    <w:rsid w:val="005172EF"/>
    <w:rsid w:val="00662E88"/>
    <w:rsid w:val="007138A2"/>
    <w:rsid w:val="00744B90"/>
    <w:rsid w:val="008F3ADD"/>
    <w:rsid w:val="009F29B3"/>
    <w:rsid w:val="00C01000"/>
    <w:rsid w:val="00C16F4F"/>
    <w:rsid w:val="00C21422"/>
    <w:rsid w:val="00DA6FCA"/>
    <w:rsid w:val="00DF4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F33B1EF"/>
  <w15:chartTrackingRefBased/>
  <w15:docId w15:val="{5C476848-3A21-4A8E-A3C3-724591D72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2837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837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837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837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837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837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837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837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837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8375E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8375E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8375E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8375E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8375E"/>
    <w:rPr>
      <w:rFonts w:eastAsiaTheme="majorEastAsia" w:cstheme="majorBidi"/>
      <w:color w:val="0F4761" w:themeColor="accent1" w:themeShade="BF"/>
      <w:lang w:val="en-U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8375E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8375E"/>
    <w:rPr>
      <w:rFonts w:eastAsiaTheme="majorEastAsia" w:cstheme="majorBidi"/>
      <w:color w:val="595959" w:themeColor="text1" w:themeTint="A6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8375E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8375E"/>
    <w:rPr>
      <w:rFonts w:eastAsiaTheme="majorEastAsia" w:cstheme="majorBidi"/>
      <w:color w:val="272727" w:themeColor="text1" w:themeTint="D8"/>
      <w:lang w:val="en-US"/>
    </w:rPr>
  </w:style>
  <w:style w:type="paragraph" w:styleId="Ttulo">
    <w:name w:val="Title"/>
    <w:basedOn w:val="Normal"/>
    <w:next w:val="Normal"/>
    <w:link w:val="TtuloCar"/>
    <w:uiPriority w:val="10"/>
    <w:qFormat/>
    <w:rsid w:val="002837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8375E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tulo">
    <w:name w:val="Subtitle"/>
    <w:basedOn w:val="Normal"/>
    <w:next w:val="Normal"/>
    <w:link w:val="SubttuloCar"/>
    <w:uiPriority w:val="11"/>
    <w:qFormat/>
    <w:rsid w:val="002837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8375E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Cita">
    <w:name w:val="Quote"/>
    <w:basedOn w:val="Normal"/>
    <w:next w:val="Normal"/>
    <w:link w:val="CitaCar"/>
    <w:uiPriority w:val="29"/>
    <w:qFormat/>
    <w:rsid w:val="002837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8375E"/>
    <w:rPr>
      <w:i/>
      <w:iCs/>
      <w:color w:val="404040" w:themeColor="text1" w:themeTint="BF"/>
      <w:lang w:val="en-US"/>
    </w:rPr>
  </w:style>
  <w:style w:type="paragraph" w:styleId="Prrafodelista">
    <w:name w:val="List Paragraph"/>
    <w:basedOn w:val="Normal"/>
    <w:uiPriority w:val="34"/>
    <w:qFormat/>
    <w:rsid w:val="0028375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8375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837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8375E"/>
    <w:rPr>
      <w:i/>
      <w:iCs/>
      <w:color w:val="0F4761" w:themeColor="accent1" w:themeShade="BF"/>
      <w:lang w:val="en-US"/>
    </w:rPr>
  </w:style>
  <w:style w:type="character" w:styleId="Referenciaintensa">
    <w:name w:val="Intense Reference"/>
    <w:basedOn w:val="Fuentedeprrafopredeter"/>
    <w:uiPriority w:val="32"/>
    <w:qFormat/>
    <w:rsid w:val="002837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815048118985127"/>
          <c:y val="5.0925925925925923E-2"/>
          <c:w val="0.79226552930883642"/>
          <c:h val="0.74350320793234181"/>
        </c:manualLayout>
      </c:layout>
      <c:scatterChart>
        <c:scatterStyle val="smoothMarker"/>
        <c:varyColors val="0"/>
        <c:ser>
          <c:idx val="0"/>
          <c:order val="0"/>
          <c:tx>
            <c:v>Pt-ACS11</c:v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RPM!$B$7:$B$13</c:f>
              <c:numCache>
                <c:formatCode>General</c:formatCode>
                <c:ptCount val="7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360</c:v>
                </c:pt>
                <c:pt idx="4">
                  <c:v>400</c:v>
                </c:pt>
                <c:pt idx="5">
                  <c:v>500</c:v>
                </c:pt>
              </c:numCache>
            </c:numRef>
          </c:xVal>
          <c:yVal>
            <c:numRef>
              <c:f>RPM!$C$7:$C$13</c:f>
              <c:numCache>
                <c:formatCode>General</c:formatCode>
                <c:ptCount val="7"/>
                <c:pt idx="0">
                  <c:v>56</c:v>
                </c:pt>
                <c:pt idx="1">
                  <c:v>63</c:v>
                </c:pt>
                <c:pt idx="2">
                  <c:v>67</c:v>
                </c:pt>
                <c:pt idx="3">
                  <c:v>68</c:v>
                </c:pt>
                <c:pt idx="4">
                  <c:v>68</c:v>
                </c:pt>
                <c:pt idx="5">
                  <c:v>68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CD37-476B-9E7E-3A9710B4799B}"/>
            </c:ext>
          </c:extLst>
        </c:ser>
        <c:ser>
          <c:idx val="1"/>
          <c:order val="1"/>
          <c:tx>
            <c:v>Pt-AC Commercial</c:v>
          </c:tx>
          <c:spPr>
            <a:ln w="19050" cap="rnd">
              <a:solidFill>
                <a:schemeClr val="bg2">
                  <a:lumMod val="25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bg2">
                  <a:lumMod val="25000"/>
                </a:schemeClr>
              </a:solidFill>
              <a:ln w="9525">
                <a:solidFill>
                  <a:schemeClr val="bg2">
                    <a:lumMod val="25000"/>
                  </a:schemeClr>
                </a:solidFill>
              </a:ln>
              <a:effectLst/>
            </c:spPr>
          </c:marker>
          <c:xVal>
            <c:numRef>
              <c:f>RPM!$B$7:$B$12</c:f>
              <c:numCache>
                <c:formatCode>General</c:formatCode>
                <c:ptCount val="6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360</c:v>
                </c:pt>
                <c:pt idx="4">
                  <c:v>400</c:v>
                </c:pt>
                <c:pt idx="5">
                  <c:v>500</c:v>
                </c:pt>
              </c:numCache>
            </c:numRef>
          </c:xVal>
          <c:yVal>
            <c:numRef>
              <c:f>RPM!$D$7:$D$12</c:f>
              <c:numCache>
                <c:formatCode>General</c:formatCode>
                <c:ptCount val="6"/>
                <c:pt idx="0">
                  <c:v>12</c:v>
                </c:pt>
                <c:pt idx="1">
                  <c:v>22</c:v>
                </c:pt>
                <c:pt idx="2">
                  <c:v>24</c:v>
                </c:pt>
                <c:pt idx="3">
                  <c:v>24</c:v>
                </c:pt>
                <c:pt idx="4">
                  <c:v>24</c:v>
                </c:pt>
                <c:pt idx="5">
                  <c:v>24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CD37-476B-9E7E-3A9710B4799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76404600"/>
        <c:axId val="676416120"/>
      </c:scatterChart>
      <c:valAx>
        <c:axId val="67640460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AR"/>
                  <a:t>rpm</a:t>
                </a:r>
              </a:p>
            </c:rich>
          </c:tx>
          <c:layout>
            <c:manualLayout>
              <c:xMode val="edge"/>
              <c:yMode val="edge"/>
              <c:x val="0.51153346456692916"/>
              <c:y val="0.8879396325459317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AR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AR"/>
          </a:p>
        </c:txPr>
        <c:crossAx val="676416120"/>
        <c:crosses val="autoZero"/>
        <c:crossBetween val="midCat"/>
      </c:valAx>
      <c:valAx>
        <c:axId val="676416120"/>
        <c:scaling>
          <c:orientation val="minMax"/>
          <c:max val="10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Guaiacol conversion, mol%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AR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AR"/>
          </a:p>
        </c:txPr>
        <c:crossAx val="67640460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1184369294878604"/>
          <c:y val="5.780881043316137E-2"/>
          <c:w val="0.26737576552930886"/>
          <c:h val="0.1562510936132983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A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AR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815048118985127"/>
          <c:y val="5.0925925925925923E-2"/>
          <c:w val="0.74104330708661414"/>
          <c:h val="0.74350320793234181"/>
        </c:manualLayout>
      </c:layout>
      <c:scatterChart>
        <c:scatterStyle val="smoothMarker"/>
        <c:varyColors val="0"/>
        <c:ser>
          <c:idx val="1"/>
          <c:order val="0"/>
          <c:tx>
            <c:v>Pt-ACS11</c:v>
          </c:tx>
          <c:spPr>
            <a:ln w="19050" cap="rnd">
              <a:solidFill>
                <a:srgbClr val="0070C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>
                  <a:lumMod val="75000"/>
                </a:schemeClr>
              </a:solidFill>
              <a:ln w="9525">
                <a:solidFill>
                  <a:schemeClr val="accent5">
                    <a:lumMod val="75000"/>
                  </a:schemeClr>
                </a:solidFill>
              </a:ln>
              <a:effectLst/>
            </c:spPr>
          </c:marker>
          <c:xVal>
            <c:numRef>
              <c:f>Dp!$B$7:$B$11</c:f>
              <c:numCache>
                <c:formatCode>General</c:formatCode>
                <c:ptCount val="5"/>
                <c:pt idx="0">
                  <c:v>0.1</c:v>
                </c:pt>
                <c:pt idx="1">
                  <c:v>0.2</c:v>
                </c:pt>
                <c:pt idx="2">
                  <c:v>0.4</c:v>
                </c:pt>
                <c:pt idx="3">
                  <c:v>0.6</c:v>
                </c:pt>
                <c:pt idx="4">
                  <c:v>0.8</c:v>
                </c:pt>
              </c:numCache>
            </c:numRef>
          </c:xVal>
          <c:yVal>
            <c:numRef>
              <c:f>Dp!$D$7:$D$11</c:f>
              <c:numCache>
                <c:formatCode>General</c:formatCode>
                <c:ptCount val="5"/>
                <c:pt idx="0">
                  <c:v>68</c:v>
                </c:pt>
                <c:pt idx="1">
                  <c:v>68</c:v>
                </c:pt>
                <c:pt idx="2">
                  <c:v>67</c:v>
                </c:pt>
                <c:pt idx="3">
                  <c:v>68</c:v>
                </c:pt>
                <c:pt idx="4">
                  <c:v>67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37C9-46D0-A3C3-55FBEA38F906}"/>
            </c:ext>
          </c:extLst>
        </c:ser>
        <c:ser>
          <c:idx val="0"/>
          <c:order val="1"/>
          <c:tx>
            <c:v>Pt-AC Commercial</c:v>
          </c:tx>
          <c:spPr>
            <a:ln w="19050" cap="rnd">
              <a:solidFill>
                <a:schemeClr val="bg2">
                  <a:lumMod val="25000"/>
                </a:schemeClr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bg2">
                  <a:lumMod val="10000"/>
                </a:schemeClr>
              </a:solidFill>
              <a:ln w="9525">
                <a:solidFill>
                  <a:schemeClr val="bg2">
                    <a:lumMod val="25000"/>
                  </a:schemeClr>
                </a:solidFill>
              </a:ln>
              <a:effectLst/>
            </c:spPr>
          </c:marker>
          <c:xVal>
            <c:numRef>
              <c:f>Dp!$B$7:$B$13</c:f>
              <c:numCache>
                <c:formatCode>General</c:formatCode>
                <c:ptCount val="7"/>
                <c:pt idx="0">
                  <c:v>0.1</c:v>
                </c:pt>
                <c:pt idx="1">
                  <c:v>0.2</c:v>
                </c:pt>
                <c:pt idx="2">
                  <c:v>0.4</c:v>
                </c:pt>
                <c:pt idx="3">
                  <c:v>0.6</c:v>
                </c:pt>
                <c:pt idx="4">
                  <c:v>0.8</c:v>
                </c:pt>
              </c:numCache>
            </c:numRef>
          </c:xVal>
          <c:yVal>
            <c:numRef>
              <c:f>Dp!$C$7:$C$13</c:f>
              <c:numCache>
                <c:formatCode>General</c:formatCode>
                <c:ptCount val="7"/>
                <c:pt idx="0">
                  <c:v>24</c:v>
                </c:pt>
                <c:pt idx="1">
                  <c:v>24</c:v>
                </c:pt>
                <c:pt idx="2">
                  <c:v>24</c:v>
                </c:pt>
                <c:pt idx="3">
                  <c:v>24</c:v>
                </c:pt>
                <c:pt idx="4">
                  <c:v>20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37C9-46D0-A3C3-55FBEA38F90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76404600"/>
        <c:axId val="676416120"/>
      </c:scatterChart>
      <c:valAx>
        <c:axId val="67640460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AR"/>
                  <a:t>Particle</a:t>
                </a:r>
                <a:r>
                  <a:rPr lang="es-AR" baseline="0"/>
                  <a:t> diameter, mm</a:t>
                </a:r>
                <a:endParaRPr lang="es-AR"/>
              </a:p>
            </c:rich>
          </c:tx>
          <c:layout>
            <c:manualLayout>
              <c:xMode val="edge"/>
              <c:yMode val="edge"/>
              <c:x val="0.42264457567804031"/>
              <c:y val="0.8833100029163021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AR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AR"/>
          </a:p>
        </c:txPr>
        <c:crossAx val="676416120"/>
        <c:crosses val="autoZero"/>
        <c:crossBetween val="midCat"/>
      </c:valAx>
      <c:valAx>
        <c:axId val="676416120"/>
        <c:scaling>
          <c:orientation val="minMax"/>
          <c:max val="10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Guaiacol conversion, mol%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AR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AR"/>
          </a:p>
        </c:txPr>
        <c:crossAx val="67640460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5219378827646546"/>
          <c:y val="2.3726305045202681E-2"/>
          <c:w val="0.30891732283464568"/>
          <c:h val="0.2303251676873724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A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AR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 2013 - 2022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 2013 - 2022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 2013 - 2022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 2013 - 2022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 2013 - 2022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 2013 - 2022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65</Words>
  <Characters>359</Characters>
  <Application>Microsoft Office Word</Application>
  <DocSecurity>0</DocSecurity>
  <Lines>2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Beltramone</dc:creator>
  <cp:keywords/>
  <dc:description/>
  <cp:lastModifiedBy>Andrea Beltramone</cp:lastModifiedBy>
  <cp:revision>12</cp:revision>
  <dcterms:created xsi:type="dcterms:W3CDTF">2024-02-09T20:19:00Z</dcterms:created>
  <dcterms:modified xsi:type="dcterms:W3CDTF">2024-08-01T21:28:00Z</dcterms:modified>
</cp:coreProperties>
</file>