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DE0A129">
      <w:pPr>
        <w:pStyle w:val="2"/>
        <w:jc w:val="center"/>
        <w:rPr>
          <w:rFonts w:hint="eastAsia"/>
          <w:b w:val="0"/>
          <w:bCs w:val="0"/>
          <w:sz w:val="28"/>
          <w:szCs w:val="28"/>
        </w:rPr>
      </w:pPr>
      <w:r>
        <w:rPr>
          <w:rFonts w:hint="eastAsia" w:ascii="Times New Roman" w:hAnsi="Times New Roman"/>
          <w:b w:val="0"/>
          <w:bCs w:val="0"/>
          <w:sz w:val="28"/>
          <w:szCs w:val="28"/>
          <w:lang w:val="en-US" w:eastAsia="zh-CN"/>
        </w:rPr>
        <w:t>S</w:t>
      </w:r>
      <w:r>
        <w:rPr>
          <w:rFonts w:hint="eastAsia" w:ascii="Times New Roman" w:hAnsi="Times New Roman"/>
          <w:b w:val="0"/>
          <w:bCs w:val="0"/>
          <w:sz w:val="28"/>
          <w:szCs w:val="28"/>
        </w:rPr>
        <w:t>upplementary materials</w:t>
      </w:r>
    </w:p>
    <w:p w14:paraId="281E0185">
      <w:pPr>
        <w:tabs>
          <w:tab w:val="left" w:pos="312"/>
        </w:tabs>
        <w:autoSpaceDE w:val="0"/>
        <w:spacing w:line="360" w:lineRule="auto"/>
        <w:jc w:val="left"/>
        <w:rPr>
          <w:rFonts w:ascii="Times New Roman" w:hAnsi="Times New Roman"/>
          <w:b w:val="0"/>
          <w:bCs w:val="0"/>
          <w:sz w:val="21"/>
          <w:szCs w:val="21"/>
        </w:rPr>
      </w:pPr>
      <w:r>
        <w:rPr>
          <w:rFonts w:ascii="Times New Roman" w:hAnsi="Times New Roman"/>
          <w:b w:val="0"/>
          <w:bCs w:val="0"/>
          <w:sz w:val="21"/>
          <w:szCs w:val="21"/>
        </w:rPr>
        <w:t xml:space="preserve">Table </w:t>
      </w:r>
      <w:r>
        <w:rPr>
          <w:rFonts w:hint="eastAsia" w:ascii="Times New Roman" w:hAnsi="Times New Roman"/>
          <w:b w:val="0"/>
          <w:bCs w:val="0"/>
          <w:sz w:val="21"/>
          <w:szCs w:val="21"/>
          <w:lang w:val="en-US" w:eastAsia="zh-CN"/>
        </w:rPr>
        <w:t>S1</w:t>
      </w:r>
      <w:r>
        <w:rPr>
          <w:rFonts w:ascii="Times New Roman" w:hAnsi="Times New Roman"/>
          <w:b w:val="0"/>
          <w:bCs w:val="0"/>
          <w:sz w:val="21"/>
          <w:szCs w:val="21"/>
        </w:rPr>
        <w:t xml:space="preserve">  Comparison of </w:t>
      </w:r>
      <w:r>
        <w:rPr>
          <w:rFonts w:hint="eastAsia" w:ascii="Times New Roman" w:hAnsi="Times New Roman"/>
          <w:b w:val="0"/>
          <w:bCs w:val="0"/>
          <w:sz w:val="21"/>
          <w:szCs w:val="21"/>
          <w:lang w:val="en-US" w:eastAsia="zh-CN"/>
        </w:rPr>
        <w:t xml:space="preserve"> </w:t>
      </w:r>
      <w:r>
        <w:rPr>
          <w:rFonts w:ascii="Times New Roman" w:hAnsi="Times New Roman"/>
          <w:b w:val="0"/>
          <w:bCs w:val="0"/>
          <w:sz w:val="21"/>
          <w:szCs w:val="21"/>
        </w:rPr>
        <w:t xml:space="preserve">Co-morbidities and </w:t>
      </w:r>
      <w:r>
        <w:rPr>
          <w:rFonts w:hint="eastAsia" w:ascii="Times New Roman" w:hAnsi="Times New Roman"/>
          <w:b w:val="0"/>
          <w:bCs w:val="0"/>
          <w:sz w:val="21"/>
          <w:szCs w:val="21"/>
          <w:lang w:val="en-US" w:eastAsia="zh-CN"/>
        </w:rPr>
        <w:t>D</w:t>
      </w:r>
      <w:r>
        <w:rPr>
          <w:rFonts w:ascii="Times New Roman" w:hAnsi="Times New Roman"/>
          <w:b w:val="0"/>
          <w:bCs w:val="0"/>
          <w:sz w:val="21"/>
          <w:szCs w:val="21"/>
        </w:rPr>
        <w:t>isease symptoms in 283 Patients</w:t>
      </w:r>
    </w:p>
    <w:tbl>
      <w:tblPr>
        <w:tblStyle w:val="4"/>
        <w:tblW w:w="4998" w:type="pct"/>
        <w:tblInd w:w="135" w:type="dxa"/>
        <w:tblBorders>
          <w:top w:val="single" w:color="auto" w:sz="12" w:space="0"/>
          <w:left w:val="none" w:color="auto" w:sz="0" w:space="0"/>
          <w:bottom w:val="none" w:color="auto" w:sz="0"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708"/>
        <w:gridCol w:w="2796"/>
        <w:gridCol w:w="3084"/>
        <w:gridCol w:w="931"/>
      </w:tblGrid>
      <w:tr w14:paraId="5BC6BC2C">
        <w:tblPrEx>
          <w:tblBorders>
            <w:top w:val="single" w:color="auto" w:sz="12"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9" w:hRule="atLeast"/>
        </w:trPr>
        <w:tc>
          <w:tcPr>
            <w:tcW w:w="1002" w:type="pct"/>
            <w:tcBorders>
              <w:top w:val="single" w:color="auto" w:sz="12" w:space="0"/>
              <w:left w:val="nil"/>
              <w:bottom w:val="single" w:color="auto" w:sz="12" w:space="0"/>
              <w:right w:val="nil"/>
            </w:tcBorders>
          </w:tcPr>
          <w:p w14:paraId="7F862F5F">
            <w:pPr>
              <w:widowControl/>
              <w:autoSpaceDE w:val="0"/>
              <w:snapToGrid w:val="0"/>
              <w:jc w:val="center"/>
              <w:rPr>
                <w:rFonts w:ascii="宋体" w:hAnsi="宋体" w:eastAsia="Times New Roman"/>
                <w:kern w:val="0"/>
                <w:sz w:val="24"/>
                <w:szCs w:val="24"/>
              </w:rPr>
            </w:pPr>
            <w:r>
              <w:rPr>
                <w:rFonts w:hint="eastAsia" w:ascii="Times New Roman" w:hAnsi="Times New Roman" w:eastAsia="Times New Roman"/>
                <w:color w:val="333333"/>
                <w:kern w:val="0"/>
                <w:sz w:val="24"/>
                <w:szCs w:val="24"/>
                <w:shd w:val="clear" w:color="auto" w:fill="FFFFFF"/>
              </w:rPr>
              <w:t>Immune status</w:t>
            </w:r>
          </w:p>
        </w:tc>
        <w:tc>
          <w:tcPr>
            <w:tcW w:w="1641" w:type="pct"/>
            <w:tcBorders>
              <w:top w:val="single" w:color="auto" w:sz="12" w:space="0"/>
              <w:left w:val="nil"/>
              <w:bottom w:val="single" w:color="auto" w:sz="12" w:space="0"/>
              <w:right w:val="nil"/>
            </w:tcBorders>
          </w:tcPr>
          <w:p w14:paraId="4DAEB392">
            <w:pPr>
              <w:widowControl/>
              <w:autoSpaceDE w:val="0"/>
              <w:snapToGrid w:val="0"/>
              <w:jc w:val="center"/>
              <w:rPr>
                <w:rFonts w:hint="default" w:ascii="Times New Roman" w:hAnsi="Times New Roman" w:eastAsia="宋体"/>
                <w:color w:val="333333"/>
                <w:kern w:val="0"/>
                <w:sz w:val="24"/>
                <w:szCs w:val="24"/>
                <w:shd w:val="clear" w:color="auto" w:fill="FFFFFF"/>
                <w:lang w:val="en-US" w:eastAsia="zh-CN"/>
              </w:rPr>
            </w:pPr>
            <w:r>
              <w:rPr>
                <w:rFonts w:hint="eastAsia" w:ascii="Times New Roman" w:hAnsi="Times New Roman" w:eastAsia="Times New Roman"/>
                <w:color w:val="333333"/>
                <w:kern w:val="0"/>
                <w:sz w:val="24"/>
                <w:szCs w:val="24"/>
                <w:shd w:val="clear" w:color="auto" w:fill="FFFFFF"/>
              </w:rPr>
              <w:t>Immunocompeten</w:t>
            </w:r>
            <w:r>
              <w:rPr>
                <w:rFonts w:hint="eastAsia" w:ascii="Times New Roman" w:hAnsi="Times New Roman"/>
                <w:color w:val="333333"/>
                <w:kern w:val="0"/>
                <w:sz w:val="24"/>
                <w:szCs w:val="24"/>
                <w:shd w:val="clear" w:color="auto" w:fill="FFFFFF"/>
                <w:lang w:val="en-US" w:eastAsia="zh-CN"/>
              </w:rPr>
              <w:t>(n=238)</w:t>
            </w:r>
          </w:p>
          <w:p w14:paraId="3D53F95B">
            <w:pPr>
              <w:widowControl/>
              <w:autoSpaceDE w:val="0"/>
              <w:snapToGrid w:val="0"/>
              <w:jc w:val="center"/>
              <w:rPr>
                <w:rFonts w:ascii="Times New Roman" w:hAnsi="Times New Roman" w:eastAsia="Times New Roman"/>
                <w:color w:val="333333"/>
                <w:kern w:val="0"/>
                <w:sz w:val="24"/>
                <w:szCs w:val="24"/>
                <w:shd w:val="clear" w:color="auto" w:fill="FFFFFF"/>
              </w:rPr>
            </w:pPr>
          </w:p>
        </w:tc>
        <w:tc>
          <w:tcPr>
            <w:tcW w:w="1810" w:type="pct"/>
            <w:tcBorders>
              <w:top w:val="single" w:color="auto" w:sz="12" w:space="0"/>
              <w:left w:val="nil"/>
              <w:bottom w:val="single" w:color="auto" w:sz="12" w:space="0"/>
              <w:right w:val="nil"/>
            </w:tcBorders>
          </w:tcPr>
          <w:p w14:paraId="690AB94F">
            <w:pPr>
              <w:widowControl/>
              <w:autoSpaceDE w:val="0"/>
              <w:snapToGrid w:val="0"/>
              <w:jc w:val="center"/>
              <w:rPr>
                <w:rFonts w:hint="default" w:ascii="Times New Roman" w:hAnsi="Times New Roman" w:eastAsia="宋体"/>
                <w:color w:val="333333"/>
                <w:kern w:val="0"/>
                <w:sz w:val="24"/>
                <w:szCs w:val="24"/>
                <w:shd w:val="clear" w:color="auto" w:fill="FFFFFF"/>
                <w:lang w:val="en-US" w:eastAsia="zh-CN"/>
              </w:rPr>
            </w:pPr>
            <w:r>
              <w:rPr>
                <w:rFonts w:hint="eastAsia" w:ascii="Times New Roman" w:hAnsi="Times New Roman" w:eastAsia="Times New Roman"/>
                <w:color w:val="333333"/>
                <w:kern w:val="0"/>
                <w:sz w:val="24"/>
                <w:szCs w:val="24"/>
                <w:shd w:val="clear" w:color="auto" w:fill="FFFFFF"/>
              </w:rPr>
              <w:t>Immunocompromised</w:t>
            </w:r>
            <w:r>
              <w:rPr>
                <w:rFonts w:hint="eastAsia" w:ascii="Times New Roman" w:hAnsi="Times New Roman"/>
                <w:color w:val="333333"/>
                <w:kern w:val="0"/>
                <w:sz w:val="24"/>
                <w:szCs w:val="24"/>
                <w:shd w:val="clear" w:color="auto" w:fill="FFFFFF"/>
                <w:lang w:val="en-US" w:eastAsia="zh-CN"/>
              </w:rPr>
              <w:t>(n=45)</w:t>
            </w:r>
          </w:p>
          <w:p w14:paraId="51374FC3">
            <w:pPr>
              <w:widowControl/>
              <w:autoSpaceDE w:val="0"/>
              <w:snapToGrid w:val="0"/>
              <w:jc w:val="center"/>
              <w:rPr>
                <w:rFonts w:ascii="Times New Roman" w:hAnsi="Times New Roman" w:eastAsia="Times New Roman"/>
                <w:color w:val="333333"/>
                <w:kern w:val="0"/>
                <w:sz w:val="24"/>
                <w:szCs w:val="24"/>
                <w:shd w:val="clear" w:color="auto" w:fill="FFFFFF"/>
              </w:rPr>
            </w:pPr>
          </w:p>
        </w:tc>
        <w:tc>
          <w:tcPr>
            <w:tcW w:w="546" w:type="pct"/>
            <w:tcBorders>
              <w:top w:val="single" w:color="auto" w:sz="12" w:space="0"/>
              <w:left w:val="nil"/>
              <w:bottom w:val="single" w:color="auto" w:sz="12" w:space="0"/>
              <w:right w:val="nil"/>
            </w:tcBorders>
          </w:tcPr>
          <w:p w14:paraId="52D05B3F">
            <w:pPr>
              <w:widowControl/>
              <w:autoSpaceDE w:val="0"/>
              <w:snapToGrid w:val="0"/>
              <w:jc w:val="both"/>
              <w:rPr>
                <w:rFonts w:ascii="Times New Roman" w:hAnsi="Times New Roman" w:eastAsia="Times New Roman"/>
                <w:color w:val="333333"/>
                <w:kern w:val="0"/>
                <w:sz w:val="24"/>
                <w:szCs w:val="24"/>
                <w:shd w:val="clear" w:color="auto" w:fill="FFFFFF"/>
              </w:rPr>
            </w:pPr>
            <w:r>
              <w:rPr>
                <w:rFonts w:hint="eastAsia" w:ascii="Times New Roman" w:hAnsi="Times New Roman"/>
                <w:color w:val="333333"/>
                <w:kern w:val="0"/>
                <w:sz w:val="24"/>
                <w:szCs w:val="24"/>
                <w:shd w:val="clear" w:color="auto" w:fill="FFFFFF"/>
                <w:lang w:val="en-US" w:eastAsia="zh-CN"/>
              </w:rPr>
              <w:t xml:space="preserve">P </w:t>
            </w:r>
            <w:r>
              <w:rPr>
                <w:rFonts w:hint="eastAsia" w:ascii="Times New Roman" w:hAnsi="Times New Roman" w:eastAsia="Times New Roman"/>
                <w:color w:val="333333"/>
                <w:kern w:val="0"/>
                <w:sz w:val="24"/>
                <w:szCs w:val="24"/>
                <w:shd w:val="clear" w:color="auto" w:fill="FFFFFF"/>
              </w:rPr>
              <w:t>value</w:t>
            </w:r>
          </w:p>
        </w:tc>
      </w:tr>
      <w:tr w14:paraId="680EAA8F">
        <w:tblPrEx>
          <w:tblBorders>
            <w:top w:val="single" w:color="auto" w:sz="12"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02" w:type="pct"/>
            <w:tcBorders>
              <w:top w:val="single" w:color="auto" w:sz="12" w:space="0"/>
              <w:left w:val="nil"/>
              <w:bottom w:val="nil"/>
              <w:right w:val="nil"/>
            </w:tcBorders>
          </w:tcPr>
          <w:p w14:paraId="0E08DCCB">
            <w:pPr>
              <w:widowControl/>
              <w:autoSpaceDE w:val="0"/>
              <w:jc w:val="center"/>
              <w:rPr>
                <w:rFonts w:ascii="Times New Roman" w:hAnsi="Times New Roman" w:eastAsia="Times New Roman"/>
                <w:b/>
                <w:bCs/>
                <w:color w:val="333333"/>
                <w:kern w:val="0"/>
                <w:sz w:val="18"/>
                <w:szCs w:val="18"/>
                <w:shd w:val="clear" w:color="auto" w:fill="FFFFFF"/>
              </w:rPr>
            </w:pPr>
            <w:bookmarkStart w:id="0" w:name="OLE_LINK2"/>
            <w:r>
              <w:rPr>
                <w:shd w:val="clear" w:color="auto" w:fill="FFFFFF"/>
              </w:rPr>
              <w:t>Co-morbidities</w:t>
            </w:r>
            <w:bookmarkEnd w:id="0"/>
          </w:p>
        </w:tc>
        <w:tc>
          <w:tcPr>
            <w:tcW w:w="1641" w:type="pct"/>
            <w:tcBorders>
              <w:top w:val="single" w:color="auto" w:sz="12" w:space="0"/>
              <w:left w:val="nil"/>
              <w:bottom w:val="nil"/>
              <w:right w:val="nil"/>
            </w:tcBorders>
          </w:tcPr>
          <w:p w14:paraId="43D21F83">
            <w:pPr>
              <w:widowControl/>
              <w:autoSpaceDE w:val="0"/>
              <w:jc w:val="center"/>
              <w:rPr>
                <w:rFonts w:ascii="Times New Roman" w:hAnsi="Times New Roman" w:eastAsia="Times New Roman"/>
                <w:b/>
                <w:bCs/>
                <w:color w:val="333333"/>
                <w:kern w:val="0"/>
                <w:sz w:val="18"/>
                <w:szCs w:val="18"/>
                <w:shd w:val="clear" w:color="auto" w:fill="FFFFFF"/>
              </w:rPr>
            </w:pPr>
          </w:p>
        </w:tc>
        <w:tc>
          <w:tcPr>
            <w:tcW w:w="1810" w:type="pct"/>
            <w:tcBorders>
              <w:top w:val="single" w:color="auto" w:sz="12" w:space="0"/>
              <w:left w:val="nil"/>
              <w:bottom w:val="nil"/>
              <w:right w:val="nil"/>
            </w:tcBorders>
          </w:tcPr>
          <w:p w14:paraId="537011A6">
            <w:pPr>
              <w:widowControl/>
              <w:autoSpaceDE w:val="0"/>
              <w:jc w:val="center"/>
              <w:rPr>
                <w:rFonts w:ascii="Times New Roman" w:hAnsi="Times New Roman" w:eastAsia="Times New Roman"/>
                <w:b/>
                <w:bCs/>
                <w:color w:val="333333"/>
                <w:kern w:val="0"/>
                <w:sz w:val="18"/>
                <w:szCs w:val="18"/>
                <w:shd w:val="clear" w:color="auto" w:fill="FFFFFF"/>
              </w:rPr>
            </w:pPr>
          </w:p>
        </w:tc>
        <w:tc>
          <w:tcPr>
            <w:tcW w:w="546" w:type="pct"/>
            <w:tcBorders>
              <w:top w:val="single" w:color="auto" w:sz="12" w:space="0"/>
              <w:left w:val="nil"/>
              <w:bottom w:val="nil"/>
              <w:right w:val="nil"/>
            </w:tcBorders>
          </w:tcPr>
          <w:p w14:paraId="3B1C1EAF">
            <w:pPr>
              <w:widowControl/>
              <w:autoSpaceDE w:val="0"/>
              <w:jc w:val="center"/>
              <w:rPr>
                <w:rFonts w:ascii="Times New Roman" w:hAnsi="Times New Roman" w:eastAsia="Times New Roman"/>
                <w:b/>
                <w:bCs/>
                <w:color w:val="333333"/>
                <w:kern w:val="0"/>
                <w:sz w:val="18"/>
                <w:szCs w:val="18"/>
                <w:shd w:val="clear" w:color="auto" w:fill="FFFFFF"/>
              </w:rPr>
            </w:pPr>
          </w:p>
        </w:tc>
      </w:tr>
      <w:tr w14:paraId="1D6A480B">
        <w:tblPrEx>
          <w:tblBorders>
            <w:top w:val="single" w:color="auto" w:sz="12"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002" w:type="pct"/>
            <w:tcBorders>
              <w:top w:val="nil"/>
              <w:left w:val="nil"/>
              <w:bottom w:val="nil"/>
              <w:right w:val="nil"/>
            </w:tcBorders>
          </w:tcPr>
          <w:p w14:paraId="7E589DFF">
            <w:pPr>
              <w:widowControl/>
              <w:autoSpaceDE w:val="0"/>
              <w:snapToGrid w:val="0"/>
              <w:jc w:val="center"/>
              <w:rPr>
                <w:rFonts w:ascii="Times New Roman" w:hAnsi="Times New Roman" w:eastAsia="Times New Roman"/>
                <w:color w:val="333333"/>
                <w:kern w:val="0"/>
                <w:sz w:val="18"/>
                <w:szCs w:val="18"/>
                <w:shd w:val="clear" w:color="auto" w:fill="FFFFFF"/>
              </w:rPr>
            </w:pPr>
            <w:r>
              <w:rPr>
                <w:rFonts w:hint="eastAsia" w:ascii="Times New Roman" w:hAnsi="Times New Roman" w:eastAsia="Times New Roman"/>
                <w:color w:val="333333"/>
                <w:kern w:val="0"/>
                <w:sz w:val="18"/>
                <w:szCs w:val="18"/>
                <w:shd w:val="clear" w:color="auto" w:fill="FFFFFF"/>
              </w:rPr>
              <w:t>Hypertension</w:t>
            </w:r>
          </w:p>
        </w:tc>
        <w:tc>
          <w:tcPr>
            <w:tcW w:w="1641" w:type="pct"/>
            <w:tcBorders>
              <w:top w:val="nil"/>
              <w:left w:val="nil"/>
              <w:bottom w:val="nil"/>
              <w:right w:val="nil"/>
            </w:tcBorders>
          </w:tcPr>
          <w:p w14:paraId="5AC769B7">
            <w:pPr>
              <w:widowControl/>
              <w:autoSpaceDE w:val="0"/>
              <w:jc w:val="center"/>
              <w:rPr>
                <w:rFonts w:ascii="Times New Roman" w:hAnsi="Times New Roman" w:eastAsia="Times New Roman"/>
                <w:color w:val="333333"/>
                <w:kern w:val="0"/>
                <w:sz w:val="18"/>
                <w:szCs w:val="18"/>
                <w:shd w:val="clear" w:color="auto" w:fill="FFFFFF"/>
              </w:rPr>
            </w:pPr>
            <w:r>
              <w:rPr>
                <w:rFonts w:hint="eastAsia" w:ascii="Times New Roman" w:hAnsi="Times New Roman" w:eastAsia="Times New Roman"/>
                <w:color w:val="333333"/>
                <w:kern w:val="0"/>
                <w:sz w:val="18"/>
                <w:szCs w:val="18"/>
                <w:shd w:val="clear" w:color="auto" w:fill="FFFFFF"/>
              </w:rPr>
              <w:t>72（30.25%）</w:t>
            </w:r>
          </w:p>
        </w:tc>
        <w:tc>
          <w:tcPr>
            <w:tcW w:w="1810" w:type="pct"/>
            <w:tcBorders>
              <w:top w:val="nil"/>
              <w:left w:val="nil"/>
              <w:bottom w:val="nil"/>
              <w:right w:val="nil"/>
            </w:tcBorders>
          </w:tcPr>
          <w:p w14:paraId="59594D85">
            <w:pPr>
              <w:widowControl/>
              <w:autoSpaceDE w:val="0"/>
              <w:jc w:val="center"/>
              <w:rPr>
                <w:rFonts w:ascii="Times New Roman" w:hAnsi="Times New Roman" w:eastAsia="Times New Roman"/>
                <w:color w:val="333333"/>
                <w:kern w:val="0"/>
                <w:sz w:val="18"/>
                <w:szCs w:val="18"/>
                <w:shd w:val="clear" w:color="auto" w:fill="FFFFFF"/>
              </w:rPr>
            </w:pPr>
            <w:r>
              <w:rPr>
                <w:rFonts w:hint="eastAsia" w:ascii="Times New Roman" w:hAnsi="Times New Roman" w:eastAsia="Times New Roman"/>
                <w:color w:val="333333"/>
                <w:kern w:val="0"/>
                <w:sz w:val="18"/>
                <w:szCs w:val="18"/>
                <w:shd w:val="clear" w:color="auto" w:fill="FFFFFF"/>
              </w:rPr>
              <w:t>10(22.22%)</w:t>
            </w:r>
          </w:p>
        </w:tc>
        <w:tc>
          <w:tcPr>
            <w:tcW w:w="546" w:type="pct"/>
            <w:tcBorders>
              <w:top w:val="nil"/>
              <w:left w:val="nil"/>
              <w:bottom w:val="nil"/>
              <w:right w:val="nil"/>
            </w:tcBorders>
          </w:tcPr>
          <w:p w14:paraId="6F11115D">
            <w:pPr>
              <w:widowControl/>
              <w:autoSpaceDE w:val="0"/>
              <w:jc w:val="center"/>
              <w:rPr>
                <w:rFonts w:ascii="Times New Roman" w:hAnsi="Times New Roman" w:eastAsia="Times New Roman"/>
                <w:color w:val="333333"/>
                <w:kern w:val="0"/>
                <w:sz w:val="18"/>
                <w:szCs w:val="18"/>
                <w:shd w:val="clear" w:color="auto" w:fill="FFFFFF"/>
              </w:rPr>
            </w:pPr>
            <w:r>
              <w:rPr>
                <w:rFonts w:hint="eastAsia" w:ascii="Times New Roman" w:hAnsi="Times New Roman" w:eastAsia="Times New Roman"/>
                <w:color w:val="333333"/>
                <w:kern w:val="0"/>
                <w:sz w:val="18"/>
                <w:szCs w:val="18"/>
                <w:shd w:val="clear" w:color="auto" w:fill="FFFFFF"/>
              </w:rPr>
              <w:t>0.276</w:t>
            </w:r>
          </w:p>
        </w:tc>
      </w:tr>
      <w:tr w14:paraId="0FA9DE08">
        <w:tblPrEx>
          <w:tblBorders>
            <w:top w:val="single" w:color="auto" w:sz="12"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002" w:type="pct"/>
            <w:tcBorders>
              <w:top w:val="nil"/>
              <w:left w:val="nil"/>
              <w:bottom w:val="nil"/>
              <w:right w:val="nil"/>
            </w:tcBorders>
          </w:tcPr>
          <w:p w14:paraId="02427BFF">
            <w:pPr>
              <w:widowControl/>
              <w:autoSpaceDE w:val="0"/>
              <w:snapToGrid w:val="0"/>
              <w:jc w:val="center"/>
              <w:rPr>
                <w:rFonts w:ascii="Times New Roman" w:hAnsi="Times New Roman" w:eastAsia="Times New Roman"/>
                <w:color w:val="333333"/>
                <w:kern w:val="0"/>
                <w:sz w:val="18"/>
                <w:szCs w:val="18"/>
                <w:shd w:val="clear" w:color="auto" w:fill="FFFFFF"/>
              </w:rPr>
            </w:pPr>
            <w:r>
              <w:rPr>
                <w:rFonts w:hint="eastAsia" w:ascii="Times New Roman" w:hAnsi="Times New Roman" w:eastAsia="Times New Roman"/>
                <w:color w:val="333333"/>
                <w:kern w:val="0"/>
                <w:sz w:val="18"/>
                <w:szCs w:val="18"/>
                <w:shd w:val="clear" w:color="auto" w:fill="FFFFFF"/>
              </w:rPr>
              <w:t>Diabetes mellitus</w:t>
            </w:r>
          </w:p>
        </w:tc>
        <w:tc>
          <w:tcPr>
            <w:tcW w:w="1641" w:type="pct"/>
            <w:tcBorders>
              <w:top w:val="nil"/>
              <w:left w:val="nil"/>
              <w:bottom w:val="nil"/>
              <w:right w:val="nil"/>
            </w:tcBorders>
          </w:tcPr>
          <w:p w14:paraId="1E4EB8C7">
            <w:pPr>
              <w:widowControl/>
              <w:autoSpaceDE w:val="0"/>
              <w:jc w:val="center"/>
              <w:rPr>
                <w:rFonts w:ascii="Times New Roman" w:hAnsi="Times New Roman" w:eastAsia="Times New Roman"/>
                <w:color w:val="333333"/>
                <w:kern w:val="0"/>
                <w:sz w:val="18"/>
                <w:szCs w:val="18"/>
                <w:shd w:val="clear" w:color="auto" w:fill="FFFFFF"/>
              </w:rPr>
            </w:pPr>
            <w:r>
              <w:rPr>
                <w:rFonts w:hint="eastAsia" w:ascii="Times New Roman" w:hAnsi="Times New Roman" w:eastAsia="Times New Roman"/>
                <w:color w:val="333333"/>
                <w:kern w:val="0"/>
                <w:sz w:val="18"/>
                <w:szCs w:val="18"/>
                <w:shd w:val="clear" w:color="auto" w:fill="FFFFFF"/>
              </w:rPr>
              <w:t>32（13.45%）</w:t>
            </w:r>
          </w:p>
        </w:tc>
        <w:tc>
          <w:tcPr>
            <w:tcW w:w="1810" w:type="pct"/>
            <w:tcBorders>
              <w:top w:val="nil"/>
              <w:left w:val="nil"/>
              <w:bottom w:val="nil"/>
              <w:right w:val="nil"/>
            </w:tcBorders>
          </w:tcPr>
          <w:p w14:paraId="410DE624">
            <w:pPr>
              <w:widowControl/>
              <w:autoSpaceDE w:val="0"/>
              <w:jc w:val="center"/>
              <w:rPr>
                <w:rFonts w:ascii="Times New Roman" w:hAnsi="Times New Roman" w:eastAsia="Times New Roman"/>
                <w:color w:val="333333"/>
                <w:kern w:val="0"/>
                <w:sz w:val="18"/>
                <w:szCs w:val="18"/>
                <w:shd w:val="clear" w:color="auto" w:fill="FFFFFF"/>
              </w:rPr>
            </w:pPr>
            <w:r>
              <w:rPr>
                <w:rFonts w:hint="eastAsia" w:ascii="Times New Roman" w:hAnsi="Times New Roman" w:eastAsia="Times New Roman"/>
                <w:color w:val="333333"/>
                <w:kern w:val="0"/>
                <w:sz w:val="18"/>
                <w:szCs w:val="18"/>
                <w:shd w:val="clear" w:color="auto" w:fill="FFFFFF"/>
              </w:rPr>
              <w:t>8(17.78%)</w:t>
            </w:r>
          </w:p>
        </w:tc>
        <w:tc>
          <w:tcPr>
            <w:tcW w:w="546" w:type="pct"/>
            <w:tcBorders>
              <w:top w:val="nil"/>
              <w:left w:val="nil"/>
              <w:bottom w:val="nil"/>
              <w:right w:val="nil"/>
            </w:tcBorders>
          </w:tcPr>
          <w:p w14:paraId="2041C7F5">
            <w:pPr>
              <w:widowControl/>
              <w:autoSpaceDE w:val="0"/>
              <w:jc w:val="center"/>
              <w:rPr>
                <w:rFonts w:ascii="Times New Roman" w:hAnsi="Times New Roman" w:eastAsia="Times New Roman"/>
                <w:color w:val="333333"/>
                <w:kern w:val="0"/>
                <w:sz w:val="18"/>
                <w:szCs w:val="18"/>
                <w:shd w:val="clear" w:color="auto" w:fill="FFFFFF"/>
              </w:rPr>
            </w:pPr>
            <w:r>
              <w:rPr>
                <w:rFonts w:hint="eastAsia" w:ascii="Times New Roman" w:hAnsi="Times New Roman" w:eastAsia="Times New Roman"/>
                <w:color w:val="333333"/>
                <w:kern w:val="0"/>
                <w:sz w:val="18"/>
                <w:szCs w:val="18"/>
                <w:shd w:val="clear" w:color="auto" w:fill="FFFFFF"/>
              </w:rPr>
              <w:t>0.444</w:t>
            </w:r>
          </w:p>
        </w:tc>
      </w:tr>
      <w:tr w14:paraId="129C59EC">
        <w:tblPrEx>
          <w:tblBorders>
            <w:top w:val="single" w:color="auto" w:sz="12"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002" w:type="pct"/>
            <w:tcBorders>
              <w:top w:val="nil"/>
              <w:left w:val="nil"/>
              <w:bottom w:val="nil"/>
              <w:right w:val="nil"/>
            </w:tcBorders>
          </w:tcPr>
          <w:p w14:paraId="2DE311A6">
            <w:pPr>
              <w:widowControl/>
              <w:autoSpaceDE w:val="0"/>
              <w:snapToGrid w:val="0"/>
              <w:jc w:val="center"/>
              <w:rPr>
                <w:rFonts w:ascii="Times New Roman" w:hAnsi="Times New Roman" w:eastAsia="Times New Roman"/>
                <w:color w:val="333333"/>
                <w:kern w:val="0"/>
                <w:sz w:val="18"/>
                <w:szCs w:val="18"/>
                <w:shd w:val="clear" w:color="auto" w:fill="FFFFFF"/>
              </w:rPr>
            </w:pPr>
            <w:r>
              <w:rPr>
                <w:rFonts w:hint="eastAsia" w:ascii="Times New Roman" w:hAnsi="Times New Roman" w:eastAsia="Times New Roman"/>
                <w:color w:val="333333"/>
                <w:kern w:val="0"/>
                <w:sz w:val="18"/>
                <w:szCs w:val="18"/>
                <w:shd w:val="clear" w:color="auto" w:fill="FFFFFF"/>
              </w:rPr>
              <w:t>Cerebral infarction</w:t>
            </w:r>
          </w:p>
        </w:tc>
        <w:tc>
          <w:tcPr>
            <w:tcW w:w="1641" w:type="pct"/>
            <w:tcBorders>
              <w:top w:val="nil"/>
              <w:left w:val="nil"/>
              <w:bottom w:val="nil"/>
              <w:right w:val="nil"/>
            </w:tcBorders>
          </w:tcPr>
          <w:p w14:paraId="1BE09965">
            <w:pPr>
              <w:widowControl/>
              <w:autoSpaceDE w:val="0"/>
              <w:jc w:val="center"/>
              <w:rPr>
                <w:rFonts w:ascii="Times New Roman" w:hAnsi="Times New Roman" w:eastAsia="Times New Roman"/>
                <w:color w:val="333333"/>
                <w:kern w:val="0"/>
                <w:sz w:val="18"/>
                <w:szCs w:val="18"/>
                <w:shd w:val="clear" w:color="auto" w:fill="FFFFFF"/>
              </w:rPr>
            </w:pPr>
            <w:r>
              <w:rPr>
                <w:rFonts w:hint="eastAsia" w:ascii="Times New Roman" w:hAnsi="Times New Roman" w:eastAsia="Times New Roman"/>
                <w:color w:val="333333"/>
                <w:kern w:val="0"/>
                <w:sz w:val="18"/>
                <w:szCs w:val="18"/>
                <w:shd w:val="clear" w:color="auto" w:fill="FFFFFF"/>
              </w:rPr>
              <w:t>18（7.56%）</w:t>
            </w:r>
          </w:p>
        </w:tc>
        <w:tc>
          <w:tcPr>
            <w:tcW w:w="1810" w:type="pct"/>
            <w:tcBorders>
              <w:top w:val="nil"/>
              <w:left w:val="nil"/>
              <w:bottom w:val="nil"/>
              <w:right w:val="nil"/>
            </w:tcBorders>
          </w:tcPr>
          <w:p w14:paraId="69465DB6">
            <w:pPr>
              <w:widowControl/>
              <w:autoSpaceDE w:val="0"/>
              <w:jc w:val="center"/>
              <w:rPr>
                <w:rFonts w:ascii="Times New Roman" w:hAnsi="Times New Roman" w:eastAsia="Times New Roman"/>
                <w:color w:val="333333"/>
                <w:kern w:val="0"/>
                <w:sz w:val="18"/>
                <w:szCs w:val="18"/>
                <w:shd w:val="clear" w:color="auto" w:fill="FFFFFF"/>
              </w:rPr>
            </w:pPr>
            <w:r>
              <w:rPr>
                <w:rFonts w:hint="eastAsia" w:ascii="Times New Roman" w:hAnsi="Times New Roman" w:eastAsia="Times New Roman"/>
                <w:color w:val="333333"/>
                <w:kern w:val="0"/>
                <w:sz w:val="18"/>
                <w:szCs w:val="18"/>
                <w:shd w:val="clear" w:color="auto" w:fill="FFFFFF"/>
              </w:rPr>
              <w:t>1（2.22%）</w:t>
            </w:r>
          </w:p>
        </w:tc>
        <w:tc>
          <w:tcPr>
            <w:tcW w:w="546" w:type="pct"/>
            <w:tcBorders>
              <w:top w:val="nil"/>
              <w:left w:val="nil"/>
              <w:bottom w:val="nil"/>
              <w:right w:val="nil"/>
            </w:tcBorders>
          </w:tcPr>
          <w:p w14:paraId="63CCA853">
            <w:pPr>
              <w:widowControl/>
              <w:autoSpaceDE w:val="0"/>
              <w:jc w:val="center"/>
              <w:rPr>
                <w:rFonts w:ascii="Times New Roman" w:hAnsi="Times New Roman" w:eastAsia="Times New Roman"/>
                <w:color w:val="333333"/>
                <w:kern w:val="0"/>
                <w:sz w:val="18"/>
                <w:szCs w:val="18"/>
                <w:shd w:val="clear" w:color="auto" w:fill="FFFFFF"/>
              </w:rPr>
            </w:pPr>
            <w:r>
              <w:rPr>
                <w:rFonts w:hint="eastAsia" w:ascii="Times New Roman" w:hAnsi="Times New Roman" w:eastAsia="Times New Roman"/>
                <w:color w:val="333333"/>
                <w:kern w:val="0"/>
                <w:sz w:val="18"/>
                <w:szCs w:val="18"/>
                <w:shd w:val="clear" w:color="auto" w:fill="FFFFFF"/>
              </w:rPr>
              <w:t>0.323</w:t>
            </w:r>
          </w:p>
        </w:tc>
      </w:tr>
      <w:tr w14:paraId="56218BF6">
        <w:tblPrEx>
          <w:tblBorders>
            <w:top w:val="single" w:color="auto" w:sz="12"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002" w:type="pct"/>
            <w:tcBorders>
              <w:top w:val="nil"/>
              <w:left w:val="nil"/>
              <w:bottom w:val="nil"/>
              <w:right w:val="nil"/>
            </w:tcBorders>
          </w:tcPr>
          <w:p w14:paraId="604AD327">
            <w:pPr>
              <w:widowControl/>
              <w:autoSpaceDE w:val="0"/>
              <w:jc w:val="center"/>
              <w:rPr>
                <w:rFonts w:ascii="宋体" w:hAnsi="宋体" w:eastAsia="Times New Roman"/>
                <w:color w:val="000000"/>
                <w:kern w:val="0"/>
                <w:sz w:val="20"/>
              </w:rPr>
            </w:pPr>
            <w:r>
              <w:rPr>
                <w:rFonts w:hint="eastAsia" w:ascii="Times New Roman" w:hAnsi="Times New Roman" w:eastAsia="Times New Roman"/>
                <w:color w:val="333333"/>
                <w:kern w:val="0"/>
                <w:sz w:val="18"/>
                <w:szCs w:val="18"/>
                <w:shd w:val="clear" w:color="auto" w:fill="FFFFFF"/>
              </w:rPr>
              <w:t>Coronary heart disease</w:t>
            </w:r>
          </w:p>
        </w:tc>
        <w:tc>
          <w:tcPr>
            <w:tcW w:w="1641" w:type="pct"/>
            <w:tcBorders>
              <w:top w:val="nil"/>
              <w:left w:val="nil"/>
              <w:bottom w:val="nil"/>
              <w:right w:val="nil"/>
            </w:tcBorders>
          </w:tcPr>
          <w:p w14:paraId="29F0F891">
            <w:pPr>
              <w:widowControl/>
              <w:autoSpaceDE w:val="0"/>
              <w:jc w:val="center"/>
              <w:rPr>
                <w:rFonts w:ascii="Times New Roman" w:hAnsi="Times New Roman" w:eastAsia="Times New Roman"/>
                <w:color w:val="333333"/>
                <w:kern w:val="0"/>
                <w:sz w:val="18"/>
                <w:szCs w:val="18"/>
                <w:shd w:val="clear" w:color="auto" w:fill="FFFFFF"/>
              </w:rPr>
            </w:pPr>
            <w:r>
              <w:rPr>
                <w:rFonts w:hint="eastAsia" w:ascii="Times New Roman" w:hAnsi="Times New Roman" w:eastAsia="Times New Roman"/>
                <w:color w:val="333333"/>
                <w:kern w:val="0"/>
                <w:sz w:val="18"/>
                <w:szCs w:val="18"/>
                <w:shd w:val="clear" w:color="auto" w:fill="FFFFFF"/>
              </w:rPr>
              <w:t>18（7.56%）</w:t>
            </w:r>
          </w:p>
        </w:tc>
        <w:tc>
          <w:tcPr>
            <w:tcW w:w="1810" w:type="pct"/>
            <w:tcBorders>
              <w:top w:val="nil"/>
              <w:left w:val="nil"/>
              <w:bottom w:val="nil"/>
              <w:right w:val="nil"/>
            </w:tcBorders>
          </w:tcPr>
          <w:p w14:paraId="59F4620C">
            <w:pPr>
              <w:widowControl/>
              <w:autoSpaceDE w:val="0"/>
              <w:jc w:val="center"/>
              <w:rPr>
                <w:rFonts w:ascii="Times New Roman" w:hAnsi="Times New Roman" w:eastAsia="Times New Roman"/>
                <w:color w:val="333333"/>
                <w:kern w:val="0"/>
                <w:sz w:val="18"/>
                <w:szCs w:val="18"/>
                <w:shd w:val="clear" w:color="auto" w:fill="FFFFFF"/>
              </w:rPr>
            </w:pPr>
            <w:r>
              <w:rPr>
                <w:rFonts w:hint="eastAsia" w:ascii="Times New Roman" w:hAnsi="Times New Roman" w:eastAsia="Times New Roman"/>
                <w:color w:val="333333"/>
                <w:kern w:val="0"/>
                <w:sz w:val="18"/>
                <w:szCs w:val="18"/>
                <w:shd w:val="clear" w:color="auto" w:fill="FFFFFF"/>
              </w:rPr>
              <w:t>3(6.67%)</w:t>
            </w:r>
          </w:p>
        </w:tc>
        <w:tc>
          <w:tcPr>
            <w:tcW w:w="546" w:type="pct"/>
            <w:tcBorders>
              <w:top w:val="nil"/>
              <w:left w:val="nil"/>
              <w:bottom w:val="nil"/>
              <w:right w:val="nil"/>
            </w:tcBorders>
          </w:tcPr>
          <w:p w14:paraId="1E8FEAFD">
            <w:pPr>
              <w:widowControl/>
              <w:autoSpaceDE w:val="0"/>
              <w:jc w:val="center"/>
              <w:rPr>
                <w:rFonts w:ascii="Times New Roman" w:hAnsi="Times New Roman" w:eastAsia="Times New Roman"/>
                <w:color w:val="333333"/>
                <w:kern w:val="0"/>
                <w:sz w:val="18"/>
                <w:szCs w:val="18"/>
                <w:shd w:val="clear" w:color="auto" w:fill="FFFFFF"/>
              </w:rPr>
            </w:pPr>
            <w:r>
              <w:rPr>
                <w:rFonts w:hint="eastAsia" w:ascii="Times New Roman" w:hAnsi="Times New Roman" w:eastAsia="Times New Roman"/>
                <w:color w:val="333333"/>
                <w:kern w:val="0"/>
                <w:sz w:val="18"/>
                <w:szCs w:val="18"/>
                <w:shd w:val="clear" w:color="auto" w:fill="FFFFFF"/>
              </w:rPr>
              <w:t>1.000</w:t>
            </w:r>
          </w:p>
        </w:tc>
      </w:tr>
      <w:tr w14:paraId="589194D6">
        <w:tblPrEx>
          <w:tblBorders>
            <w:top w:val="single" w:color="auto" w:sz="12"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002" w:type="pct"/>
            <w:tcBorders>
              <w:top w:val="nil"/>
              <w:left w:val="nil"/>
              <w:bottom w:val="nil"/>
              <w:right w:val="nil"/>
            </w:tcBorders>
          </w:tcPr>
          <w:p w14:paraId="1E3F89BD">
            <w:pPr>
              <w:widowControl/>
              <w:autoSpaceDE w:val="0"/>
              <w:jc w:val="center"/>
              <w:rPr>
                <w:rFonts w:ascii="宋体" w:hAnsi="宋体" w:eastAsia="Times New Roman"/>
                <w:kern w:val="0"/>
                <w:sz w:val="20"/>
              </w:rPr>
            </w:pPr>
            <w:r>
              <w:rPr>
                <w:rFonts w:hint="eastAsia" w:ascii="Times New Roman" w:hAnsi="Times New Roman" w:eastAsia="Times New Roman"/>
                <w:color w:val="333333"/>
                <w:kern w:val="0"/>
                <w:sz w:val="18"/>
                <w:szCs w:val="18"/>
                <w:shd w:val="clear" w:color="auto" w:fill="FFFFFF"/>
              </w:rPr>
              <w:t>Chronic gastritis</w:t>
            </w:r>
          </w:p>
        </w:tc>
        <w:tc>
          <w:tcPr>
            <w:tcW w:w="1641" w:type="pct"/>
            <w:tcBorders>
              <w:top w:val="nil"/>
              <w:left w:val="nil"/>
              <w:bottom w:val="nil"/>
              <w:right w:val="nil"/>
            </w:tcBorders>
          </w:tcPr>
          <w:p w14:paraId="2F83A2EE">
            <w:pPr>
              <w:widowControl/>
              <w:autoSpaceDE w:val="0"/>
              <w:jc w:val="center"/>
              <w:rPr>
                <w:rFonts w:ascii="Times New Roman" w:hAnsi="Times New Roman" w:eastAsia="Times New Roman"/>
                <w:color w:val="333333"/>
                <w:kern w:val="0"/>
                <w:sz w:val="18"/>
                <w:szCs w:val="18"/>
                <w:shd w:val="clear" w:color="auto" w:fill="FFFFFF"/>
              </w:rPr>
            </w:pPr>
            <w:r>
              <w:rPr>
                <w:rFonts w:hint="eastAsia" w:ascii="Times New Roman" w:hAnsi="Times New Roman" w:eastAsia="Times New Roman"/>
                <w:color w:val="333333"/>
                <w:kern w:val="0"/>
                <w:sz w:val="18"/>
                <w:szCs w:val="18"/>
                <w:shd w:val="clear" w:color="auto" w:fill="FFFFFF"/>
              </w:rPr>
              <w:t>16（6.72%）</w:t>
            </w:r>
          </w:p>
        </w:tc>
        <w:tc>
          <w:tcPr>
            <w:tcW w:w="1810" w:type="pct"/>
            <w:tcBorders>
              <w:top w:val="nil"/>
              <w:left w:val="nil"/>
              <w:bottom w:val="nil"/>
              <w:right w:val="nil"/>
            </w:tcBorders>
          </w:tcPr>
          <w:p w14:paraId="210B73DA">
            <w:pPr>
              <w:widowControl/>
              <w:autoSpaceDE w:val="0"/>
              <w:jc w:val="center"/>
              <w:rPr>
                <w:rFonts w:ascii="Times New Roman" w:hAnsi="Times New Roman" w:eastAsia="Times New Roman"/>
                <w:color w:val="333333"/>
                <w:kern w:val="0"/>
                <w:sz w:val="18"/>
                <w:szCs w:val="18"/>
                <w:shd w:val="clear" w:color="auto" w:fill="FFFFFF"/>
              </w:rPr>
            </w:pPr>
            <w:r>
              <w:rPr>
                <w:rFonts w:hint="eastAsia" w:ascii="Times New Roman" w:hAnsi="Times New Roman" w:eastAsia="Times New Roman"/>
                <w:color w:val="333333"/>
                <w:kern w:val="0"/>
                <w:sz w:val="18"/>
                <w:szCs w:val="18"/>
                <w:shd w:val="clear" w:color="auto" w:fill="FFFFFF"/>
              </w:rPr>
              <w:t>2（4.44%）</w:t>
            </w:r>
          </w:p>
        </w:tc>
        <w:tc>
          <w:tcPr>
            <w:tcW w:w="546" w:type="pct"/>
            <w:tcBorders>
              <w:top w:val="nil"/>
              <w:left w:val="nil"/>
              <w:bottom w:val="nil"/>
              <w:right w:val="nil"/>
            </w:tcBorders>
          </w:tcPr>
          <w:p w14:paraId="56D6727A">
            <w:pPr>
              <w:widowControl/>
              <w:autoSpaceDE w:val="0"/>
              <w:jc w:val="center"/>
              <w:rPr>
                <w:rFonts w:ascii="Times New Roman" w:hAnsi="Times New Roman" w:eastAsia="Times New Roman"/>
                <w:color w:val="333333"/>
                <w:kern w:val="0"/>
                <w:sz w:val="18"/>
                <w:szCs w:val="18"/>
                <w:shd w:val="clear" w:color="auto" w:fill="FFFFFF"/>
              </w:rPr>
            </w:pPr>
            <w:r>
              <w:rPr>
                <w:rFonts w:hint="eastAsia" w:ascii="Times New Roman" w:hAnsi="Times New Roman" w:eastAsia="Times New Roman"/>
                <w:color w:val="333333"/>
                <w:kern w:val="0"/>
                <w:sz w:val="18"/>
                <w:szCs w:val="18"/>
                <w:shd w:val="clear" w:color="auto" w:fill="FFFFFF"/>
              </w:rPr>
              <w:t>0.809</w:t>
            </w:r>
          </w:p>
        </w:tc>
      </w:tr>
      <w:tr w14:paraId="0C91D9BD">
        <w:tblPrEx>
          <w:tblBorders>
            <w:top w:val="single" w:color="auto" w:sz="12"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002" w:type="pct"/>
            <w:tcBorders>
              <w:top w:val="nil"/>
              <w:left w:val="nil"/>
              <w:bottom w:val="nil"/>
              <w:right w:val="nil"/>
            </w:tcBorders>
          </w:tcPr>
          <w:p w14:paraId="767276B8">
            <w:pPr>
              <w:widowControl/>
              <w:autoSpaceDE w:val="0"/>
              <w:jc w:val="center"/>
              <w:rPr>
                <w:rFonts w:ascii="宋体" w:hAnsi="宋体" w:eastAsia="Times New Roman"/>
                <w:kern w:val="0"/>
                <w:sz w:val="20"/>
              </w:rPr>
            </w:pPr>
            <w:r>
              <w:rPr>
                <w:rFonts w:hint="eastAsia" w:ascii="Times New Roman" w:hAnsi="Times New Roman" w:eastAsia="Times New Roman"/>
                <w:color w:val="333333"/>
                <w:kern w:val="0"/>
                <w:sz w:val="18"/>
                <w:szCs w:val="18"/>
                <w:shd w:val="clear" w:color="auto" w:fill="FFFFFF"/>
              </w:rPr>
              <w:t>Pulmonary tuberculosis</w:t>
            </w:r>
          </w:p>
        </w:tc>
        <w:tc>
          <w:tcPr>
            <w:tcW w:w="1641" w:type="pct"/>
            <w:tcBorders>
              <w:top w:val="nil"/>
              <w:left w:val="nil"/>
              <w:bottom w:val="nil"/>
              <w:right w:val="nil"/>
            </w:tcBorders>
          </w:tcPr>
          <w:p w14:paraId="0DD4B01A">
            <w:pPr>
              <w:widowControl/>
              <w:autoSpaceDE w:val="0"/>
              <w:jc w:val="center"/>
              <w:rPr>
                <w:rFonts w:ascii="Times New Roman" w:hAnsi="Times New Roman" w:eastAsia="Times New Roman"/>
                <w:color w:val="333333"/>
                <w:kern w:val="0"/>
                <w:sz w:val="18"/>
                <w:szCs w:val="18"/>
                <w:shd w:val="clear" w:color="auto" w:fill="FFFFFF"/>
              </w:rPr>
            </w:pPr>
            <w:r>
              <w:rPr>
                <w:rFonts w:hint="eastAsia" w:ascii="Times New Roman" w:hAnsi="Times New Roman" w:eastAsia="Times New Roman"/>
                <w:color w:val="333333"/>
                <w:kern w:val="0"/>
                <w:sz w:val="18"/>
                <w:szCs w:val="18"/>
                <w:shd w:val="clear" w:color="auto" w:fill="FFFFFF"/>
              </w:rPr>
              <w:t>16（6.72%）</w:t>
            </w:r>
          </w:p>
        </w:tc>
        <w:tc>
          <w:tcPr>
            <w:tcW w:w="1810" w:type="pct"/>
            <w:tcBorders>
              <w:top w:val="nil"/>
              <w:left w:val="nil"/>
              <w:bottom w:val="nil"/>
              <w:right w:val="nil"/>
            </w:tcBorders>
          </w:tcPr>
          <w:p w14:paraId="46AD4F6C">
            <w:pPr>
              <w:widowControl/>
              <w:autoSpaceDE w:val="0"/>
              <w:jc w:val="center"/>
              <w:rPr>
                <w:rFonts w:ascii="Times New Roman" w:hAnsi="Times New Roman" w:eastAsia="Times New Roman"/>
                <w:color w:val="333333"/>
                <w:kern w:val="0"/>
                <w:sz w:val="18"/>
                <w:szCs w:val="18"/>
                <w:shd w:val="clear" w:color="auto" w:fill="FFFFFF"/>
              </w:rPr>
            </w:pPr>
            <w:r>
              <w:rPr>
                <w:rFonts w:hint="eastAsia" w:ascii="Times New Roman" w:hAnsi="Times New Roman" w:eastAsia="Times New Roman"/>
                <w:color w:val="333333"/>
                <w:kern w:val="0"/>
                <w:sz w:val="18"/>
                <w:szCs w:val="18"/>
                <w:shd w:val="clear" w:color="auto" w:fill="FFFFFF"/>
              </w:rPr>
              <w:t>3(6.67%)</w:t>
            </w:r>
          </w:p>
        </w:tc>
        <w:tc>
          <w:tcPr>
            <w:tcW w:w="546" w:type="pct"/>
            <w:tcBorders>
              <w:top w:val="nil"/>
              <w:left w:val="nil"/>
              <w:bottom w:val="nil"/>
              <w:right w:val="nil"/>
            </w:tcBorders>
          </w:tcPr>
          <w:p w14:paraId="6844F518">
            <w:pPr>
              <w:widowControl/>
              <w:autoSpaceDE w:val="0"/>
              <w:jc w:val="center"/>
              <w:rPr>
                <w:rFonts w:ascii="Times New Roman" w:hAnsi="Times New Roman" w:eastAsia="Times New Roman"/>
                <w:color w:val="333333"/>
                <w:kern w:val="0"/>
                <w:sz w:val="18"/>
                <w:szCs w:val="18"/>
                <w:shd w:val="clear" w:color="auto" w:fill="FFFFFF"/>
              </w:rPr>
            </w:pPr>
            <w:r>
              <w:rPr>
                <w:rFonts w:hint="eastAsia" w:ascii="Times New Roman" w:hAnsi="Times New Roman" w:eastAsia="Times New Roman"/>
                <w:color w:val="333333"/>
                <w:kern w:val="0"/>
                <w:sz w:val="18"/>
                <w:szCs w:val="18"/>
                <w:shd w:val="clear" w:color="auto" w:fill="FFFFFF"/>
              </w:rPr>
              <w:t>1.000</w:t>
            </w:r>
          </w:p>
        </w:tc>
      </w:tr>
      <w:tr w14:paraId="0B32A57C">
        <w:tblPrEx>
          <w:tblBorders>
            <w:top w:val="single" w:color="auto" w:sz="12"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002" w:type="pct"/>
            <w:tcBorders>
              <w:top w:val="nil"/>
              <w:left w:val="nil"/>
              <w:bottom w:val="nil"/>
              <w:right w:val="nil"/>
            </w:tcBorders>
          </w:tcPr>
          <w:p w14:paraId="329DE566">
            <w:pPr>
              <w:widowControl/>
              <w:autoSpaceDE w:val="0"/>
              <w:jc w:val="center"/>
              <w:rPr>
                <w:rFonts w:ascii="Times New Roman" w:hAnsi="Times New Roman" w:eastAsia="Times New Roman"/>
                <w:color w:val="333333"/>
                <w:kern w:val="0"/>
                <w:sz w:val="18"/>
                <w:szCs w:val="18"/>
                <w:shd w:val="clear" w:color="auto" w:fill="FFFFFF"/>
              </w:rPr>
            </w:pPr>
            <w:r>
              <w:rPr>
                <w:rFonts w:hint="eastAsia" w:ascii="Times New Roman" w:hAnsi="Times New Roman" w:eastAsia="Times New Roman"/>
                <w:color w:val="333333"/>
                <w:kern w:val="0"/>
                <w:sz w:val="18"/>
                <w:szCs w:val="18"/>
                <w:shd w:val="clear" w:color="auto" w:fill="FFFFFF"/>
              </w:rPr>
              <w:t>Cervical spondylosis</w:t>
            </w:r>
          </w:p>
        </w:tc>
        <w:tc>
          <w:tcPr>
            <w:tcW w:w="1641" w:type="pct"/>
            <w:tcBorders>
              <w:top w:val="nil"/>
              <w:left w:val="nil"/>
              <w:bottom w:val="nil"/>
              <w:right w:val="nil"/>
            </w:tcBorders>
          </w:tcPr>
          <w:p w14:paraId="48367772">
            <w:pPr>
              <w:widowControl/>
              <w:autoSpaceDE w:val="0"/>
              <w:jc w:val="center"/>
              <w:rPr>
                <w:rFonts w:ascii="Times New Roman" w:hAnsi="Times New Roman" w:eastAsia="Times New Roman"/>
                <w:color w:val="333333"/>
                <w:kern w:val="0"/>
                <w:sz w:val="18"/>
                <w:szCs w:val="18"/>
                <w:shd w:val="clear" w:color="auto" w:fill="FFFFFF"/>
              </w:rPr>
            </w:pPr>
            <w:r>
              <w:rPr>
                <w:rFonts w:hint="eastAsia" w:ascii="Times New Roman" w:hAnsi="Times New Roman" w:eastAsia="Times New Roman"/>
                <w:color w:val="333333"/>
                <w:kern w:val="0"/>
                <w:sz w:val="18"/>
                <w:szCs w:val="18"/>
                <w:shd w:val="clear" w:color="auto" w:fill="FFFFFF"/>
              </w:rPr>
              <w:t>11（4.62%）</w:t>
            </w:r>
          </w:p>
        </w:tc>
        <w:tc>
          <w:tcPr>
            <w:tcW w:w="1810" w:type="pct"/>
            <w:tcBorders>
              <w:top w:val="nil"/>
              <w:left w:val="nil"/>
              <w:bottom w:val="nil"/>
              <w:right w:val="nil"/>
            </w:tcBorders>
          </w:tcPr>
          <w:p w14:paraId="41AC1797">
            <w:pPr>
              <w:widowControl/>
              <w:autoSpaceDE w:val="0"/>
              <w:jc w:val="center"/>
              <w:rPr>
                <w:rFonts w:ascii="Times New Roman" w:hAnsi="Times New Roman" w:eastAsia="Times New Roman"/>
                <w:color w:val="333333"/>
                <w:kern w:val="0"/>
                <w:sz w:val="18"/>
                <w:szCs w:val="18"/>
                <w:shd w:val="clear" w:color="auto" w:fill="FFFFFF"/>
              </w:rPr>
            </w:pPr>
            <w:r>
              <w:rPr>
                <w:rFonts w:hint="eastAsia" w:ascii="Times New Roman" w:hAnsi="Times New Roman" w:eastAsia="Times New Roman"/>
                <w:color w:val="333333"/>
                <w:kern w:val="0"/>
                <w:sz w:val="18"/>
                <w:szCs w:val="18"/>
                <w:shd w:val="clear" w:color="auto" w:fill="FFFFFF"/>
              </w:rPr>
              <w:t>1（2.22%）</w:t>
            </w:r>
          </w:p>
        </w:tc>
        <w:tc>
          <w:tcPr>
            <w:tcW w:w="546" w:type="pct"/>
            <w:tcBorders>
              <w:top w:val="nil"/>
              <w:left w:val="nil"/>
              <w:bottom w:val="nil"/>
              <w:right w:val="nil"/>
            </w:tcBorders>
          </w:tcPr>
          <w:p w14:paraId="368EE77A">
            <w:pPr>
              <w:widowControl/>
              <w:autoSpaceDE w:val="0"/>
              <w:jc w:val="center"/>
              <w:rPr>
                <w:rFonts w:ascii="Times New Roman" w:hAnsi="Times New Roman" w:eastAsia="Times New Roman"/>
                <w:color w:val="333333"/>
                <w:kern w:val="0"/>
                <w:sz w:val="18"/>
                <w:szCs w:val="18"/>
                <w:shd w:val="clear" w:color="auto" w:fill="FFFFFF"/>
              </w:rPr>
            </w:pPr>
            <w:r>
              <w:rPr>
                <w:rFonts w:hint="eastAsia" w:ascii="Times New Roman" w:hAnsi="Times New Roman" w:eastAsia="Times New Roman"/>
                <w:color w:val="333333"/>
                <w:kern w:val="0"/>
                <w:sz w:val="18"/>
                <w:szCs w:val="18"/>
                <w:shd w:val="clear" w:color="auto" w:fill="FFFFFF"/>
              </w:rPr>
              <w:t>0.742</w:t>
            </w:r>
          </w:p>
        </w:tc>
      </w:tr>
      <w:tr w14:paraId="628C44F0">
        <w:tblPrEx>
          <w:tblBorders>
            <w:top w:val="single" w:color="auto" w:sz="12"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002" w:type="pct"/>
            <w:tcBorders>
              <w:top w:val="nil"/>
              <w:left w:val="nil"/>
              <w:bottom w:val="nil"/>
              <w:right w:val="nil"/>
            </w:tcBorders>
          </w:tcPr>
          <w:p w14:paraId="7AE6162A">
            <w:pPr>
              <w:widowControl/>
              <w:autoSpaceDE w:val="0"/>
              <w:jc w:val="center"/>
              <w:rPr>
                <w:rFonts w:ascii="宋体" w:hAnsi="宋体" w:eastAsia="Times New Roman"/>
                <w:color w:val="000000"/>
                <w:kern w:val="0"/>
                <w:sz w:val="20"/>
              </w:rPr>
            </w:pPr>
            <w:r>
              <w:rPr>
                <w:rFonts w:hint="eastAsia" w:ascii="Times New Roman" w:hAnsi="Times New Roman" w:eastAsia="Times New Roman"/>
                <w:color w:val="333333"/>
                <w:kern w:val="0"/>
                <w:sz w:val="18"/>
                <w:szCs w:val="18"/>
                <w:shd w:val="clear" w:color="auto" w:fill="FFFFFF"/>
              </w:rPr>
              <w:t>Benign prostatic hyperplasia</w:t>
            </w:r>
          </w:p>
        </w:tc>
        <w:tc>
          <w:tcPr>
            <w:tcW w:w="1641" w:type="pct"/>
            <w:tcBorders>
              <w:top w:val="nil"/>
              <w:left w:val="nil"/>
              <w:bottom w:val="nil"/>
              <w:right w:val="nil"/>
            </w:tcBorders>
          </w:tcPr>
          <w:p w14:paraId="64CE58B7">
            <w:pPr>
              <w:widowControl/>
              <w:autoSpaceDE w:val="0"/>
              <w:jc w:val="center"/>
              <w:rPr>
                <w:rFonts w:ascii="Times New Roman" w:hAnsi="Times New Roman" w:eastAsia="Times New Roman"/>
                <w:color w:val="333333"/>
                <w:kern w:val="0"/>
                <w:sz w:val="18"/>
                <w:szCs w:val="18"/>
                <w:shd w:val="clear" w:color="auto" w:fill="FFFFFF"/>
              </w:rPr>
            </w:pPr>
            <w:r>
              <w:rPr>
                <w:rFonts w:hint="eastAsia" w:ascii="Times New Roman" w:hAnsi="Times New Roman" w:eastAsia="Times New Roman"/>
                <w:color w:val="333333"/>
                <w:kern w:val="0"/>
                <w:sz w:val="18"/>
                <w:szCs w:val="18"/>
                <w:shd w:val="clear" w:color="auto" w:fill="FFFFFF"/>
              </w:rPr>
              <w:t>8（3.36%）</w:t>
            </w:r>
          </w:p>
        </w:tc>
        <w:tc>
          <w:tcPr>
            <w:tcW w:w="1810" w:type="pct"/>
            <w:tcBorders>
              <w:top w:val="nil"/>
              <w:left w:val="nil"/>
              <w:bottom w:val="nil"/>
              <w:right w:val="nil"/>
            </w:tcBorders>
          </w:tcPr>
          <w:p w14:paraId="0FD593E6">
            <w:pPr>
              <w:widowControl/>
              <w:autoSpaceDE w:val="0"/>
              <w:jc w:val="center"/>
              <w:rPr>
                <w:rFonts w:ascii="Times New Roman" w:hAnsi="Times New Roman" w:eastAsia="Times New Roman"/>
                <w:color w:val="333333"/>
                <w:kern w:val="0"/>
                <w:sz w:val="18"/>
                <w:szCs w:val="18"/>
                <w:shd w:val="clear" w:color="auto" w:fill="FFFFFF"/>
              </w:rPr>
            </w:pPr>
            <w:r>
              <w:rPr>
                <w:rFonts w:hint="eastAsia" w:ascii="Times New Roman" w:hAnsi="Times New Roman" w:eastAsia="Times New Roman"/>
                <w:color w:val="333333"/>
                <w:kern w:val="0"/>
                <w:sz w:val="18"/>
                <w:szCs w:val="18"/>
                <w:shd w:val="clear" w:color="auto" w:fill="FFFFFF"/>
              </w:rPr>
              <w:t>1（2.22%）</w:t>
            </w:r>
          </w:p>
        </w:tc>
        <w:tc>
          <w:tcPr>
            <w:tcW w:w="546" w:type="pct"/>
            <w:tcBorders>
              <w:top w:val="nil"/>
              <w:left w:val="nil"/>
              <w:bottom w:val="nil"/>
              <w:right w:val="nil"/>
            </w:tcBorders>
          </w:tcPr>
          <w:p w14:paraId="2F05CE1B">
            <w:pPr>
              <w:widowControl/>
              <w:autoSpaceDE w:val="0"/>
              <w:jc w:val="center"/>
              <w:rPr>
                <w:rFonts w:ascii="Times New Roman" w:hAnsi="Times New Roman" w:eastAsia="Times New Roman"/>
                <w:color w:val="333333"/>
                <w:kern w:val="0"/>
                <w:sz w:val="18"/>
                <w:szCs w:val="18"/>
                <w:shd w:val="clear" w:color="auto" w:fill="FFFFFF"/>
              </w:rPr>
            </w:pPr>
            <w:r>
              <w:rPr>
                <w:rFonts w:hint="eastAsia" w:ascii="Times New Roman" w:hAnsi="Times New Roman" w:eastAsia="Times New Roman"/>
                <w:color w:val="333333"/>
                <w:kern w:val="0"/>
                <w:sz w:val="18"/>
                <w:szCs w:val="18"/>
                <w:shd w:val="clear" w:color="auto" w:fill="FFFFFF"/>
              </w:rPr>
              <w:t>1.00</w:t>
            </w:r>
          </w:p>
        </w:tc>
      </w:tr>
      <w:tr w14:paraId="6E027181">
        <w:tblPrEx>
          <w:tblBorders>
            <w:top w:val="single" w:color="auto" w:sz="12"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002" w:type="pct"/>
            <w:tcBorders>
              <w:top w:val="nil"/>
              <w:left w:val="nil"/>
              <w:bottom w:val="nil"/>
              <w:right w:val="nil"/>
            </w:tcBorders>
          </w:tcPr>
          <w:p w14:paraId="43A198DE">
            <w:pPr>
              <w:widowControl/>
              <w:autoSpaceDE w:val="0"/>
              <w:jc w:val="center"/>
              <w:rPr>
                <w:rFonts w:ascii="宋体" w:hAnsi="宋体" w:eastAsia="Times New Roman"/>
                <w:color w:val="000000"/>
                <w:kern w:val="0"/>
                <w:sz w:val="20"/>
              </w:rPr>
            </w:pPr>
            <w:bookmarkStart w:id="1" w:name="OLE_LINK19"/>
            <w:r>
              <w:rPr>
                <w:rFonts w:hint="eastAsia" w:ascii="Times New Roman" w:hAnsi="Times New Roman" w:eastAsia="Times New Roman"/>
                <w:color w:val="333333"/>
                <w:kern w:val="0"/>
                <w:sz w:val="18"/>
                <w:szCs w:val="18"/>
                <w:shd w:val="clear" w:color="auto" w:fill="FFFFFF"/>
              </w:rPr>
              <w:t>Hepatitis B virus</w:t>
            </w:r>
            <w:bookmarkEnd w:id="1"/>
          </w:p>
        </w:tc>
        <w:tc>
          <w:tcPr>
            <w:tcW w:w="1641" w:type="pct"/>
            <w:tcBorders>
              <w:top w:val="nil"/>
              <w:left w:val="nil"/>
              <w:bottom w:val="nil"/>
              <w:right w:val="nil"/>
            </w:tcBorders>
          </w:tcPr>
          <w:p w14:paraId="49999A21">
            <w:pPr>
              <w:widowControl/>
              <w:autoSpaceDE w:val="0"/>
              <w:jc w:val="center"/>
              <w:rPr>
                <w:rFonts w:ascii="Times New Roman" w:hAnsi="Times New Roman" w:eastAsia="Times New Roman"/>
                <w:color w:val="333333"/>
                <w:kern w:val="0"/>
                <w:sz w:val="18"/>
                <w:szCs w:val="18"/>
                <w:shd w:val="clear" w:color="auto" w:fill="FFFFFF"/>
              </w:rPr>
            </w:pPr>
            <w:r>
              <w:rPr>
                <w:rFonts w:hint="eastAsia" w:ascii="Times New Roman" w:hAnsi="Times New Roman" w:eastAsia="Times New Roman"/>
                <w:color w:val="333333"/>
                <w:kern w:val="0"/>
                <w:sz w:val="18"/>
                <w:szCs w:val="18"/>
                <w:shd w:val="clear" w:color="auto" w:fill="FFFFFF"/>
              </w:rPr>
              <w:t>7（2.94%）</w:t>
            </w:r>
          </w:p>
        </w:tc>
        <w:tc>
          <w:tcPr>
            <w:tcW w:w="1810" w:type="pct"/>
            <w:tcBorders>
              <w:top w:val="nil"/>
              <w:left w:val="nil"/>
              <w:bottom w:val="nil"/>
              <w:right w:val="nil"/>
            </w:tcBorders>
          </w:tcPr>
          <w:p w14:paraId="789A6D88">
            <w:pPr>
              <w:widowControl/>
              <w:autoSpaceDE w:val="0"/>
              <w:jc w:val="center"/>
              <w:rPr>
                <w:rFonts w:ascii="Times New Roman" w:hAnsi="Times New Roman" w:eastAsia="Times New Roman"/>
                <w:color w:val="333333"/>
                <w:kern w:val="0"/>
                <w:sz w:val="18"/>
                <w:szCs w:val="18"/>
                <w:shd w:val="clear" w:color="auto" w:fill="FFFFFF"/>
              </w:rPr>
            </w:pPr>
            <w:r>
              <w:rPr>
                <w:rFonts w:hint="eastAsia" w:ascii="Times New Roman" w:hAnsi="Times New Roman" w:eastAsia="Times New Roman"/>
                <w:color w:val="333333"/>
                <w:kern w:val="0"/>
                <w:sz w:val="18"/>
                <w:szCs w:val="18"/>
                <w:shd w:val="clear" w:color="auto" w:fill="FFFFFF"/>
              </w:rPr>
              <w:t>1（2.22%）</w:t>
            </w:r>
          </w:p>
        </w:tc>
        <w:tc>
          <w:tcPr>
            <w:tcW w:w="546" w:type="pct"/>
            <w:tcBorders>
              <w:top w:val="nil"/>
              <w:left w:val="nil"/>
              <w:bottom w:val="nil"/>
              <w:right w:val="nil"/>
            </w:tcBorders>
          </w:tcPr>
          <w:p w14:paraId="6DF64E0A">
            <w:pPr>
              <w:widowControl/>
              <w:autoSpaceDE w:val="0"/>
              <w:jc w:val="center"/>
              <w:rPr>
                <w:rFonts w:ascii="Times New Roman" w:hAnsi="Times New Roman" w:eastAsia="Times New Roman"/>
                <w:b w:val="0"/>
                <w:bCs w:val="0"/>
                <w:color w:val="333333"/>
                <w:kern w:val="0"/>
                <w:sz w:val="18"/>
                <w:szCs w:val="18"/>
                <w:shd w:val="clear" w:color="auto" w:fill="FFFFFF"/>
              </w:rPr>
            </w:pPr>
            <w:r>
              <w:rPr>
                <w:rFonts w:hint="eastAsia" w:ascii="Times New Roman" w:hAnsi="Times New Roman" w:eastAsia="Times New Roman"/>
                <w:b w:val="0"/>
                <w:bCs w:val="0"/>
                <w:color w:val="333333"/>
                <w:kern w:val="0"/>
                <w:sz w:val="18"/>
                <w:szCs w:val="18"/>
                <w:shd w:val="clear" w:color="auto" w:fill="FFFFFF"/>
              </w:rPr>
              <w:t>1.00</w:t>
            </w:r>
          </w:p>
        </w:tc>
      </w:tr>
      <w:tr w14:paraId="4031FA53">
        <w:tblPrEx>
          <w:tblBorders>
            <w:top w:val="single" w:color="auto" w:sz="12"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002" w:type="pct"/>
            <w:tcBorders>
              <w:top w:val="nil"/>
              <w:left w:val="nil"/>
              <w:bottom w:val="nil"/>
              <w:right w:val="nil"/>
            </w:tcBorders>
          </w:tcPr>
          <w:p w14:paraId="3D6905B3">
            <w:pPr>
              <w:widowControl/>
              <w:autoSpaceDE w:val="0"/>
              <w:jc w:val="center"/>
              <w:rPr>
                <w:rFonts w:ascii="宋体" w:hAnsi="宋体" w:eastAsia="Times New Roman"/>
                <w:color w:val="000000"/>
                <w:kern w:val="0"/>
                <w:sz w:val="20"/>
              </w:rPr>
            </w:pPr>
            <w:r>
              <w:rPr>
                <w:rFonts w:hint="eastAsia" w:ascii="Times New Roman" w:hAnsi="Times New Roman" w:eastAsia="Times New Roman"/>
                <w:color w:val="333333"/>
                <w:kern w:val="0"/>
                <w:sz w:val="18"/>
                <w:szCs w:val="18"/>
                <w:shd w:val="clear" w:color="auto" w:fill="FFFFFF"/>
              </w:rPr>
              <w:t>Malignant tumor</w:t>
            </w:r>
          </w:p>
        </w:tc>
        <w:tc>
          <w:tcPr>
            <w:tcW w:w="1641" w:type="pct"/>
            <w:tcBorders>
              <w:top w:val="nil"/>
              <w:left w:val="nil"/>
              <w:bottom w:val="nil"/>
              <w:right w:val="nil"/>
            </w:tcBorders>
          </w:tcPr>
          <w:p w14:paraId="24044DE8">
            <w:pPr>
              <w:widowControl/>
              <w:autoSpaceDE w:val="0"/>
              <w:jc w:val="center"/>
              <w:rPr>
                <w:rFonts w:ascii="Times New Roman" w:hAnsi="Times New Roman" w:eastAsia="Times New Roman"/>
                <w:color w:val="333333"/>
                <w:kern w:val="0"/>
                <w:sz w:val="18"/>
                <w:szCs w:val="18"/>
                <w:shd w:val="clear" w:color="auto" w:fill="FFFFFF"/>
              </w:rPr>
            </w:pPr>
            <w:r>
              <w:rPr>
                <w:rFonts w:hint="eastAsia" w:ascii="Times New Roman" w:hAnsi="Times New Roman" w:eastAsia="Times New Roman"/>
                <w:color w:val="333333"/>
                <w:kern w:val="0"/>
                <w:sz w:val="18"/>
                <w:szCs w:val="18"/>
                <w:shd w:val="clear" w:color="auto" w:fill="FFFFFF"/>
              </w:rPr>
              <w:t>1（0.42%）</w:t>
            </w:r>
          </w:p>
        </w:tc>
        <w:tc>
          <w:tcPr>
            <w:tcW w:w="1810" w:type="pct"/>
            <w:tcBorders>
              <w:top w:val="nil"/>
              <w:left w:val="nil"/>
              <w:bottom w:val="nil"/>
              <w:right w:val="nil"/>
            </w:tcBorders>
          </w:tcPr>
          <w:p w14:paraId="4D7F8E10">
            <w:pPr>
              <w:widowControl/>
              <w:autoSpaceDE w:val="0"/>
              <w:jc w:val="center"/>
              <w:rPr>
                <w:rFonts w:ascii="Times New Roman" w:hAnsi="Times New Roman" w:eastAsia="Times New Roman"/>
                <w:color w:val="333333"/>
                <w:kern w:val="0"/>
                <w:sz w:val="18"/>
                <w:szCs w:val="18"/>
                <w:shd w:val="clear" w:color="auto" w:fill="FFFFFF"/>
              </w:rPr>
            </w:pPr>
            <w:r>
              <w:rPr>
                <w:rFonts w:hint="eastAsia" w:ascii="Times New Roman" w:hAnsi="Times New Roman" w:eastAsia="Times New Roman"/>
                <w:color w:val="333333"/>
                <w:kern w:val="0"/>
                <w:sz w:val="18"/>
                <w:szCs w:val="18"/>
                <w:shd w:val="clear" w:color="auto" w:fill="FFFFFF"/>
              </w:rPr>
              <w:t>7（15.56%）</w:t>
            </w:r>
          </w:p>
        </w:tc>
        <w:tc>
          <w:tcPr>
            <w:tcW w:w="546" w:type="pct"/>
            <w:tcBorders>
              <w:top w:val="nil"/>
              <w:left w:val="nil"/>
              <w:bottom w:val="nil"/>
              <w:right w:val="nil"/>
            </w:tcBorders>
          </w:tcPr>
          <w:p w14:paraId="44F15141">
            <w:pPr>
              <w:widowControl/>
              <w:autoSpaceDE w:val="0"/>
              <w:jc w:val="center"/>
              <w:rPr>
                <w:rFonts w:ascii="Times New Roman" w:hAnsi="Times New Roman" w:eastAsia="Times New Roman"/>
                <w:b w:val="0"/>
                <w:bCs w:val="0"/>
                <w:color w:val="333333"/>
                <w:kern w:val="0"/>
                <w:sz w:val="18"/>
                <w:szCs w:val="18"/>
                <w:shd w:val="clear" w:color="auto" w:fill="FFFFFF"/>
              </w:rPr>
            </w:pPr>
            <w:r>
              <w:rPr>
                <w:rFonts w:hint="eastAsia" w:ascii="Times New Roman" w:hAnsi="Times New Roman" w:eastAsia="Times New Roman"/>
                <w:b w:val="0"/>
                <w:bCs w:val="0"/>
                <w:color w:val="333333"/>
                <w:kern w:val="0"/>
                <w:sz w:val="18"/>
                <w:szCs w:val="18"/>
                <w:shd w:val="clear" w:color="auto" w:fill="FFFFFF"/>
              </w:rPr>
              <w:t>&lt;0.001</w:t>
            </w:r>
          </w:p>
        </w:tc>
      </w:tr>
      <w:tr w14:paraId="50933437">
        <w:tblPrEx>
          <w:tblBorders>
            <w:top w:val="single" w:color="auto" w:sz="12"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002" w:type="pct"/>
            <w:tcBorders>
              <w:top w:val="nil"/>
              <w:left w:val="nil"/>
              <w:bottom w:val="nil"/>
              <w:right w:val="nil"/>
            </w:tcBorders>
          </w:tcPr>
          <w:p w14:paraId="2C171B11">
            <w:pPr>
              <w:widowControl/>
              <w:autoSpaceDE w:val="0"/>
              <w:jc w:val="center"/>
              <w:rPr>
                <w:rFonts w:ascii="宋体" w:hAnsi="宋体" w:eastAsia="Times New Roman"/>
                <w:color w:val="000000"/>
                <w:kern w:val="0"/>
                <w:sz w:val="20"/>
              </w:rPr>
            </w:pPr>
            <w:r>
              <w:rPr>
                <w:rFonts w:hint="eastAsia"/>
                <w:shd w:val="clear" w:color="auto" w:fill="FFFFFF"/>
                <w:lang w:val="en-US" w:eastAsia="zh-CN"/>
              </w:rPr>
              <w:t>D</w:t>
            </w:r>
            <w:r>
              <w:rPr>
                <w:shd w:val="clear" w:color="auto" w:fill="FFFFFF"/>
              </w:rPr>
              <w:t>isease symptoms</w:t>
            </w:r>
          </w:p>
        </w:tc>
        <w:tc>
          <w:tcPr>
            <w:tcW w:w="1641" w:type="pct"/>
            <w:tcBorders>
              <w:top w:val="nil"/>
              <w:left w:val="nil"/>
              <w:bottom w:val="nil"/>
              <w:right w:val="nil"/>
            </w:tcBorders>
          </w:tcPr>
          <w:p w14:paraId="2F894483">
            <w:pPr>
              <w:widowControl/>
              <w:autoSpaceDE w:val="0"/>
              <w:jc w:val="center"/>
              <w:rPr>
                <w:rFonts w:ascii="Times New Roman" w:hAnsi="Times New Roman" w:eastAsia="Times New Roman"/>
                <w:color w:val="333333"/>
                <w:kern w:val="0"/>
                <w:sz w:val="18"/>
                <w:szCs w:val="18"/>
                <w:shd w:val="clear" w:color="auto" w:fill="FFFFFF"/>
              </w:rPr>
            </w:pPr>
          </w:p>
        </w:tc>
        <w:tc>
          <w:tcPr>
            <w:tcW w:w="1810" w:type="pct"/>
            <w:tcBorders>
              <w:top w:val="nil"/>
              <w:left w:val="nil"/>
              <w:bottom w:val="nil"/>
              <w:right w:val="nil"/>
            </w:tcBorders>
          </w:tcPr>
          <w:p w14:paraId="2DD03B80">
            <w:pPr>
              <w:widowControl/>
              <w:autoSpaceDE w:val="0"/>
              <w:jc w:val="center"/>
              <w:rPr>
                <w:rFonts w:ascii="Times New Roman" w:hAnsi="Times New Roman" w:eastAsia="Times New Roman"/>
                <w:color w:val="333333"/>
                <w:kern w:val="0"/>
                <w:sz w:val="18"/>
                <w:szCs w:val="18"/>
                <w:shd w:val="clear" w:color="auto" w:fill="FFFFFF"/>
              </w:rPr>
            </w:pPr>
          </w:p>
        </w:tc>
        <w:tc>
          <w:tcPr>
            <w:tcW w:w="546" w:type="pct"/>
            <w:tcBorders>
              <w:top w:val="nil"/>
              <w:left w:val="nil"/>
              <w:bottom w:val="nil"/>
              <w:right w:val="nil"/>
            </w:tcBorders>
          </w:tcPr>
          <w:p w14:paraId="7C94BF34">
            <w:pPr>
              <w:widowControl/>
              <w:autoSpaceDE w:val="0"/>
              <w:jc w:val="center"/>
              <w:rPr>
                <w:rFonts w:ascii="Times New Roman" w:hAnsi="Times New Roman" w:eastAsia="Times New Roman"/>
                <w:b w:val="0"/>
                <w:bCs w:val="0"/>
                <w:color w:val="333333"/>
                <w:kern w:val="0"/>
                <w:sz w:val="18"/>
                <w:szCs w:val="18"/>
                <w:shd w:val="clear" w:color="auto" w:fill="FFFFFF"/>
              </w:rPr>
            </w:pPr>
          </w:p>
        </w:tc>
      </w:tr>
      <w:tr w14:paraId="33E51561">
        <w:tblPrEx>
          <w:tblBorders>
            <w:top w:val="single" w:color="auto" w:sz="12"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002" w:type="pct"/>
            <w:tcBorders>
              <w:top w:val="nil"/>
              <w:left w:val="nil"/>
              <w:bottom w:val="nil"/>
              <w:right w:val="nil"/>
            </w:tcBorders>
          </w:tcPr>
          <w:p w14:paraId="5003AEB3">
            <w:pPr>
              <w:widowControl/>
              <w:autoSpaceDE w:val="0"/>
              <w:jc w:val="center"/>
              <w:rPr>
                <w:rFonts w:ascii="Times New Roman" w:hAnsi="Times New Roman" w:eastAsia="Times New Roman"/>
                <w:color w:val="333333"/>
                <w:kern w:val="0"/>
                <w:sz w:val="18"/>
                <w:szCs w:val="18"/>
                <w:shd w:val="clear" w:color="auto" w:fill="FFFFFF"/>
              </w:rPr>
            </w:pPr>
            <w:r>
              <w:rPr>
                <w:rFonts w:hint="eastAsia" w:ascii="Times New Roman" w:hAnsi="Times New Roman" w:eastAsia="Times New Roman"/>
                <w:color w:val="333333"/>
                <w:kern w:val="0"/>
                <w:sz w:val="18"/>
                <w:szCs w:val="18"/>
                <w:shd w:val="clear" w:color="auto" w:fill="FFFFFF"/>
              </w:rPr>
              <w:t>Cough</w:t>
            </w:r>
          </w:p>
        </w:tc>
        <w:tc>
          <w:tcPr>
            <w:tcW w:w="1641" w:type="pct"/>
            <w:tcBorders>
              <w:top w:val="nil"/>
              <w:left w:val="nil"/>
              <w:bottom w:val="nil"/>
              <w:right w:val="nil"/>
            </w:tcBorders>
          </w:tcPr>
          <w:p w14:paraId="2499F19E">
            <w:pPr>
              <w:widowControl/>
              <w:autoSpaceDE w:val="0"/>
              <w:jc w:val="center"/>
              <w:rPr>
                <w:rFonts w:ascii="Times New Roman" w:hAnsi="Times New Roman" w:eastAsia="Times New Roman"/>
                <w:color w:val="333333"/>
                <w:kern w:val="0"/>
                <w:sz w:val="18"/>
                <w:szCs w:val="18"/>
                <w:shd w:val="clear" w:color="auto" w:fill="FFFFFF"/>
              </w:rPr>
            </w:pPr>
            <w:r>
              <w:rPr>
                <w:rFonts w:hint="eastAsia" w:ascii="Times New Roman" w:hAnsi="Times New Roman" w:eastAsia="Times New Roman"/>
                <w:color w:val="333333"/>
                <w:kern w:val="0"/>
                <w:sz w:val="18"/>
                <w:szCs w:val="18"/>
                <w:shd w:val="clear" w:color="auto" w:fill="FFFFFF"/>
              </w:rPr>
              <w:t>162(68.07%)</w:t>
            </w:r>
          </w:p>
        </w:tc>
        <w:tc>
          <w:tcPr>
            <w:tcW w:w="1810" w:type="pct"/>
            <w:tcBorders>
              <w:top w:val="nil"/>
              <w:left w:val="nil"/>
              <w:bottom w:val="nil"/>
              <w:right w:val="nil"/>
            </w:tcBorders>
          </w:tcPr>
          <w:p w14:paraId="43C0BFFB">
            <w:pPr>
              <w:widowControl/>
              <w:autoSpaceDE w:val="0"/>
              <w:jc w:val="center"/>
              <w:rPr>
                <w:rFonts w:ascii="Times New Roman" w:hAnsi="Times New Roman" w:eastAsia="Times New Roman"/>
                <w:color w:val="333333"/>
                <w:kern w:val="0"/>
                <w:sz w:val="18"/>
                <w:szCs w:val="18"/>
                <w:shd w:val="clear" w:color="auto" w:fill="FFFFFF"/>
              </w:rPr>
            </w:pPr>
            <w:r>
              <w:rPr>
                <w:rFonts w:hint="eastAsia" w:ascii="Times New Roman" w:hAnsi="Times New Roman" w:eastAsia="Times New Roman"/>
                <w:color w:val="333333"/>
                <w:kern w:val="0"/>
                <w:sz w:val="18"/>
                <w:szCs w:val="18"/>
                <w:shd w:val="clear" w:color="auto" w:fill="FFFFFF"/>
              </w:rPr>
              <w:t>19(42.22%)</w:t>
            </w:r>
          </w:p>
        </w:tc>
        <w:tc>
          <w:tcPr>
            <w:tcW w:w="546" w:type="pct"/>
            <w:tcBorders>
              <w:top w:val="nil"/>
              <w:left w:val="nil"/>
              <w:bottom w:val="nil"/>
              <w:right w:val="nil"/>
            </w:tcBorders>
          </w:tcPr>
          <w:p w14:paraId="5EB2E0F9">
            <w:pPr>
              <w:widowControl/>
              <w:autoSpaceDE w:val="0"/>
              <w:jc w:val="center"/>
              <w:rPr>
                <w:rFonts w:ascii="Times New Roman" w:hAnsi="Times New Roman" w:eastAsia="Times New Roman"/>
                <w:b w:val="0"/>
                <w:bCs w:val="0"/>
                <w:color w:val="333333"/>
                <w:kern w:val="0"/>
                <w:sz w:val="18"/>
                <w:szCs w:val="18"/>
                <w:shd w:val="clear" w:color="auto" w:fill="FFFFFF"/>
              </w:rPr>
            </w:pPr>
            <w:r>
              <w:rPr>
                <w:rFonts w:hint="eastAsia" w:ascii="Times New Roman" w:hAnsi="Times New Roman" w:eastAsia="Times New Roman"/>
                <w:b w:val="0"/>
                <w:bCs w:val="0"/>
                <w:color w:val="333333"/>
                <w:kern w:val="0"/>
                <w:sz w:val="18"/>
                <w:szCs w:val="18"/>
                <w:shd w:val="clear" w:color="auto" w:fill="FFFFFF"/>
              </w:rPr>
              <w:t>0.001</w:t>
            </w:r>
          </w:p>
        </w:tc>
      </w:tr>
      <w:tr w14:paraId="25E3B3EB">
        <w:tblPrEx>
          <w:tblBorders>
            <w:top w:val="single" w:color="auto" w:sz="12"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002" w:type="pct"/>
            <w:tcBorders>
              <w:top w:val="nil"/>
              <w:left w:val="nil"/>
              <w:bottom w:val="nil"/>
              <w:right w:val="nil"/>
            </w:tcBorders>
          </w:tcPr>
          <w:p w14:paraId="6367BCE1">
            <w:pPr>
              <w:widowControl/>
              <w:autoSpaceDE w:val="0"/>
              <w:jc w:val="center"/>
              <w:rPr>
                <w:rFonts w:ascii="Times New Roman" w:hAnsi="Times New Roman" w:eastAsia="Times New Roman"/>
                <w:color w:val="333333"/>
                <w:kern w:val="0"/>
                <w:sz w:val="18"/>
                <w:szCs w:val="18"/>
                <w:shd w:val="clear" w:color="auto" w:fill="FFFFFF"/>
              </w:rPr>
            </w:pPr>
            <w:r>
              <w:rPr>
                <w:rFonts w:hint="eastAsia" w:ascii="Times New Roman" w:hAnsi="Times New Roman" w:eastAsia="Times New Roman"/>
                <w:color w:val="333333"/>
                <w:kern w:val="0"/>
                <w:sz w:val="18"/>
                <w:szCs w:val="18"/>
                <w:shd w:val="clear" w:color="auto" w:fill="FFFFFF"/>
              </w:rPr>
              <w:t>Expectoration</w:t>
            </w:r>
          </w:p>
        </w:tc>
        <w:tc>
          <w:tcPr>
            <w:tcW w:w="1641" w:type="pct"/>
            <w:tcBorders>
              <w:top w:val="nil"/>
              <w:left w:val="nil"/>
              <w:bottom w:val="nil"/>
              <w:right w:val="nil"/>
            </w:tcBorders>
          </w:tcPr>
          <w:p w14:paraId="0DB2C024">
            <w:pPr>
              <w:widowControl/>
              <w:autoSpaceDE w:val="0"/>
              <w:jc w:val="center"/>
              <w:rPr>
                <w:rFonts w:ascii="Times New Roman" w:hAnsi="Times New Roman" w:eastAsia="Times New Roman"/>
                <w:color w:val="333333"/>
                <w:kern w:val="0"/>
                <w:sz w:val="18"/>
                <w:szCs w:val="18"/>
                <w:shd w:val="clear" w:color="auto" w:fill="FFFFFF"/>
              </w:rPr>
            </w:pPr>
            <w:r>
              <w:rPr>
                <w:rFonts w:hint="eastAsia" w:ascii="Times New Roman" w:hAnsi="Times New Roman" w:eastAsia="Times New Roman"/>
                <w:color w:val="333333"/>
                <w:kern w:val="0"/>
                <w:sz w:val="18"/>
                <w:szCs w:val="18"/>
                <w:shd w:val="clear" w:color="auto" w:fill="FFFFFF"/>
              </w:rPr>
              <w:t>128(53.78%)</w:t>
            </w:r>
          </w:p>
        </w:tc>
        <w:tc>
          <w:tcPr>
            <w:tcW w:w="1810" w:type="pct"/>
            <w:tcBorders>
              <w:top w:val="nil"/>
              <w:left w:val="nil"/>
              <w:bottom w:val="nil"/>
              <w:right w:val="nil"/>
            </w:tcBorders>
          </w:tcPr>
          <w:p w14:paraId="17166199">
            <w:pPr>
              <w:widowControl/>
              <w:autoSpaceDE w:val="0"/>
              <w:jc w:val="center"/>
              <w:rPr>
                <w:rFonts w:ascii="Times New Roman" w:hAnsi="Times New Roman" w:eastAsia="Times New Roman"/>
                <w:color w:val="333333"/>
                <w:kern w:val="0"/>
                <w:sz w:val="18"/>
                <w:szCs w:val="18"/>
                <w:shd w:val="clear" w:color="auto" w:fill="FFFFFF"/>
              </w:rPr>
            </w:pPr>
            <w:r>
              <w:rPr>
                <w:rFonts w:hint="eastAsia" w:ascii="Times New Roman" w:hAnsi="Times New Roman" w:eastAsia="Times New Roman"/>
                <w:color w:val="333333"/>
                <w:kern w:val="0"/>
                <w:sz w:val="18"/>
                <w:szCs w:val="18"/>
                <w:shd w:val="clear" w:color="auto" w:fill="FFFFFF"/>
              </w:rPr>
              <w:t>13(28.89%)</w:t>
            </w:r>
          </w:p>
        </w:tc>
        <w:tc>
          <w:tcPr>
            <w:tcW w:w="546" w:type="pct"/>
            <w:tcBorders>
              <w:top w:val="nil"/>
              <w:left w:val="nil"/>
              <w:bottom w:val="nil"/>
              <w:right w:val="nil"/>
            </w:tcBorders>
          </w:tcPr>
          <w:p w14:paraId="1635CB91">
            <w:pPr>
              <w:widowControl/>
              <w:autoSpaceDE w:val="0"/>
              <w:jc w:val="center"/>
              <w:rPr>
                <w:rFonts w:ascii="Times New Roman" w:hAnsi="Times New Roman" w:eastAsia="Times New Roman"/>
                <w:b w:val="0"/>
                <w:bCs w:val="0"/>
                <w:color w:val="333333"/>
                <w:kern w:val="0"/>
                <w:sz w:val="18"/>
                <w:szCs w:val="18"/>
                <w:shd w:val="clear" w:color="auto" w:fill="FFFFFF"/>
              </w:rPr>
            </w:pPr>
            <w:r>
              <w:rPr>
                <w:rFonts w:hint="eastAsia" w:ascii="Times New Roman" w:hAnsi="Times New Roman" w:eastAsia="Times New Roman"/>
                <w:b w:val="0"/>
                <w:bCs w:val="0"/>
                <w:color w:val="333333"/>
                <w:kern w:val="0"/>
                <w:sz w:val="18"/>
                <w:szCs w:val="18"/>
                <w:shd w:val="clear" w:color="auto" w:fill="FFFFFF"/>
              </w:rPr>
              <w:t>0.002</w:t>
            </w:r>
          </w:p>
        </w:tc>
      </w:tr>
      <w:tr w14:paraId="2D44E00A">
        <w:tblPrEx>
          <w:tblBorders>
            <w:top w:val="single" w:color="auto" w:sz="12"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002" w:type="pct"/>
            <w:tcBorders>
              <w:top w:val="nil"/>
              <w:left w:val="nil"/>
              <w:bottom w:val="nil"/>
              <w:right w:val="nil"/>
            </w:tcBorders>
          </w:tcPr>
          <w:p w14:paraId="75F5DE56">
            <w:pPr>
              <w:widowControl/>
              <w:autoSpaceDE w:val="0"/>
              <w:jc w:val="center"/>
              <w:rPr>
                <w:rFonts w:ascii="Times New Roman" w:hAnsi="Times New Roman" w:eastAsia="Times New Roman"/>
                <w:color w:val="333333"/>
                <w:kern w:val="0"/>
                <w:sz w:val="18"/>
                <w:szCs w:val="18"/>
                <w:shd w:val="clear" w:color="auto" w:fill="FFFFFF"/>
              </w:rPr>
            </w:pPr>
            <w:r>
              <w:rPr>
                <w:rFonts w:hint="eastAsia" w:ascii="Times New Roman" w:hAnsi="Times New Roman" w:eastAsia="Times New Roman"/>
                <w:color w:val="333333"/>
                <w:kern w:val="0"/>
                <w:sz w:val="18"/>
                <w:szCs w:val="18"/>
                <w:shd w:val="clear" w:color="auto" w:fill="FFFFFF"/>
              </w:rPr>
              <w:t>Fever</w:t>
            </w:r>
          </w:p>
        </w:tc>
        <w:tc>
          <w:tcPr>
            <w:tcW w:w="1641" w:type="pct"/>
            <w:tcBorders>
              <w:top w:val="nil"/>
              <w:left w:val="nil"/>
              <w:bottom w:val="nil"/>
              <w:right w:val="nil"/>
            </w:tcBorders>
          </w:tcPr>
          <w:p w14:paraId="46F6440C">
            <w:pPr>
              <w:widowControl/>
              <w:autoSpaceDE w:val="0"/>
              <w:jc w:val="center"/>
              <w:rPr>
                <w:rFonts w:ascii="Times New Roman" w:hAnsi="Times New Roman" w:eastAsia="Times New Roman"/>
                <w:color w:val="333333"/>
                <w:kern w:val="0"/>
                <w:sz w:val="18"/>
                <w:szCs w:val="18"/>
                <w:shd w:val="clear" w:color="auto" w:fill="FFFFFF"/>
              </w:rPr>
            </w:pPr>
            <w:r>
              <w:rPr>
                <w:rFonts w:hint="eastAsia" w:ascii="Times New Roman" w:hAnsi="Times New Roman" w:eastAsia="Times New Roman"/>
                <w:color w:val="333333"/>
                <w:kern w:val="0"/>
                <w:sz w:val="18"/>
                <w:szCs w:val="18"/>
                <w:shd w:val="clear" w:color="auto" w:fill="FFFFFF"/>
              </w:rPr>
              <w:t>84(35.29%)</w:t>
            </w:r>
          </w:p>
        </w:tc>
        <w:tc>
          <w:tcPr>
            <w:tcW w:w="1810" w:type="pct"/>
            <w:tcBorders>
              <w:top w:val="nil"/>
              <w:left w:val="nil"/>
              <w:bottom w:val="nil"/>
              <w:right w:val="nil"/>
            </w:tcBorders>
          </w:tcPr>
          <w:p w14:paraId="4556AC5F">
            <w:pPr>
              <w:widowControl/>
              <w:autoSpaceDE w:val="0"/>
              <w:jc w:val="center"/>
              <w:rPr>
                <w:rFonts w:ascii="Times New Roman" w:hAnsi="Times New Roman" w:eastAsia="Times New Roman"/>
                <w:color w:val="333333"/>
                <w:kern w:val="0"/>
                <w:sz w:val="18"/>
                <w:szCs w:val="18"/>
                <w:shd w:val="clear" w:color="auto" w:fill="FFFFFF"/>
              </w:rPr>
            </w:pPr>
            <w:r>
              <w:rPr>
                <w:rFonts w:hint="eastAsia" w:ascii="Times New Roman" w:hAnsi="Times New Roman" w:eastAsia="Times New Roman"/>
                <w:color w:val="333333"/>
                <w:kern w:val="0"/>
                <w:sz w:val="18"/>
                <w:szCs w:val="18"/>
                <w:shd w:val="clear" w:color="auto" w:fill="FFFFFF"/>
              </w:rPr>
              <w:t>6(13.33%)</w:t>
            </w:r>
          </w:p>
        </w:tc>
        <w:tc>
          <w:tcPr>
            <w:tcW w:w="546" w:type="pct"/>
            <w:tcBorders>
              <w:top w:val="nil"/>
              <w:left w:val="nil"/>
              <w:bottom w:val="nil"/>
              <w:right w:val="nil"/>
            </w:tcBorders>
          </w:tcPr>
          <w:p w14:paraId="31E1AD4D">
            <w:pPr>
              <w:widowControl/>
              <w:autoSpaceDE w:val="0"/>
              <w:jc w:val="center"/>
              <w:rPr>
                <w:rFonts w:ascii="Times New Roman" w:hAnsi="Times New Roman" w:eastAsia="Times New Roman"/>
                <w:b w:val="0"/>
                <w:bCs w:val="0"/>
                <w:color w:val="333333"/>
                <w:kern w:val="0"/>
                <w:sz w:val="18"/>
                <w:szCs w:val="18"/>
                <w:shd w:val="clear" w:color="auto" w:fill="FFFFFF"/>
              </w:rPr>
            </w:pPr>
            <w:r>
              <w:rPr>
                <w:rFonts w:hint="eastAsia" w:ascii="Times New Roman" w:hAnsi="Times New Roman" w:eastAsia="Times New Roman"/>
                <w:b w:val="0"/>
                <w:bCs w:val="0"/>
                <w:color w:val="333333"/>
                <w:kern w:val="0"/>
                <w:sz w:val="18"/>
                <w:szCs w:val="18"/>
                <w:shd w:val="clear" w:color="auto" w:fill="FFFFFF"/>
              </w:rPr>
              <w:t>&lt;0.001</w:t>
            </w:r>
          </w:p>
        </w:tc>
      </w:tr>
      <w:tr w14:paraId="07609101">
        <w:tblPrEx>
          <w:tblBorders>
            <w:top w:val="single" w:color="auto" w:sz="12"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002" w:type="pct"/>
            <w:tcBorders>
              <w:top w:val="nil"/>
              <w:left w:val="nil"/>
              <w:bottom w:val="nil"/>
              <w:right w:val="nil"/>
            </w:tcBorders>
          </w:tcPr>
          <w:p w14:paraId="2066B4BF">
            <w:pPr>
              <w:widowControl/>
              <w:autoSpaceDE w:val="0"/>
              <w:jc w:val="center"/>
              <w:rPr>
                <w:rFonts w:ascii="Times New Roman" w:hAnsi="Times New Roman" w:eastAsia="Times New Roman"/>
                <w:color w:val="333333"/>
                <w:kern w:val="0"/>
                <w:sz w:val="18"/>
                <w:szCs w:val="18"/>
                <w:shd w:val="clear" w:color="auto" w:fill="FFFFFF"/>
              </w:rPr>
            </w:pPr>
            <w:r>
              <w:rPr>
                <w:rFonts w:hint="eastAsia" w:ascii="Times New Roman" w:hAnsi="Times New Roman" w:eastAsia="Times New Roman"/>
                <w:color w:val="333333"/>
                <w:kern w:val="0"/>
                <w:sz w:val="18"/>
                <w:szCs w:val="18"/>
                <w:shd w:val="clear" w:color="auto" w:fill="FFFFFF"/>
              </w:rPr>
              <w:t>Asthma</w:t>
            </w:r>
          </w:p>
        </w:tc>
        <w:tc>
          <w:tcPr>
            <w:tcW w:w="1641" w:type="pct"/>
            <w:tcBorders>
              <w:top w:val="nil"/>
              <w:left w:val="nil"/>
              <w:bottom w:val="nil"/>
              <w:right w:val="nil"/>
            </w:tcBorders>
          </w:tcPr>
          <w:p w14:paraId="13011843">
            <w:pPr>
              <w:widowControl/>
              <w:autoSpaceDE w:val="0"/>
              <w:jc w:val="center"/>
              <w:rPr>
                <w:rFonts w:ascii="Times New Roman" w:hAnsi="Times New Roman" w:eastAsia="Times New Roman"/>
                <w:color w:val="333333"/>
                <w:kern w:val="0"/>
                <w:sz w:val="18"/>
                <w:szCs w:val="18"/>
                <w:shd w:val="clear" w:color="auto" w:fill="FFFFFF"/>
              </w:rPr>
            </w:pPr>
            <w:r>
              <w:rPr>
                <w:rFonts w:hint="eastAsia" w:ascii="Times New Roman" w:hAnsi="Times New Roman" w:eastAsia="Times New Roman"/>
                <w:color w:val="333333"/>
                <w:kern w:val="0"/>
                <w:sz w:val="18"/>
                <w:szCs w:val="18"/>
                <w:shd w:val="clear" w:color="auto" w:fill="FFFFFF"/>
              </w:rPr>
              <w:t>68（28.57%)</w:t>
            </w:r>
          </w:p>
        </w:tc>
        <w:tc>
          <w:tcPr>
            <w:tcW w:w="1810" w:type="pct"/>
            <w:tcBorders>
              <w:top w:val="nil"/>
              <w:left w:val="nil"/>
              <w:bottom w:val="nil"/>
              <w:right w:val="nil"/>
            </w:tcBorders>
          </w:tcPr>
          <w:p w14:paraId="799C5A82">
            <w:pPr>
              <w:widowControl/>
              <w:autoSpaceDE w:val="0"/>
              <w:jc w:val="center"/>
              <w:rPr>
                <w:rFonts w:ascii="Times New Roman" w:hAnsi="Times New Roman" w:eastAsia="Times New Roman"/>
                <w:color w:val="333333"/>
                <w:kern w:val="0"/>
                <w:sz w:val="18"/>
                <w:szCs w:val="18"/>
                <w:shd w:val="clear" w:color="auto" w:fill="FFFFFF"/>
              </w:rPr>
            </w:pPr>
            <w:r>
              <w:rPr>
                <w:rFonts w:hint="eastAsia" w:ascii="Times New Roman" w:hAnsi="Times New Roman" w:eastAsia="Times New Roman"/>
                <w:color w:val="333333"/>
                <w:kern w:val="0"/>
                <w:sz w:val="18"/>
                <w:szCs w:val="18"/>
                <w:shd w:val="clear" w:color="auto" w:fill="FFFFFF"/>
              </w:rPr>
              <w:t>5(11.11%)</w:t>
            </w:r>
          </w:p>
        </w:tc>
        <w:tc>
          <w:tcPr>
            <w:tcW w:w="546" w:type="pct"/>
            <w:tcBorders>
              <w:top w:val="nil"/>
              <w:left w:val="nil"/>
              <w:bottom w:val="nil"/>
              <w:right w:val="nil"/>
            </w:tcBorders>
          </w:tcPr>
          <w:p w14:paraId="58935EC4">
            <w:pPr>
              <w:widowControl/>
              <w:autoSpaceDE w:val="0"/>
              <w:jc w:val="center"/>
              <w:rPr>
                <w:rFonts w:ascii="Times New Roman" w:hAnsi="Times New Roman" w:eastAsia="Times New Roman"/>
                <w:b w:val="0"/>
                <w:bCs w:val="0"/>
                <w:color w:val="333333"/>
                <w:kern w:val="0"/>
                <w:sz w:val="18"/>
                <w:szCs w:val="18"/>
                <w:shd w:val="clear" w:color="auto" w:fill="FFFFFF"/>
              </w:rPr>
            </w:pPr>
            <w:r>
              <w:rPr>
                <w:rFonts w:hint="eastAsia" w:ascii="Times New Roman" w:hAnsi="Times New Roman" w:eastAsia="Times New Roman"/>
                <w:b w:val="0"/>
                <w:bCs w:val="0"/>
                <w:color w:val="333333"/>
                <w:kern w:val="0"/>
                <w:sz w:val="18"/>
                <w:szCs w:val="18"/>
                <w:shd w:val="clear" w:color="auto" w:fill="FFFFFF"/>
              </w:rPr>
              <w:t>0.014</w:t>
            </w:r>
          </w:p>
        </w:tc>
      </w:tr>
      <w:tr w14:paraId="73A57E6B">
        <w:tblPrEx>
          <w:tblBorders>
            <w:top w:val="single" w:color="auto" w:sz="12"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002" w:type="pct"/>
            <w:tcBorders>
              <w:top w:val="nil"/>
              <w:left w:val="nil"/>
              <w:bottom w:val="nil"/>
              <w:right w:val="nil"/>
            </w:tcBorders>
          </w:tcPr>
          <w:p w14:paraId="6032D206">
            <w:pPr>
              <w:widowControl/>
              <w:autoSpaceDE w:val="0"/>
              <w:jc w:val="center"/>
              <w:rPr>
                <w:rFonts w:ascii="Times New Roman" w:hAnsi="Times New Roman" w:eastAsia="Times New Roman"/>
                <w:color w:val="333333"/>
                <w:kern w:val="0"/>
                <w:sz w:val="18"/>
                <w:szCs w:val="18"/>
                <w:shd w:val="clear" w:color="auto" w:fill="FFFFFF"/>
              </w:rPr>
            </w:pPr>
            <w:r>
              <w:rPr>
                <w:rFonts w:hint="eastAsia" w:ascii="Times New Roman" w:hAnsi="Times New Roman" w:eastAsia="Times New Roman"/>
                <w:color w:val="333333"/>
                <w:kern w:val="0"/>
                <w:sz w:val="18"/>
                <w:szCs w:val="18"/>
                <w:shd w:val="clear" w:color="auto" w:fill="FFFFFF"/>
              </w:rPr>
              <w:t>Chilly</w:t>
            </w:r>
          </w:p>
        </w:tc>
        <w:tc>
          <w:tcPr>
            <w:tcW w:w="1641" w:type="pct"/>
            <w:tcBorders>
              <w:top w:val="nil"/>
              <w:left w:val="nil"/>
              <w:bottom w:val="nil"/>
              <w:right w:val="nil"/>
            </w:tcBorders>
          </w:tcPr>
          <w:p w14:paraId="71CBAFD8">
            <w:pPr>
              <w:widowControl/>
              <w:autoSpaceDE w:val="0"/>
              <w:jc w:val="center"/>
              <w:rPr>
                <w:rFonts w:ascii="Times New Roman" w:hAnsi="Times New Roman" w:eastAsia="Times New Roman"/>
                <w:color w:val="333333"/>
                <w:kern w:val="0"/>
                <w:sz w:val="18"/>
                <w:szCs w:val="18"/>
                <w:shd w:val="clear" w:color="auto" w:fill="FFFFFF"/>
              </w:rPr>
            </w:pPr>
            <w:r>
              <w:rPr>
                <w:rFonts w:hint="eastAsia" w:ascii="Times New Roman" w:hAnsi="Times New Roman" w:eastAsia="Times New Roman"/>
                <w:color w:val="333333"/>
                <w:kern w:val="0"/>
                <w:sz w:val="18"/>
                <w:szCs w:val="18"/>
                <w:shd w:val="clear" w:color="auto" w:fill="FFFFFF"/>
              </w:rPr>
              <w:t>37(15.55%)</w:t>
            </w:r>
          </w:p>
        </w:tc>
        <w:tc>
          <w:tcPr>
            <w:tcW w:w="1810" w:type="pct"/>
            <w:tcBorders>
              <w:top w:val="nil"/>
              <w:left w:val="nil"/>
              <w:bottom w:val="nil"/>
              <w:right w:val="nil"/>
            </w:tcBorders>
          </w:tcPr>
          <w:p w14:paraId="432CFF57">
            <w:pPr>
              <w:widowControl/>
              <w:autoSpaceDE w:val="0"/>
              <w:jc w:val="center"/>
              <w:rPr>
                <w:rFonts w:ascii="Times New Roman" w:hAnsi="Times New Roman" w:eastAsia="Times New Roman"/>
                <w:color w:val="333333"/>
                <w:kern w:val="0"/>
                <w:sz w:val="18"/>
                <w:szCs w:val="18"/>
                <w:shd w:val="clear" w:color="auto" w:fill="FFFFFF"/>
              </w:rPr>
            </w:pPr>
            <w:r>
              <w:rPr>
                <w:rFonts w:hint="eastAsia" w:ascii="Times New Roman" w:hAnsi="Times New Roman" w:eastAsia="Times New Roman"/>
                <w:color w:val="333333"/>
                <w:kern w:val="0"/>
                <w:sz w:val="18"/>
                <w:szCs w:val="18"/>
                <w:shd w:val="clear" w:color="auto" w:fill="FFFFFF"/>
              </w:rPr>
              <w:t>3(6.67%)</w:t>
            </w:r>
          </w:p>
        </w:tc>
        <w:tc>
          <w:tcPr>
            <w:tcW w:w="546" w:type="pct"/>
            <w:tcBorders>
              <w:top w:val="nil"/>
              <w:left w:val="nil"/>
              <w:bottom w:val="nil"/>
              <w:right w:val="nil"/>
            </w:tcBorders>
          </w:tcPr>
          <w:p w14:paraId="46EFBC31">
            <w:pPr>
              <w:widowControl/>
              <w:autoSpaceDE w:val="0"/>
              <w:jc w:val="center"/>
              <w:rPr>
                <w:rFonts w:ascii="Times New Roman" w:hAnsi="Times New Roman" w:eastAsia="Times New Roman"/>
                <w:b w:val="0"/>
                <w:bCs w:val="0"/>
                <w:color w:val="333333"/>
                <w:kern w:val="0"/>
                <w:sz w:val="18"/>
                <w:szCs w:val="18"/>
                <w:shd w:val="clear" w:color="auto" w:fill="FFFFFF"/>
              </w:rPr>
            </w:pPr>
            <w:r>
              <w:rPr>
                <w:rFonts w:hint="eastAsia" w:ascii="Times New Roman" w:hAnsi="Times New Roman" w:eastAsia="Times New Roman"/>
                <w:b w:val="0"/>
                <w:bCs w:val="0"/>
                <w:color w:val="333333"/>
                <w:kern w:val="0"/>
                <w:sz w:val="18"/>
                <w:szCs w:val="18"/>
                <w:shd w:val="clear" w:color="auto" w:fill="FFFFFF"/>
              </w:rPr>
              <w:t>0.182</w:t>
            </w:r>
          </w:p>
        </w:tc>
      </w:tr>
      <w:tr w14:paraId="336FCD38">
        <w:tblPrEx>
          <w:tblBorders>
            <w:top w:val="single" w:color="auto" w:sz="12"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002" w:type="pct"/>
            <w:tcBorders>
              <w:top w:val="nil"/>
              <w:left w:val="nil"/>
              <w:bottom w:val="nil"/>
              <w:right w:val="nil"/>
            </w:tcBorders>
          </w:tcPr>
          <w:p w14:paraId="66B2C374">
            <w:pPr>
              <w:widowControl/>
              <w:autoSpaceDE w:val="0"/>
              <w:jc w:val="center"/>
              <w:rPr>
                <w:rFonts w:ascii="Times New Roman" w:hAnsi="Times New Roman" w:eastAsia="Times New Roman"/>
                <w:color w:val="333333"/>
                <w:kern w:val="0"/>
                <w:sz w:val="18"/>
                <w:szCs w:val="18"/>
                <w:shd w:val="clear" w:color="auto" w:fill="FFFFFF"/>
              </w:rPr>
            </w:pPr>
            <w:r>
              <w:rPr>
                <w:rFonts w:hint="eastAsia" w:ascii="Times New Roman" w:hAnsi="Times New Roman" w:eastAsia="Times New Roman"/>
                <w:color w:val="333333"/>
                <w:kern w:val="0"/>
                <w:sz w:val="18"/>
                <w:szCs w:val="18"/>
                <w:shd w:val="clear" w:color="auto" w:fill="FFFFFF"/>
              </w:rPr>
              <w:t>Fatigue</w:t>
            </w:r>
          </w:p>
        </w:tc>
        <w:tc>
          <w:tcPr>
            <w:tcW w:w="1641" w:type="pct"/>
            <w:tcBorders>
              <w:top w:val="nil"/>
              <w:left w:val="nil"/>
              <w:bottom w:val="nil"/>
              <w:right w:val="nil"/>
            </w:tcBorders>
          </w:tcPr>
          <w:p w14:paraId="76B08DF4">
            <w:pPr>
              <w:widowControl/>
              <w:autoSpaceDE w:val="0"/>
              <w:jc w:val="center"/>
              <w:rPr>
                <w:rFonts w:ascii="Times New Roman" w:hAnsi="Times New Roman" w:eastAsia="Times New Roman"/>
                <w:color w:val="333333"/>
                <w:kern w:val="0"/>
                <w:sz w:val="18"/>
                <w:szCs w:val="18"/>
                <w:shd w:val="clear" w:color="auto" w:fill="FFFFFF"/>
              </w:rPr>
            </w:pPr>
            <w:r>
              <w:rPr>
                <w:rFonts w:hint="eastAsia" w:ascii="Times New Roman" w:hAnsi="Times New Roman" w:eastAsia="Times New Roman"/>
                <w:color w:val="333333"/>
                <w:kern w:val="0"/>
                <w:sz w:val="18"/>
                <w:szCs w:val="18"/>
                <w:shd w:val="clear" w:color="auto" w:fill="FFFFFF"/>
              </w:rPr>
              <w:t>35(14.71%)</w:t>
            </w:r>
          </w:p>
        </w:tc>
        <w:tc>
          <w:tcPr>
            <w:tcW w:w="1810" w:type="pct"/>
            <w:tcBorders>
              <w:top w:val="nil"/>
              <w:left w:val="nil"/>
              <w:bottom w:val="nil"/>
              <w:right w:val="nil"/>
            </w:tcBorders>
          </w:tcPr>
          <w:p w14:paraId="77BA15E0">
            <w:pPr>
              <w:widowControl/>
              <w:autoSpaceDE w:val="0"/>
              <w:jc w:val="center"/>
              <w:rPr>
                <w:rFonts w:ascii="Times New Roman" w:hAnsi="Times New Roman" w:eastAsia="Times New Roman"/>
                <w:color w:val="333333"/>
                <w:kern w:val="0"/>
                <w:sz w:val="18"/>
                <w:szCs w:val="18"/>
                <w:shd w:val="clear" w:color="auto" w:fill="FFFFFF"/>
              </w:rPr>
            </w:pPr>
            <w:r>
              <w:rPr>
                <w:rFonts w:hint="eastAsia" w:ascii="Times New Roman" w:hAnsi="Times New Roman" w:eastAsia="Times New Roman"/>
                <w:color w:val="333333"/>
                <w:kern w:val="0"/>
                <w:sz w:val="18"/>
                <w:szCs w:val="18"/>
                <w:shd w:val="clear" w:color="auto" w:fill="FFFFFF"/>
              </w:rPr>
              <w:t>5(11.11%)</w:t>
            </w:r>
          </w:p>
        </w:tc>
        <w:tc>
          <w:tcPr>
            <w:tcW w:w="546" w:type="pct"/>
            <w:tcBorders>
              <w:top w:val="nil"/>
              <w:left w:val="nil"/>
              <w:bottom w:val="nil"/>
              <w:right w:val="nil"/>
            </w:tcBorders>
          </w:tcPr>
          <w:p w14:paraId="44A0FF08">
            <w:pPr>
              <w:widowControl/>
              <w:autoSpaceDE w:val="0"/>
              <w:jc w:val="center"/>
              <w:rPr>
                <w:rFonts w:ascii="Times New Roman" w:hAnsi="Times New Roman" w:eastAsia="Times New Roman"/>
                <w:b w:val="0"/>
                <w:bCs w:val="0"/>
                <w:color w:val="333333"/>
                <w:kern w:val="0"/>
                <w:sz w:val="18"/>
                <w:szCs w:val="18"/>
                <w:shd w:val="clear" w:color="auto" w:fill="FFFFFF"/>
              </w:rPr>
            </w:pPr>
            <w:r>
              <w:rPr>
                <w:rFonts w:hint="eastAsia" w:ascii="Times New Roman" w:hAnsi="Times New Roman" w:eastAsia="Times New Roman"/>
                <w:b w:val="0"/>
                <w:bCs w:val="0"/>
                <w:color w:val="333333"/>
                <w:kern w:val="0"/>
                <w:sz w:val="18"/>
                <w:szCs w:val="18"/>
                <w:shd w:val="clear" w:color="auto" w:fill="FFFFFF"/>
              </w:rPr>
              <w:t>0.526</w:t>
            </w:r>
          </w:p>
        </w:tc>
      </w:tr>
      <w:tr w14:paraId="7097F77E">
        <w:tblPrEx>
          <w:tblBorders>
            <w:top w:val="single" w:color="auto" w:sz="12"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002" w:type="pct"/>
            <w:tcBorders>
              <w:top w:val="nil"/>
              <w:left w:val="nil"/>
              <w:bottom w:val="nil"/>
              <w:right w:val="nil"/>
            </w:tcBorders>
          </w:tcPr>
          <w:p w14:paraId="318BFDC2">
            <w:pPr>
              <w:widowControl/>
              <w:autoSpaceDE w:val="0"/>
              <w:jc w:val="center"/>
              <w:rPr>
                <w:rFonts w:ascii="Times New Roman" w:hAnsi="Times New Roman" w:eastAsia="Times New Roman"/>
                <w:color w:val="333333"/>
                <w:kern w:val="0"/>
                <w:sz w:val="18"/>
                <w:szCs w:val="18"/>
                <w:shd w:val="clear" w:color="auto" w:fill="FFFFFF"/>
              </w:rPr>
            </w:pPr>
            <w:r>
              <w:rPr>
                <w:rFonts w:hint="eastAsia" w:ascii="Times New Roman" w:hAnsi="Times New Roman" w:eastAsia="Times New Roman"/>
                <w:color w:val="333333"/>
                <w:kern w:val="0"/>
                <w:sz w:val="18"/>
                <w:szCs w:val="18"/>
                <w:shd w:val="clear" w:color="auto" w:fill="FFFFFF"/>
              </w:rPr>
              <w:t>Chest pain</w:t>
            </w:r>
          </w:p>
        </w:tc>
        <w:tc>
          <w:tcPr>
            <w:tcW w:w="1641" w:type="pct"/>
            <w:tcBorders>
              <w:top w:val="nil"/>
              <w:left w:val="nil"/>
              <w:bottom w:val="nil"/>
              <w:right w:val="nil"/>
            </w:tcBorders>
          </w:tcPr>
          <w:p w14:paraId="14C5E515">
            <w:pPr>
              <w:widowControl/>
              <w:autoSpaceDE w:val="0"/>
              <w:jc w:val="center"/>
              <w:rPr>
                <w:rFonts w:ascii="Times New Roman" w:hAnsi="Times New Roman" w:eastAsia="Times New Roman"/>
                <w:color w:val="333333"/>
                <w:kern w:val="0"/>
                <w:sz w:val="18"/>
                <w:szCs w:val="18"/>
                <w:shd w:val="clear" w:color="auto" w:fill="FFFFFF"/>
              </w:rPr>
            </w:pPr>
            <w:r>
              <w:rPr>
                <w:rFonts w:hint="eastAsia" w:ascii="Times New Roman" w:hAnsi="Times New Roman" w:eastAsia="Times New Roman"/>
                <w:color w:val="333333"/>
                <w:kern w:val="0"/>
                <w:sz w:val="18"/>
                <w:szCs w:val="18"/>
                <w:shd w:val="clear" w:color="auto" w:fill="FFFFFF"/>
              </w:rPr>
              <w:t>33(13.87%)</w:t>
            </w:r>
          </w:p>
        </w:tc>
        <w:tc>
          <w:tcPr>
            <w:tcW w:w="1810" w:type="pct"/>
            <w:tcBorders>
              <w:top w:val="nil"/>
              <w:left w:val="nil"/>
              <w:bottom w:val="nil"/>
              <w:right w:val="nil"/>
            </w:tcBorders>
          </w:tcPr>
          <w:p w14:paraId="5FF353FE">
            <w:pPr>
              <w:widowControl/>
              <w:autoSpaceDE w:val="0"/>
              <w:jc w:val="center"/>
              <w:rPr>
                <w:rFonts w:ascii="Times New Roman" w:hAnsi="Times New Roman" w:eastAsia="Times New Roman"/>
                <w:color w:val="333333"/>
                <w:kern w:val="0"/>
                <w:sz w:val="18"/>
                <w:szCs w:val="18"/>
                <w:shd w:val="clear" w:color="auto" w:fill="FFFFFF"/>
              </w:rPr>
            </w:pPr>
            <w:r>
              <w:rPr>
                <w:rFonts w:hint="eastAsia" w:ascii="Times New Roman" w:hAnsi="Times New Roman" w:eastAsia="Times New Roman"/>
                <w:color w:val="333333"/>
                <w:kern w:val="0"/>
                <w:sz w:val="18"/>
                <w:szCs w:val="18"/>
                <w:shd w:val="clear" w:color="auto" w:fill="FFFFFF"/>
              </w:rPr>
              <w:t>4(8.89%)</w:t>
            </w:r>
          </w:p>
        </w:tc>
        <w:tc>
          <w:tcPr>
            <w:tcW w:w="546" w:type="pct"/>
            <w:tcBorders>
              <w:top w:val="nil"/>
              <w:left w:val="nil"/>
              <w:bottom w:val="nil"/>
              <w:right w:val="nil"/>
            </w:tcBorders>
          </w:tcPr>
          <w:p w14:paraId="70BDDB2C">
            <w:pPr>
              <w:widowControl/>
              <w:autoSpaceDE w:val="0"/>
              <w:jc w:val="center"/>
              <w:rPr>
                <w:rFonts w:ascii="Times New Roman" w:hAnsi="Times New Roman" w:eastAsia="Times New Roman"/>
                <w:color w:val="333333"/>
                <w:kern w:val="0"/>
                <w:sz w:val="18"/>
                <w:szCs w:val="18"/>
                <w:shd w:val="clear" w:color="auto" w:fill="FFFFFF"/>
              </w:rPr>
            </w:pPr>
            <w:r>
              <w:rPr>
                <w:rFonts w:hint="eastAsia" w:ascii="Times New Roman" w:hAnsi="Times New Roman" w:eastAsia="Times New Roman"/>
                <w:color w:val="333333"/>
                <w:kern w:val="0"/>
                <w:sz w:val="18"/>
                <w:szCs w:val="18"/>
                <w:shd w:val="clear" w:color="auto" w:fill="FFFFFF"/>
              </w:rPr>
              <w:t>0.505</w:t>
            </w:r>
          </w:p>
        </w:tc>
      </w:tr>
      <w:tr w14:paraId="2CF9E39E">
        <w:tblPrEx>
          <w:tblBorders>
            <w:top w:val="single" w:color="auto" w:sz="12"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002" w:type="pct"/>
            <w:tcBorders>
              <w:top w:val="nil"/>
              <w:left w:val="nil"/>
              <w:bottom w:val="nil"/>
              <w:right w:val="nil"/>
            </w:tcBorders>
          </w:tcPr>
          <w:p w14:paraId="73869040">
            <w:pPr>
              <w:widowControl/>
              <w:autoSpaceDE w:val="0"/>
              <w:jc w:val="center"/>
              <w:rPr>
                <w:rFonts w:ascii="Times New Roman" w:hAnsi="Times New Roman" w:eastAsia="Times New Roman"/>
                <w:color w:val="333333"/>
                <w:kern w:val="0"/>
                <w:sz w:val="18"/>
                <w:szCs w:val="18"/>
                <w:shd w:val="clear" w:color="auto" w:fill="FFFFFF"/>
              </w:rPr>
            </w:pPr>
            <w:bookmarkStart w:id="2" w:name="OLE_LINK69"/>
            <w:r>
              <w:rPr>
                <w:rFonts w:hint="eastAsia" w:ascii="Times New Roman" w:hAnsi="Times New Roman" w:eastAsia="Times New Roman"/>
                <w:color w:val="333333"/>
                <w:kern w:val="0"/>
                <w:sz w:val="18"/>
                <w:szCs w:val="18"/>
                <w:shd w:val="clear" w:color="auto" w:fill="FFFFFF"/>
              </w:rPr>
              <w:t>Chest distress</w:t>
            </w:r>
            <w:bookmarkEnd w:id="2"/>
          </w:p>
        </w:tc>
        <w:tc>
          <w:tcPr>
            <w:tcW w:w="1641" w:type="pct"/>
            <w:tcBorders>
              <w:top w:val="nil"/>
              <w:left w:val="nil"/>
              <w:bottom w:val="nil"/>
              <w:right w:val="nil"/>
            </w:tcBorders>
          </w:tcPr>
          <w:p w14:paraId="002938AE">
            <w:pPr>
              <w:widowControl/>
              <w:autoSpaceDE w:val="0"/>
              <w:jc w:val="center"/>
              <w:rPr>
                <w:rFonts w:ascii="Times New Roman" w:hAnsi="Times New Roman" w:eastAsia="Times New Roman"/>
                <w:color w:val="333333"/>
                <w:kern w:val="0"/>
                <w:sz w:val="18"/>
                <w:szCs w:val="18"/>
                <w:shd w:val="clear" w:color="auto" w:fill="FFFFFF"/>
              </w:rPr>
            </w:pPr>
            <w:r>
              <w:rPr>
                <w:rFonts w:hint="eastAsia" w:ascii="Times New Roman" w:hAnsi="Times New Roman" w:eastAsia="Times New Roman"/>
                <w:color w:val="333333"/>
                <w:kern w:val="0"/>
                <w:sz w:val="18"/>
                <w:szCs w:val="18"/>
                <w:shd w:val="clear" w:color="auto" w:fill="FFFFFF"/>
              </w:rPr>
              <w:t>32(13.45%)</w:t>
            </w:r>
          </w:p>
        </w:tc>
        <w:tc>
          <w:tcPr>
            <w:tcW w:w="1810" w:type="pct"/>
            <w:tcBorders>
              <w:top w:val="nil"/>
              <w:left w:val="nil"/>
              <w:bottom w:val="nil"/>
              <w:right w:val="nil"/>
            </w:tcBorders>
          </w:tcPr>
          <w:p w14:paraId="3B6FDB1D">
            <w:pPr>
              <w:widowControl/>
              <w:autoSpaceDE w:val="0"/>
              <w:jc w:val="center"/>
              <w:rPr>
                <w:rFonts w:ascii="Times New Roman" w:hAnsi="Times New Roman" w:eastAsia="Times New Roman"/>
                <w:color w:val="333333"/>
                <w:kern w:val="0"/>
                <w:sz w:val="18"/>
                <w:szCs w:val="18"/>
                <w:shd w:val="clear" w:color="auto" w:fill="FFFFFF"/>
              </w:rPr>
            </w:pPr>
            <w:r>
              <w:rPr>
                <w:rFonts w:hint="eastAsia" w:ascii="Times New Roman" w:hAnsi="Times New Roman" w:eastAsia="Times New Roman"/>
                <w:color w:val="333333"/>
                <w:kern w:val="0"/>
                <w:sz w:val="18"/>
                <w:szCs w:val="18"/>
                <w:shd w:val="clear" w:color="auto" w:fill="FFFFFF"/>
              </w:rPr>
              <w:t>8(17.78%)</w:t>
            </w:r>
          </w:p>
        </w:tc>
        <w:tc>
          <w:tcPr>
            <w:tcW w:w="546" w:type="pct"/>
            <w:tcBorders>
              <w:top w:val="nil"/>
              <w:left w:val="nil"/>
              <w:bottom w:val="nil"/>
              <w:right w:val="nil"/>
            </w:tcBorders>
          </w:tcPr>
          <w:p w14:paraId="4D97C51D">
            <w:pPr>
              <w:widowControl/>
              <w:autoSpaceDE w:val="0"/>
              <w:jc w:val="center"/>
              <w:rPr>
                <w:rFonts w:ascii="Times New Roman" w:hAnsi="Times New Roman" w:eastAsia="Times New Roman"/>
                <w:color w:val="333333"/>
                <w:kern w:val="0"/>
                <w:sz w:val="18"/>
                <w:szCs w:val="18"/>
                <w:shd w:val="clear" w:color="auto" w:fill="FFFFFF"/>
              </w:rPr>
            </w:pPr>
            <w:r>
              <w:rPr>
                <w:rFonts w:hint="eastAsia" w:ascii="Times New Roman" w:hAnsi="Times New Roman" w:eastAsia="Times New Roman"/>
                <w:color w:val="333333"/>
                <w:kern w:val="0"/>
                <w:sz w:val="18"/>
                <w:szCs w:val="18"/>
                <w:shd w:val="clear" w:color="auto" w:fill="FFFFFF"/>
              </w:rPr>
              <w:t>0.444</w:t>
            </w:r>
          </w:p>
        </w:tc>
      </w:tr>
      <w:tr w14:paraId="2FF55788">
        <w:tblPrEx>
          <w:tblBorders>
            <w:top w:val="single" w:color="auto" w:sz="12"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002" w:type="pct"/>
            <w:tcBorders>
              <w:top w:val="nil"/>
              <w:left w:val="nil"/>
              <w:bottom w:val="nil"/>
              <w:right w:val="nil"/>
            </w:tcBorders>
          </w:tcPr>
          <w:p w14:paraId="0E0730E0">
            <w:pPr>
              <w:widowControl/>
              <w:autoSpaceDE w:val="0"/>
              <w:jc w:val="center"/>
              <w:rPr>
                <w:rFonts w:ascii="Times New Roman" w:hAnsi="Times New Roman" w:eastAsia="Times New Roman"/>
                <w:color w:val="333333"/>
                <w:kern w:val="0"/>
                <w:sz w:val="18"/>
                <w:szCs w:val="18"/>
                <w:shd w:val="clear" w:color="auto" w:fill="FFFFFF"/>
              </w:rPr>
            </w:pPr>
            <w:r>
              <w:rPr>
                <w:rFonts w:hint="eastAsia" w:ascii="Times New Roman" w:hAnsi="Times New Roman" w:eastAsia="Times New Roman"/>
                <w:color w:val="333333"/>
                <w:kern w:val="0"/>
                <w:sz w:val="18"/>
                <w:szCs w:val="18"/>
                <w:shd w:val="clear" w:color="auto" w:fill="FFFFFF"/>
              </w:rPr>
              <w:t>Dizziness</w:t>
            </w:r>
          </w:p>
        </w:tc>
        <w:tc>
          <w:tcPr>
            <w:tcW w:w="1641" w:type="pct"/>
            <w:tcBorders>
              <w:top w:val="nil"/>
              <w:left w:val="nil"/>
              <w:bottom w:val="nil"/>
              <w:right w:val="nil"/>
            </w:tcBorders>
          </w:tcPr>
          <w:p w14:paraId="52121FFD">
            <w:pPr>
              <w:widowControl/>
              <w:autoSpaceDE w:val="0"/>
              <w:jc w:val="center"/>
              <w:rPr>
                <w:rFonts w:ascii="Times New Roman" w:hAnsi="Times New Roman" w:eastAsia="Times New Roman"/>
                <w:color w:val="333333"/>
                <w:kern w:val="0"/>
                <w:sz w:val="18"/>
                <w:szCs w:val="18"/>
                <w:shd w:val="clear" w:color="auto" w:fill="FFFFFF"/>
              </w:rPr>
            </w:pPr>
            <w:r>
              <w:rPr>
                <w:rFonts w:hint="eastAsia" w:ascii="Times New Roman" w:hAnsi="Times New Roman" w:eastAsia="Times New Roman"/>
                <w:color w:val="333333"/>
                <w:kern w:val="0"/>
                <w:sz w:val="18"/>
                <w:szCs w:val="18"/>
                <w:shd w:val="clear" w:color="auto" w:fill="FFFFFF"/>
              </w:rPr>
              <w:t>20(8.40%)</w:t>
            </w:r>
          </w:p>
        </w:tc>
        <w:tc>
          <w:tcPr>
            <w:tcW w:w="1810" w:type="pct"/>
            <w:tcBorders>
              <w:top w:val="nil"/>
              <w:left w:val="nil"/>
              <w:bottom w:val="nil"/>
              <w:right w:val="nil"/>
            </w:tcBorders>
          </w:tcPr>
          <w:p w14:paraId="4B55BAF1">
            <w:pPr>
              <w:widowControl/>
              <w:autoSpaceDE w:val="0"/>
              <w:jc w:val="center"/>
              <w:rPr>
                <w:rFonts w:ascii="Times New Roman" w:hAnsi="Times New Roman" w:eastAsia="Times New Roman"/>
                <w:color w:val="333333"/>
                <w:kern w:val="0"/>
                <w:sz w:val="18"/>
                <w:szCs w:val="18"/>
                <w:shd w:val="clear" w:color="auto" w:fill="FFFFFF"/>
              </w:rPr>
            </w:pPr>
            <w:r>
              <w:rPr>
                <w:rFonts w:hint="eastAsia" w:ascii="Times New Roman" w:hAnsi="Times New Roman" w:eastAsia="Times New Roman"/>
                <w:color w:val="333333"/>
                <w:kern w:val="0"/>
                <w:sz w:val="18"/>
                <w:szCs w:val="18"/>
                <w:shd w:val="clear" w:color="auto" w:fill="FFFFFF"/>
              </w:rPr>
              <w:t>3(6.67%)</w:t>
            </w:r>
          </w:p>
        </w:tc>
        <w:tc>
          <w:tcPr>
            <w:tcW w:w="546" w:type="pct"/>
            <w:tcBorders>
              <w:top w:val="nil"/>
              <w:left w:val="nil"/>
              <w:bottom w:val="nil"/>
              <w:right w:val="nil"/>
            </w:tcBorders>
          </w:tcPr>
          <w:p w14:paraId="3528D817">
            <w:pPr>
              <w:widowControl/>
              <w:autoSpaceDE w:val="0"/>
              <w:jc w:val="center"/>
              <w:rPr>
                <w:rFonts w:ascii="Times New Roman" w:hAnsi="Times New Roman" w:eastAsia="Times New Roman"/>
                <w:color w:val="333333"/>
                <w:kern w:val="0"/>
                <w:sz w:val="18"/>
                <w:szCs w:val="18"/>
                <w:shd w:val="clear" w:color="auto" w:fill="FFFFFF"/>
              </w:rPr>
            </w:pPr>
            <w:r>
              <w:rPr>
                <w:rFonts w:hint="eastAsia" w:ascii="Times New Roman" w:hAnsi="Times New Roman" w:eastAsia="Times New Roman"/>
                <w:color w:val="333333"/>
                <w:kern w:val="0"/>
                <w:sz w:val="18"/>
                <w:szCs w:val="18"/>
                <w:shd w:val="clear" w:color="auto" w:fill="FFFFFF"/>
              </w:rPr>
              <w:t>0.925</w:t>
            </w:r>
          </w:p>
        </w:tc>
      </w:tr>
      <w:tr w14:paraId="58C26E61">
        <w:tblPrEx>
          <w:tblBorders>
            <w:top w:val="single" w:color="auto" w:sz="12"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002" w:type="pct"/>
            <w:tcBorders>
              <w:top w:val="nil"/>
              <w:left w:val="nil"/>
              <w:bottom w:val="single" w:color="auto" w:sz="12" w:space="0"/>
              <w:right w:val="nil"/>
            </w:tcBorders>
          </w:tcPr>
          <w:p w14:paraId="5459CDCA">
            <w:pPr>
              <w:widowControl/>
              <w:autoSpaceDE w:val="0"/>
              <w:jc w:val="center"/>
              <w:rPr>
                <w:rFonts w:ascii="Times New Roman" w:hAnsi="Times New Roman" w:eastAsia="Times New Roman"/>
                <w:color w:val="333333"/>
                <w:kern w:val="0"/>
                <w:sz w:val="18"/>
                <w:szCs w:val="18"/>
                <w:shd w:val="clear" w:color="auto" w:fill="FFFFFF"/>
              </w:rPr>
            </w:pPr>
            <w:r>
              <w:rPr>
                <w:rFonts w:hint="eastAsia" w:ascii="Times New Roman" w:hAnsi="Times New Roman" w:eastAsia="Times New Roman"/>
                <w:color w:val="333333"/>
                <w:kern w:val="0"/>
                <w:sz w:val="18"/>
                <w:szCs w:val="18"/>
                <w:shd w:val="clear" w:color="auto" w:fill="FFFFFF"/>
              </w:rPr>
              <w:t>Headache</w:t>
            </w:r>
          </w:p>
        </w:tc>
        <w:tc>
          <w:tcPr>
            <w:tcW w:w="1641" w:type="pct"/>
            <w:tcBorders>
              <w:top w:val="nil"/>
              <w:left w:val="nil"/>
              <w:bottom w:val="single" w:color="auto" w:sz="12" w:space="0"/>
              <w:right w:val="nil"/>
            </w:tcBorders>
          </w:tcPr>
          <w:p w14:paraId="0D37A7F9">
            <w:pPr>
              <w:widowControl/>
              <w:autoSpaceDE w:val="0"/>
              <w:jc w:val="center"/>
              <w:rPr>
                <w:rFonts w:ascii="Times New Roman" w:hAnsi="Times New Roman" w:eastAsia="Times New Roman"/>
                <w:color w:val="333333"/>
                <w:kern w:val="0"/>
                <w:sz w:val="18"/>
                <w:szCs w:val="18"/>
                <w:shd w:val="clear" w:color="auto" w:fill="FFFFFF"/>
              </w:rPr>
            </w:pPr>
            <w:r>
              <w:rPr>
                <w:rFonts w:hint="eastAsia" w:ascii="Times New Roman" w:hAnsi="Times New Roman" w:eastAsia="Times New Roman"/>
                <w:color w:val="333333"/>
                <w:kern w:val="0"/>
                <w:sz w:val="18"/>
                <w:szCs w:val="18"/>
                <w:shd w:val="clear" w:color="auto" w:fill="FFFFFF"/>
              </w:rPr>
              <w:t>19(7.98%)</w:t>
            </w:r>
          </w:p>
        </w:tc>
        <w:tc>
          <w:tcPr>
            <w:tcW w:w="1810" w:type="pct"/>
            <w:tcBorders>
              <w:top w:val="nil"/>
              <w:left w:val="nil"/>
              <w:bottom w:val="single" w:color="auto" w:sz="12" w:space="0"/>
              <w:right w:val="nil"/>
            </w:tcBorders>
          </w:tcPr>
          <w:p w14:paraId="4E7E8ECA">
            <w:pPr>
              <w:widowControl/>
              <w:autoSpaceDE w:val="0"/>
              <w:jc w:val="center"/>
              <w:rPr>
                <w:rFonts w:ascii="Times New Roman" w:hAnsi="Times New Roman" w:eastAsia="Times New Roman"/>
                <w:color w:val="333333"/>
                <w:kern w:val="0"/>
                <w:sz w:val="18"/>
                <w:szCs w:val="18"/>
                <w:shd w:val="clear" w:color="auto" w:fill="FFFFFF"/>
              </w:rPr>
            </w:pPr>
            <w:r>
              <w:rPr>
                <w:rFonts w:hint="eastAsia" w:ascii="Times New Roman" w:hAnsi="Times New Roman" w:eastAsia="Times New Roman"/>
                <w:color w:val="333333"/>
                <w:kern w:val="0"/>
                <w:sz w:val="18"/>
                <w:szCs w:val="18"/>
                <w:shd w:val="clear" w:color="auto" w:fill="FFFFFF"/>
              </w:rPr>
              <w:t>2(4.44%)</w:t>
            </w:r>
          </w:p>
        </w:tc>
        <w:tc>
          <w:tcPr>
            <w:tcW w:w="546" w:type="pct"/>
            <w:tcBorders>
              <w:top w:val="nil"/>
              <w:left w:val="nil"/>
              <w:bottom w:val="single" w:color="auto" w:sz="12" w:space="0"/>
              <w:right w:val="nil"/>
            </w:tcBorders>
          </w:tcPr>
          <w:p w14:paraId="55CBD982">
            <w:pPr>
              <w:widowControl/>
              <w:autoSpaceDE w:val="0"/>
              <w:jc w:val="center"/>
              <w:rPr>
                <w:rFonts w:ascii="Times New Roman" w:hAnsi="Times New Roman" w:eastAsia="Times New Roman"/>
                <w:color w:val="333333"/>
                <w:kern w:val="0"/>
                <w:sz w:val="18"/>
                <w:szCs w:val="18"/>
                <w:shd w:val="clear" w:color="auto" w:fill="FFFFFF"/>
              </w:rPr>
            </w:pPr>
            <w:r>
              <w:rPr>
                <w:rFonts w:hint="eastAsia" w:ascii="Times New Roman" w:hAnsi="Times New Roman" w:eastAsia="Times New Roman"/>
                <w:color w:val="333333"/>
                <w:kern w:val="0"/>
                <w:sz w:val="18"/>
                <w:szCs w:val="18"/>
                <w:shd w:val="clear" w:color="auto" w:fill="FFFFFF"/>
              </w:rPr>
              <w:t>0.603</w:t>
            </w:r>
          </w:p>
        </w:tc>
      </w:tr>
    </w:tbl>
    <w:p w14:paraId="5F0FCA3B">
      <w:pPr>
        <w:widowControl/>
        <w:autoSpaceDE w:val="0"/>
        <w:spacing w:line="360" w:lineRule="auto"/>
        <w:jc w:val="left"/>
        <w:rPr>
          <w:rFonts w:hint="eastAsia" w:ascii="Times New Roman" w:hAnsi="Times New Roman" w:eastAsia="宋体"/>
          <w:b/>
          <w:bCs/>
          <w:color w:val="000000" w:themeColor="text1"/>
          <w:sz w:val="21"/>
          <w:szCs w:val="21"/>
          <w:lang w:eastAsia="zh-CN"/>
          <w14:textFill>
            <w14:solidFill>
              <w14:schemeClr w14:val="tx1"/>
            </w14:solidFill>
          </w14:textFill>
        </w:rPr>
      </w:pPr>
      <w:r>
        <w:rPr>
          <w:rFonts w:ascii="Times New Roman" w:hAnsi="Times New Roman" w:eastAsia="楷体"/>
          <w:color w:val="231F20"/>
          <w:kern w:val="0"/>
          <w:sz w:val="18"/>
          <w:szCs w:val="18"/>
        </w:rPr>
        <w:t xml:space="preserve">Note：*.Percent is in （）/%.  </w:t>
      </w:r>
      <w:r>
        <w:rPr>
          <w:rFonts w:hint="eastAsia" w:ascii="Times New Roman" w:hAnsi="Times New Roman" w:eastAsia="楷体"/>
          <w:color w:val="231F20"/>
          <w:kern w:val="0"/>
          <w:sz w:val="18"/>
          <w:szCs w:val="18"/>
        </w:rPr>
        <w:t xml:space="preserve">  </w:t>
      </w:r>
      <w:r>
        <w:rPr>
          <w:rFonts w:hint="eastAsia" w:ascii="宋体" w:hAnsi="宋体"/>
          <w:color w:val="000000"/>
          <w:sz w:val="24"/>
          <w:szCs w:val="24"/>
        </w:rPr>
        <w:t xml:space="preserve"> </w:t>
      </w:r>
    </w:p>
    <w:p w14:paraId="7B2BE1E6">
      <w:pPr>
        <w:widowControl/>
        <w:autoSpaceDE w:val="0"/>
        <w:spacing w:line="360" w:lineRule="auto"/>
        <w:jc w:val="left"/>
        <w:rPr>
          <w:rFonts w:ascii="Times New Roman" w:hAnsi="Times New Roman"/>
          <w:color w:val="000000" w:themeColor="text1"/>
          <w:sz w:val="28"/>
          <w:szCs w:val="28"/>
          <w:shd w:val="clear" w:color="auto" w:fill="FFFFFF"/>
          <w14:textFill>
            <w14:solidFill>
              <w14:schemeClr w14:val="tx1"/>
            </w14:solidFill>
          </w14:textFill>
        </w:rPr>
      </w:pPr>
    </w:p>
    <w:p w14:paraId="3248C7A6">
      <w:pPr>
        <w:widowControl/>
        <w:autoSpaceDE w:val="0"/>
        <w:spacing w:line="360" w:lineRule="auto"/>
        <w:jc w:val="left"/>
        <w:rPr>
          <w:rFonts w:ascii="Times New Roman" w:hAnsi="Times New Roman"/>
          <w:color w:val="000000" w:themeColor="text1"/>
          <w:sz w:val="28"/>
          <w:szCs w:val="28"/>
          <w:shd w:val="clear" w:color="auto" w:fill="FFFFFF"/>
          <w14:textFill>
            <w14:solidFill>
              <w14:schemeClr w14:val="tx1"/>
            </w14:solidFill>
          </w14:textFill>
        </w:rPr>
      </w:pPr>
    </w:p>
    <w:p w14:paraId="702A3495">
      <w:pPr>
        <w:widowControl/>
        <w:autoSpaceDE w:val="0"/>
        <w:spacing w:line="360" w:lineRule="auto"/>
        <w:jc w:val="left"/>
        <w:rPr>
          <w:rFonts w:ascii="Times New Roman" w:hAnsi="Times New Roman"/>
          <w:color w:val="000000" w:themeColor="text1"/>
          <w:sz w:val="28"/>
          <w:szCs w:val="28"/>
          <w:shd w:val="clear" w:color="auto" w:fill="FFFFFF"/>
          <w14:textFill>
            <w14:solidFill>
              <w14:schemeClr w14:val="tx1"/>
            </w14:solidFill>
          </w14:textFill>
        </w:rPr>
      </w:pPr>
    </w:p>
    <w:p w14:paraId="4993EFFC">
      <w:pPr>
        <w:widowControl/>
        <w:autoSpaceDE w:val="0"/>
        <w:spacing w:line="360" w:lineRule="auto"/>
        <w:jc w:val="left"/>
        <w:rPr>
          <w:rFonts w:ascii="Times New Roman" w:hAnsi="Times New Roman"/>
          <w:color w:val="000000" w:themeColor="text1"/>
          <w:sz w:val="28"/>
          <w:szCs w:val="28"/>
          <w:shd w:val="clear" w:color="auto" w:fill="FFFFFF"/>
          <w14:textFill>
            <w14:solidFill>
              <w14:schemeClr w14:val="tx1"/>
            </w14:solidFill>
          </w14:textFill>
        </w:rPr>
      </w:pPr>
    </w:p>
    <w:p w14:paraId="342CD157">
      <w:pPr>
        <w:widowControl/>
        <w:autoSpaceDE w:val="0"/>
        <w:spacing w:line="360" w:lineRule="auto"/>
        <w:jc w:val="left"/>
        <w:rPr>
          <w:rFonts w:ascii="Times New Roman" w:hAnsi="Times New Roman"/>
          <w:color w:val="000000" w:themeColor="text1"/>
          <w:sz w:val="28"/>
          <w:szCs w:val="28"/>
          <w:shd w:val="clear" w:color="auto" w:fill="FFFFFF"/>
          <w14:textFill>
            <w14:solidFill>
              <w14:schemeClr w14:val="tx1"/>
            </w14:solidFill>
          </w14:textFill>
        </w:rPr>
      </w:pPr>
    </w:p>
    <w:p w14:paraId="593B00E1">
      <w:pPr>
        <w:pStyle w:val="2"/>
        <w:keepNext w:val="0"/>
        <w:keepLines w:val="0"/>
        <w:pageBreakBefore w:val="0"/>
        <w:widowControl/>
        <w:kinsoku/>
        <w:wordWrap/>
        <w:overflowPunct/>
        <w:topLinePunct w:val="0"/>
        <w:autoSpaceDE/>
        <w:autoSpaceDN/>
        <w:bidi w:val="0"/>
        <w:adjustRightInd/>
        <w:snapToGrid/>
        <w:spacing w:line="480" w:lineRule="auto"/>
        <w:ind w:firstLine="420" w:firstLineChars="200"/>
        <w:textAlignment w:val="auto"/>
        <w:rPr>
          <w:rFonts w:hint="default" w:ascii="Times New Roman" w:hAnsi="Times New Roman" w:cs="Times New Roman"/>
          <w:color w:val="000000" w:themeColor="text1"/>
          <w14:textFill>
            <w14:solidFill>
              <w14:schemeClr w14:val="tx1"/>
            </w14:solidFill>
          </w14:textFill>
        </w:rPr>
      </w:pPr>
      <w:r>
        <w:rPr>
          <w:rFonts w:hint="eastAsia" w:ascii="Times New Roman" w:hAnsi="Times New Roman" w:eastAsia="宋体"/>
          <w:b w:val="0"/>
          <w:bCs w:val="0"/>
          <w:sz w:val="21"/>
          <w:szCs w:val="21"/>
          <w:lang w:eastAsia="zh-CN"/>
        </w:rPr>
        <w:drawing>
          <wp:inline distT="0" distB="0" distL="114300" distR="114300">
            <wp:extent cx="5262880" cy="3991610"/>
            <wp:effectExtent l="0" t="0" r="10160" b="1270"/>
            <wp:docPr id="1" name="图片 1" descr="Figure 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Figure S1"/>
                    <pic:cNvPicPr>
                      <a:picLocks noChangeAspect="1"/>
                    </pic:cNvPicPr>
                  </pic:nvPicPr>
                  <pic:blipFill>
                    <a:blip r:embed="rId4"/>
                    <a:stretch>
                      <a:fillRect/>
                    </a:stretch>
                  </pic:blipFill>
                  <pic:spPr>
                    <a:xfrm>
                      <a:off x="0" y="0"/>
                      <a:ext cx="5262880" cy="3991610"/>
                    </a:xfrm>
                    <a:prstGeom prst="rect">
                      <a:avLst/>
                    </a:prstGeom>
                  </pic:spPr>
                </pic:pic>
              </a:graphicData>
            </a:graphic>
          </wp:inline>
        </w:drawing>
      </w:r>
    </w:p>
    <w:p w14:paraId="58B71A17">
      <w:pPr>
        <w:pStyle w:val="2"/>
        <w:keepNext w:val="0"/>
        <w:keepLines w:val="0"/>
        <w:pageBreakBefore w:val="0"/>
        <w:widowControl/>
        <w:kinsoku/>
        <w:wordWrap/>
        <w:overflowPunct/>
        <w:topLinePunct w:val="0"/>
        <w:autoSpaceDE/>
        <w:autoSpaceDN/>
        <w:bidi w:val="0"/>
        <w:adjustRightInd/>
        <w:snapToGrid/>
        <w:spacing w:line="480" w:lineRule="auto"/>
        <w:ind w:firstLine="480" w:firstLineChars="200"/>
        <w:textAlignment w:val="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 xml:space="preserve">Among the 252 cases positive for mNGS analysis, accounting for 89.05% of the total </w:t>
      </w:r>
      <w:bookmarkStart w:id="3" w:name="OLE_LINK70"/>
      <w:r>
        <w:rPr>
          <w:rFonts w:hint="default" w:ascii="Times New Roman" w:hAnsi="Times New Roman" w:cs="Times New Roman"/>
          <w:color w:val="000000" w:themeColor="text1"/>
          <w14:textFill>
            <w14:solidFill>
              <w14:schemeClr w14:val="tx1"/>
            </w14:solidFill>
          </w14:textFill>
        </w:rPr>
        <w:t>cohort</w:t>
      </w:r>
      <w:bookmarkEnd w:id="3"/>
      <w:r>
        <w:rPr>
          <w:rFonts w:hint="default" w:ascii="Times New Roman" w:hAnsi="Times New Roman" w:cs="Times New Roman"/>
          <w:color w:val="000000" w:themeColor="text1"/>
          <w14:textFill>
            <w14:solidFill>
              <w14:schemeClr w14:val="tx1"/>
            </w14:solidFill>
          </w14:textFill>
        </w:rPr>
        <w:t xml:space="preserve">, </w:t>
      </w:r>
      <w:r>
        <w:rPr>
          <w:rFonts w:hint="default" w:ascii="Times New Roman" w:hAnsi="Times New Roman" w:cs="Times New Roman"/>
          <w:i/>
          <w:iCs/>
          <w:color w:val="000000" w:themeColor="text1"/>
          <w14:textFill>
            <w14:solidFill>
              <w14:schemeClr w14:val="tx1"/>
            </w14:solidFill>
          </w14:textFill>
        </w:rPr>
        <w:t>Pseudomonas aeruginosa</w:t>
      </w:r>
      <w:r>
        <w:rPr>
          <w:rFonts w:hint="default" w:ascii="Times New Roman" w:hAnsi="Times New Roman" w:cs="Times New Roman"/>
          <w:color w:val="000000" w:themeColor="text1"/>
          <w14:textFill>
            <w14:solidFill>
              <w14:schemeClr w14:val="tx1"/>
            </w14:solidFill>
          </w14:textFill>
        </w:rPr>
        <w:t xml:space="preserve"> (50 cases, 19.84%), </w:t>
      </w:r>
      <w:r>
        <w:rPr>
          <w:rFonts w:hint="default" w:ascii="Times New Roman" w:hAnsi="Times New Roman" w:cs="Times New Roman"/>
          <w:i/>
          <w:iCs/>
          <w:color w:val="000000" w:themeColor="text1"/>
          <w14:textFill>
            <w14:solidFill>
              <w14:schemeClr w14:val="tx1"/>
            </w14:solidFill>
          </w14:textFill>
        </w:rPr>
        <w:t>Mycobacterium tuberculosis/complex</w:t>
      </w:r>
      <w:r>
        <w:rPr>
          <w:rFonts w:hint="default" w:ascii="Times New Roman" w:hAnsi="Times New Roman" w:cs="Times New Roman"/>
          <w:color w:val="000000" w:themeColor="text1"/>
          <w14:textFill>
            <w14:solidFill>
              <w14:schemeClr w14:val="tx1"/>
            </w14:solidFill>
          </w14:textFill>
        </w:rPr>
        <w:t xml:space="preserve"> (44 cases, 17.46%) and </w:t>
      </w:r>
      <w:r>
        <w:rPr>
          <w:rFonts w:hint="default" w:ascii="Times New Roman" w:hAnsi="Times New Roman" w:cs="Times New Roman"/>
          <w:i/>
          <w:iCs/>
          <w:color w:val="000000" w:themeColor="text1"/>
          <w14:textFill>
            <w14:solidFill>
              <w14:schemeClr w14:val="tx1"/>
            </w14:solidFill>
          </w14:textFill>
        </w:rPr>
        <w:t>Haemophilus influenzae</w:t>
      </w:r>
      <w:r>
        <w:rPr>
          <w:rFonts w:hint="default" w:ascii="Times New Roman" w:hAnsi="Times New Roman" w:cs="Times New Roman"/>
          <w:color w:val="000000" w:themeColor="text1"/>
          <w14:textFill>
            <w14:solidFill>
              <w14:schemeClr w14:val="tx1"/>
            </w14:solidFill>
          </w14:textFill>
        </w:rPr>
        <w:t xml:space="preserve"> (34 cases, 13.50%) emerged as the predominant microorganisms identified.The three most prevalent fungi identified were </w:t>
      </w:r>
      <w:r>
        <w:rPr>
          <w:rFonts w:hint="default" w:ascii="Times New Roman" w:hAnsi="Times New Roman" w:cs="Times New Roman"/>
          <w:i/>
          <w:iCs/>
          <w:color w:val="000000" w:themeColor="text1"/>
          <w14:textFill>
            <w14:solidFill>
              <w14:schemeClr w14:val="tx1"/>
            </w14:solidFill>
          </w14:textFill>
        </w:rPr>
        <w:t>Candida albicans</w:t>
      </w:r>
      <w:r>
        <w:rPr>
          <w:rFonts w:hint="default" w:ascii="Times New Roman" w:hAnsi="Times New Roman" w:cs="Times New Roman"/>
          <w:color w:val="000000" w:themeColor="text1"/>
          <w14:textFill>
            <w14:solidFill>
              <w14:schemeClr w14:val="tx1"/>
            </w14:solidFill>
          </w14:textFill>
        </w:rPr>
        <w:t xml:space="preserve"> (29 cases, 11.51%), </w:t>
      </w:r>
      <w:r>
        <w:rPr>
          <w:rFonts w:hint="default" w:ascii="Times New Roman" w:hAnsi="Times New Roman" w:cs="Times New Roman"/>
          <w:i/>
          <w:iCs/>
          <w:color w:val="000000" w:themeColor="text1"/>
          <w14:textFill>
            <w14:solidFill>
              <w14:schemeClr w14:val="tx1"/>
            </w14:solidFill>
          </w14:textFill>
        </w:rPr>
        <w:t>Aspergillus fumigatus</w:t>
      </w:r>
      <w:r>
        <w:rPr>
          <w:rFonts w:hint="default" w:ascii="Times New Roman" w:hAnsi="Times New Roman" w:cs="Times New Roman"/>
          <w:color w:val="000000" w:themeColor="text1"/>
          <w14:textFill>
            <w14:solidFill>
              <w14:schemeClr w14:val="tx1"/>
            </w14:solidFill>
          </w14:textFill>
        </w:rPr>
        <w:t xml:space="preserve"> (14 cases, 5.56%) and </w:t>
      </w:r>
      <w:r>
        <w:rPr>
          <w:rFonts w:hint="default" w:ascii="Times New Roman" w:hAnsi="Times New Roman" w:cs="Times New Roman"/>
          <w:i/>
          <w:iCs/>
          <w:color w:val="000000" w:themeColor="text1"/>
          <w14:textFill>
            <w14:solidFill>
              <w14:schemeClr w14:val="tx1"/>
            </w14:solidFill>
          </w14:textFill>
        </w:rPr>
        <w:t>Pneumocystis jirovecii</w:t>
      </w:r>
      <w:r>
        <w:rPr>
          <w:rFonts w:hint="default" w:ascii="Times New Roman" w:hAnsi="Times New Roman" w:cs="Times New Roman"/>
          <w:color w:val="000000" w:themeColor="text1"/>
          <w14:textFill>
            <w14:solidFill>
              <w14:schemeClr w14:val="tx1"/>
            </w14:solidFill>
          </w14:textFill>
        </w:rPr>
        <w:t xml:space="preserve"> (14 cases, 5.56%). Among the viruses detected, </w:t>
      </w:r>
      <w:r>
        <w:rPr>
          <w:rFonts w:hint="default" w:ascii="Times New Roman" w:hAnsi="Times New Roman" w:cs="Times New Roman"/>
          <w:i/>
          <w:iCs/>
          <w:color w:val="000000" w:themeColor="text1"/>
          <w14:textFill>
            <w14:solidFill>
              <w14:schemeClr w14:val="tx1"/>
            </w14:solidFill>
          </w14:textFill>
        </w:rPr>
        <w:t>Human Herpesvirus-7</w:t>
      </w:r>
      <w:r>
        <w:rPr>
          <w:rFonts w:hint="default" w:ascii="Times New Roman" w:hAnsi="Times New Roman" w:cs="Times New Roman"/>
          <w:color w:val="000000" w:themeColor="text1"/>
          <w14:textFill>
            <w14:solidFill>
              <w14:schemeClr w14:val="tx1"/>
            </w14:solidFill>
          </w14:textFill>
        </w:rPr>
        <w:t xml:space="preserve"> accounted for the highest number of cases (61 cases, 24.21%), followed by </w:t>
      </w:r>
      <w:r>
        <w:rPr>
          <w:rFonts w:hint="default" w:ascii="Times New Roman" w:hAnsi="Times New Roman" w:cs="Times New Roman"/>
          <w:i/>
          <w:iCs/>
          <w:color w:val="000000" w:themeColor="text1"/>
          <w14:textFill>
            <w14:solidFill>
              <w14:schemeClr w14:val="tx1"/>
            </w14:solidFill>
          </w14:textFill>
        </w:rPr>
        <w:t>Human Herpesvirus-4</w:t>
      </w:r>
      <w:r>
        <w:rPr>
          <w:rFonts w:hint="default" w:ascii="Times New Roman" w:hAnsi="Times New Roman" w:cs="Times New Roman"/>
          <w:color w:val="000000" w:themeColor="text1"/>
          <w14:textFill>
            <w14:solidFill>
              <w14:schemeClr w14:val="tx1"/>
            </w14:solidFill>
          </w14:textFill>
        </w:rPr>
        <w:t xml:space="preserve"> (59 cases, 23.41%) and </w:t>
      </w:r>
      <w:r>
        <w:rPr>
          <w:rFonts w:hint="default" w:ascii="Times New Roman" w:hAnsi="Times New Roman" w:cs="Times New Roman"/>
          <w:i/>
          <w:iCs/>
          <w:color w:val="000000" w:themeColor="text1"/>
          <w14:textFill>
            <w14:solidFill>
              <w14:schemeClr w14:val="tx1"/>
            </w14:solidFill>
          </w14:textFill>
        </w:rPr>
        <w:t>Torque teno virus</w:t>
      </w:r>
      <w:r>
        <w:rPr>
          <w:rFonts w:hint="default" w:ascii="Times New Roman" w:hAnsi="Times New Roman" w:cs="Times New Roman"/>
          <w:color w:val="000000" w:themeColor="text1"/>
          <w14:textFill>
            <w14:solidFill>
              <w14:schemeClr w14:val="tx1"/>
            </w14:solidFill>
          </w14:textFill>
        </w:rPr>
        <w:t xml:space="preserve"> (54 cases, 21.43%) (</w:t>
      </w:r>
      <w:r>
        <w:rPr>
          <w:rFonts w:hint="default" w:ascii="Times New Roman" w:hAnsi="Times New Roman" w:cs="Times New Roman"/>
          <w:b w:val="0"/>
          <w:bCs w:val="0"/>
          <w:color w:val="000000" w:themeColor="text1"/>
          <w14:textFill>
            <w14:solidFill>
              <w14:schemeClr w14:val="tx1"/>
            </w14:solidFill>
          </w14:textFill>
        </w:rPr>
        <w:t>Figure S</w:t>
      </w:r>
      <w:r>
        <w:rPr>
          <w:rFonts w:hint="eastAsia" w:ascii="Times New Roman" w:hAnsi="Times New Roman" w:cs="Times New Roman"/>
          <w:b w:val="0"/>
          <w:bCs w:val="0"/>
          <w:color w:val="000000" w:themeColor="text1"/>
          <w:lang w:val="en-US" w:eastAsia="zh-CN"/>
          <w14:textFill>
            <w14:solidFill>
              <w14:schemeClr w14:val="tx1"/>
            </w14:solidFill>
          </w14:textFill>
        </w:rPr>
        <w:t>1</w:t>
      </w:r>
      <w:r>
        <w:rPr>
          <w:rFonts w:hint="default" w:ascii="Times New Roman" w:hAnsi="Times New Roman" w:cs="Times New Roman"/>
          <w:b w:val="0"/>
          <w:bCs w:val="0"/>
          <w:color w:val="000000" w:themeColor="text1"/>
          <w14:textFill>
            <w14:solidFill>
              <w14:schemeClr w14:val="tx1"/>
            </w14:solidFill>
          </w14:textFill>
        </w:rPr>
        <w:t>A</w:t>
      </w:r>
      <w:r>
        <w:rPr>
          <w:rFonts w:hint="default" w:ascii="Times New Roman" w:hAnsi="Times New Roman" w:cs="Times New Roman"/>
          <w:color w:val="000000" w:themeColor="text1"/>
          <w14:textFill>
            <w14:solidFill>
              <w14:schemeClr w14:val="tx1"/>
            </w14:solidFill>
          </w14:textFill>
        </w:rPr>
        <w:t xml:space="preserve">). </w:t>
      </w:r>
      <w:bookmarkStart w:id="4" w:name="OLE_LINK38"/>
      <w:r>
        <w:rPr>
          <w:rFonts w:hint="default" w:ascii="Times New Roman" w:hAnsi="Times New Roman" w:cs="Times New Roman"/>
          <w:color w:val="000000" w:themeColor="text1"/>
          <w14:textFill>
            <w14:solidFill>
              <w14:schemeClr w14:val="tx1"/>
            </w14:solidFill>
          </w14:textFill>
        </w:rPr>
        <w:t>Out of the total number of cases, 82 cases (34.45% of the total) were positive by conventional culture,</w:t>
      </w:r>
      <w:bookmarkEnd w:id="4"/>
      <w:r>
        <w:rPr>
          <w:rFonts w:hint="default" w:ascii="Times New Roman" w:hAnsi="Times New Roman" w:cs="Times New Roman"/>
          <w:color w:val="000000" w:themeColor="text1"/>
          <w14:textFill>
            <w14:solidFill>
              <w14:schemeClr w14:val="tx1"/>
            </w14:solidFill>
          </w14:textFill>
        </w:rPr>
        <w:t xml:space="preserve"> </w:t>
      </w:r>
      <w:r>
        <w:rPr>
          <w:rFonts w:hint="default" w:ascii="Times New Roman" w:hAnsi="Times New Roman" w:cs="Times New Roman"/>
          <w:i/>
          <w:iCs/>
          <w:color w:val="000000" w:themeColor="text1"/>
          <w14:textFill>
            <w14:solidFill>
              <w14:schemeClr w14:val="tx1"/>
            </w14:solidFill>
          </w14:textFill>
        </w:rPr>
        <w:t>Pseudomonas aeruginosa</w:t>
      </w:r>
      <w:r>
        <w:rPr>
          <w:rFonts w:hint="default" w:ascii="Times New Roman" w:hAnsi="Times New Roman" w:cs="Times New Roman"/>
          <w:color w:val="000000" w:themeColor="text1"/>
          <w14:textFill>
            <w14:solidFill>
              <w14:schemeClr w14:val="tx1"/>
            </w14:solidFill>
          </w14:textFill>
        </w:rPr>
        <w:t xml:space="preserve"> (18 cases, 40.00%), </w:t>
      </w:r>
      <w:r>
        <w:rPr>
          <w:rFonts w:hint="default" w:ascii="Times New Roman" w:hAnsi="Times New Roman" w:cs="Times New Roman"/>
          <w:i/>
          <w:iCs/>
          <w:color w:val="000000" w:themeColor="text1"/>
          <w14:textFill>
            <w14:solidFill>
              <w14:schemeClr w14:val="tx1"/>
            </w14:solidFill>
          </w14:textFill>
        </w:rPr>
        <w:t>Klebsiella pneumoniae</w:t>
      </w:r>
      <w:r>
        <w:rPr>
          <w:rFonts w:hint="default" w:ascii="Times New Roman" w:hAnsi="Times New Roman" w:cs="Times New Roman"/>
          <w:color w:val="000000" w:themeColor="text1"/>
          <w14:textFill>
            <w14:solidFill>
              <w14:schemeClr w14:val="tx1"/>
            </w14:solidFill>
          </w14:textFill>
        </w:rPr>
        <w:t xml:space="preserve"> (7 cases, 15.56%) and </w:t>
      </w:r>
      <w:r>
        <w:rPr>
          <w:rFonts w:hint="default" w:ascii="Times New Roman" w:hAnsi="Times New Roman" w:cs="Times New Roman"/>
          <w:i/>
          <w:iCs/>
          <w:color w:val="000000" w:themeColor="text1"/>
          <w14:textFill>
            <w14:solidFill>
              <w14:schemeClr w14:val="tx1"/>
            </w14:solidFill>
          </w14:textFill>
        </w:rPr>
        <w:t>Staphylococcus aureus</w:t>
      </w:r>
      <w:r>
        <w:rPr>
          <w:rFonts w:hint="default" w:ascii="Times New Roman" w:hAnsi="Times New Roman" w:cs="Times New Roman"/>
          <w:color w:val="000000" w:themeColor="text1"/>
          <w14:textFill>
            <w14:solidFill>
              <w14:schemeClr w14:val="tx1"/>
            </w14:solidFill>
          </w14:textFill>
        </w:rPr>
        <w:t xml:space="preserve"> (7 cases, 15.56%). For fungi, </w:t>
      </w:r>
      <w:r>
        <w:rPr>
          <w:rFonts w:hint="default" w:ascii="Times New Roman" w:hAnsi="Times New Roman" w:cs="Times New Roman"/>
          <w:i/>
          <w:iCs/>
          <w:color w:val="000000" w:themeColor="text1"/>
          <w14:textFill>
            <w14:solidFill>
              <w14:schemeClr w14:val="tx1"/>
            </w14:solidFill>
          </w14:textFill>
        </w:rPr>
        <w:t>Candida</w:t>
      </w:r>
      <w:r>
        <w:rPr>
          <w:rFonts w:hint="default" w:ascii="Times New Roman" w:hAnsi="Times New Roman" w:cs="Times New Roman"/>
          <w:color w:val="000000" w:themeColor="text1"/>
          <w14:textFill>
            <w14:solidFill>
              <w14:schemeClr w14:val="tx1"/>
            </w14:solidFill>
          </w14:textFill>
        </w:rPr>
        <w:t xml:space="preserve"> (23 cases, 51.11%) and </w:t>
      </w:r>
      <w:r>
        <w:rPr>
          <w:rFonts w:hint="default" w:ascii="Times New Roman" w:hAnsi="Times New Roman" w:cs="Times New Roman"/>
          <w:i/>
          <w:iCs/>
          <w:color w:val="000000" w:themeColor="text1"/>
          <w14:textFill>
            <w14:solidFill>
              <w14:schemeClr w14:val="tx1"/>
            </w14:solidFill>
          </w14:textFill>
        </w:rPr>
        <w:t>Aspergillus</w:t>
      </w:r>
      <w:r>
        <w:rPr>
          <w:rFonts w:hint="default" w:ascii="Times New Roman" w:hAnsi="Times New Roman" w:cs="Times New Roman"/>
          <w:color w:val="000000" w:themeColor="text1"/>
          <w14:textFill>
            <w14:solidFill>
              <w14:schemeClr w14:val="tx1"/>
            </w14:solidFill>
          </w14:textFill>
        </w:rPr>
        <w:t xml:space="preserve"> (20cases,44.44%) (</w:t>
      </w:r>
      <w:r>
        <w:rPr>
          <w:rFonts w:hint="default" w:ascii="Times New Roman" w:hAnsi="Times New Roman" w:cs="Times New Roman"/>
          <w:b w:val="0"/>
          <w:bCs w:val="0"/>
          <w:color w:val="000000" w:themeColor="text1"/>
          <w14:textFill>
            <w14:solidFill>
              <w14:schemeClr w14:val="tx1"/>
            </w14:solidFill>
          </w14:textFill>
        </w:rPr>
        <w:t>Figure S</w:t>
      </w:r>
      <w:r>
        <w:rPr>
          <w:rFonts w:hint="eastAsia" w:ascii="Times New Roman" w:hAnsi="Times New Roman" w:cs="Times New Roman"/>
          <w:b w:val="0"/>
          <w:bCs w:val="0"/>
          <w:color w:val="000000" w:themeColor="text1"/>
          <w:lang w:val="en-US" w:eastAsia="zh-CN"/>
          <w14:textFill>
            <w14:solidFill>
              <w14:schemeClr w14:val="tx1"/>
            </w14:solidFill>
          </w14:textFill>
        </w:rPr>
        <w:t>1</w:t>
      </w:r>
      <w:r>
        <w:rPr>
          <w:rFonts w:hint="default" w:ascii="Times New Roman" w:hAnsi="Times New Roman" w:cs="Times New Roman"/>
          <w:b w:val="0"/>
          <w:bCs w:val="0"/>
          <w:color w:val="000000" w:themeColor="text1"/>
          <w14:textFill>
            <w14:solidFill>
              <w14:schemeClr w14:val="tx1"/>
            </w14:solidFill>
          </w14:textFill>
        </w:rPr>
        <w:t>B</w:t>
      </w:r>
      <w:r>
        <w:rPr>
          <w:rFonts w:hint="default" w:ascii="Times New Roman" w:hAnsi="Times New Roman" w:cs="Times New Roman"/>
          <w:color w:val="000000" w:themeColor="text1"/>
          <w14:textFill>
            <w14:solidFill>
              <w14:schemeClr w14:val="tx1"/>
            </w14:solidFill>
          </w14:textFill>
        </w:rPr>
        <w:t>)</w:t>
      </w:r>
      <w:bookmarkStart w:id="5" w:name="OLE_LINK41"/>
      <w:bookmarkStart w:id="6" w:name="OLE_LINK39"/>
      <w:r>
        <w:rPr>
          <w:rFonts w:hint="default" w:ascii="Times New Roman" w:hAnsi="Times New Roman" w:cs="Times New Roman"/>
          <w:color w:val="000000" w:themeColor="text1"/>
          <w14:textFill>
            <w14:solidFill>
              <w14:schemeClr w14:val="tx1"/>
            </w14:solidFill>
          </w14:textFill>
        </w:rPr>
        <w:t xml:space="preserve">. The aforementioned components constitute the primary constituents of both detection methodologies employed for comprehensive pathogen identification. </w:t>
      </w:r>
    </w:p>
    <w:p w14:paraId="540C41E9">
      <w:pPr>
        <w:pStyle w:val="2"/>
        <w:keepNext w:val="0"/>
        <w:keepLines w:val="0"/>
        <w:pageBreakBefore w:val="0"/>
        <w:widowControl/>
        <w:kinsoku/>
        <w:wordWrap/>
        <w:overflowPunct/>
        <w:topLinePunct w:val="0"/>
        <w:autoSpaceDE/>
        <w:autoSpaceDN/>
        <w:bidi w:val="0"/>
        <w:adjustRightInd/>
        <w:snapToGrid/>
        <w:spacing w:line="480" w:lineRule="auto"/>
        <w:ind w:firstLine="480" w:firstLineChars="200"/>
        <w:textAlignment w:val="auto"/>
        <w:rPr>
          <w:rFonts w:hint="default" w:ascii="Times New Roman" w:hAnsi="Times New Roman" w:cs="Times New Roman"/>
          <w:color w:val="000000" w:themeColor="text1"/>
          <w14:textFill>
            <w14:solidFill>
              <w14:schemeClr w14:val="tx1"/>
            </w14:solidFill>
          </w14:textFill>
        </w:rPr>
      </w:pPr>
      <w:r>
        <w:rPr>
          <w:rFonts w:hint="eastAsia" w:ascii="Times New Roman" w:hAnsi="Times New Roman" w:eastAsia="宋体" w:cs="Times New Roman"/>
          <w:color w:val="000000" w:themeColor="text1"/>
          <w:kern w:val="2"/>
          <w:sz w:val="24"/>
          <w:szCs w:val="24"/>
          <w:shd w:val="clear" w:color="auto" w:fill="FFFFFF"/>
          <w:lang w:eastAsia="zh-CN"/>
          <w14:textFill>
            <w14:solidFill>
              <w14:schemeClr w14:val="tx1"/>
            </w14:solidFill>
          </w14:textFill>
        </w:rPr>
        <w:drawing>
          <wp:inline distT="0" distB="0" distL="114300" distR="114300">
            <wp:extent cx="5262245" cy="4217035"/>
            <wp:effectExtent l="0" t="0" r="10795" b="4445"/>
            <wp:docPr id="2" name="图片 2" descr="Figure S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Figure S2"/>
                    <pic:cNvPicPr>
                      <a:picLocks noChangeAspect="1"/>
                    </pic:cNvPicPr>
                  </pic:nvPicPr>
                  <pic:blipFill>
                    <a:blip r:embed="rId5"/>
                    <a:stretch>
                      <a:fillRect/>
                    </a:stretch>
                  </pic:blipFill>
                  <pic:spPr>
                    <a:xfrm>
                      <a:off x="0" y="0"/>
                      <a:ext cx="5262245" cy="4217035"/>
                    </a:xfrm>
                    <a:prstGeom prst="rect">
                      <a:avLst/>
                    </a:prstGeom>
                  </pic:spPr>
                </pic:pic>
              </a:graphicData>
            </a:graphic>
          </wp:inline>
        </w:drawing>
      </w:r>
    </w:p>
    <w:p w14:paraId="67E92C96">
      <w:pPr>
        <w:pStyle w:val="2"/>
        <w:keepNext w:val="0"/>
        <w:keepLines w:val="0"/>
        <w:pageBreakBefore w:val="0"/>
        <w:widowControl/>
        <w:kinsoku/>
        <w:wordWrap/>
        <w:overflowPunct/>
        <w:topLinePunct w:val="0"/>
        <w:autoSpaceDE/>
        <w:autoSpaceDN/>
        <w:bidi w:val="0"/>
        <w:adjustRightInd/>
        <w:snapToGrid/>
        <w:spacing w:line="480" w:lineRule="auto"/>
        <w:ind w:firstLine="480" w:firstLineChars="200"/>
        <w:textAlignment w:val="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 xml:space="preserve">Following data grouping, the pathogen detection ratio of mNGS and traditional culture in both groups was elucidated. In the immunocompetent group, 214 cases (89.92% out of 238 cases) exhibited positive results for mNGS. The predominant bacterial species identified were </w:t>
      </w:r>
      <w:r>
        <w:rPr>
          <w:rFonts w:hint="default" w:ascii="Times New Roman" w:hAnsi="Times New Roman" w:cs="Times New Roman"/>
          <w:i/>
          <w:iCs/>
          <w:color w:val="000000" w:themeColor="text1"/>
          <w14:textFill>
            <w14:solidFill>
              <w14:schemeClr w14:val="tx1"/>
            </w14:solidFill>
          </w14:textFill>
        </w:rPr>
        <w:t>Pseudomonas aeruginosa</w:t>
      </w:r>
      <w:r>
        <w:rPr>
          <w:rFonts w:hint="default" w:ascii="Times New Roman" w:hAnsi="Times New Roman" w:cs="Times New Roman"/>
          <w:color w:val="000000" w:themeColor="text1"/>
          <w14:textFill>
            <w14:solidFill>
              <w14:schemeClr w14:val="tx1"/>
            </w14:solidFill>
          </w14:textFill>
        </w:rPr>
        <w:t xml:space="preserve"> (43 cases, 20.10%), </w:t>
      </w:r>
      <w:r>
        <w:rPr>
          <w:rFonts w:hint="default" w:ascii="Times New Roman" w:hAnsi="Times New Roman" w:cs="Times New Roman"/>
          <w:i/>
          <w:iCs/>
          <w:color w:val="000000" w:themeColor="text1"/>
          <w14:textFill>
            <w14:solidFill>
              <w14:schemeClr w14:val="tx1"/>
            </w14:solidFill>
          </w14:textFill>
        </w:rPr>
        <w:t xml:space="preserve">Mycobacterium tuberculosis/complex </w:t>
      </w:r>
      <w:r>
        <w:rPr>
          <w:rFonts w:hint="default" w:ascii="Times New Roman" w:hAnsi="Times New Roman" w:cs="Times New Roman"/>
          <w:color w:val="000000" w:themeColor="text1"/>
          <w14:textFill>
            <w14:solidFill>
              <w14:schemeClr w14:val="tx1"/>
            </w14:solidFill>
          </w14:textFill>
        </w:rPr>
        <w:t xml:space="preserve">(36 cases, 16.82%) and </w:t>
      </w:r>
      <w:r>
        <w:rPr>
          <w:rFonts w:hint="default" w:ascii="Times New Roman" w:hAnsi="Times New Roman" w:cs="Times New Roman"/>
          <w:i/>
          <w:iCs/>
          <w:color w:val="000000" w:themeColor="text1"/>
          <w14:textFill>
            <w14:solidFill>
              <w14:schemeClr w14:val="tx1"/>
            </w14:solidFill>
          </w14:textFill>
        </w:rPr>
        <w:t>Haemophilus influenzae</w:t>
      </w:r>
      <w:r>
        <w:rPr>
          <w:rFonts w:hint="default" w:ascii="Times New Roman" w:hAnsi="Times New Roman" w:cs="Times New Roman"/>
          <w:color w:val="000000" w:themeColor="text1"/>
          <w14:textFill>
            <w14:solidFill>
              <w14:schemeClr w14:val="tx1"/>
            </w14:solidFill>
          </w14:textFill>
        </w:rPr>
        <w:t xml:space="preserve"> (31 cases, 14.50%). Among fungi, </w:t>
      </w:r>
      <w:r>
        <w:rPr>
          <w:rFonts w:hint="default" w:ascii="Times New Roman" w:hAnsi="Times New Roman" w:cs="Times New Roman"/>
          <w:i/>
          <w:iCs/>
          <w:color w:val="000000" w:themeColor="text1"/>
          <w14:textFill>
            <w14:solidFill>
              <w14:schemeClr w14:val="tx1"/>
            </w14:solidFill>
          </w14:textFill>
        </w:rPr>
        <w:t>Candida albicans</w:t>
      </w:r>
      <w:r>
        <w:rPr>
          <w:rFonts w:hint="default" w:ascii="Times New Roman" w:hAnsi="Times New Roman" w:cs="Times New Roman"/>
          <w:color w:val="000000" w:themeColor="text1"/>
          <w14:textFill>
            <w14:solidFill>
              <w14:schemeClr w14:val="tx1"/>
            </w14:solidFill>
          </w14:textFill>
        </w:rPr>
        <w:t xml:space="preserve"> (26 cases, 12.15%) was the most prevalent, followed by </w:t>
      </w:r>
      <w:r>
        <w:rPr>
          <w:rFonts w:hint="default" w:ascii="Times New Roman" w:hAnsi="Times New Roman" w:cs="Times New Roman"/>
          <w:i/>
          <w:iCs/>
          <w:color w:val="000000" w:themeColor="text1"/>
          <w14:textFill>
            <w14:solidFill>
              <w14:schemeClr w14:val="tx1"/>
            </w14:solidFill>
          </w14:textFill>
        </w:rPr>
        <w:t>Aspergillus fumigatus</w:t>
      </w:r>
      <w:r>
        <w:rPr>
          <w:rFonts w:hint="default" w:ascii="Times New Roman" w:hAnsi="Times New Roman" w:cs="Times New Roman"/>
          <w:color w:val="000000" w:themeColor="text1"/>
          <w14:textFill>
            <w14:solidFill>
              <w14:schemeClr w14:val="tx1"/>
            </w14:solidFill>
          </w14:textFill>
        </w:rPr>
        <w:t xml:space="preserve"> (9 cases, 4.21%) and </w:t>
      </w:r>
      <w:r>
        <w:rPr>
          <w:rFonts w:hint="default" w:ascii="Times New Roman" w:hAnsi="Times New Roman" w:cs="Times New Roman"/>
          <w:i/>
          <w:iCs/>
          <w:color w:val="000000" w:themeColor="text1"/>
          <w14:textFill>
            <w14:solidFill>
              <w14:schemeClr w14:val="tx1"/>
            </w14:solidFill>
          </w14:textFill>
        </w:rPr>
        <w:t>Pneumocystis jirovecii</w:t>
      </w:r>
      <w:r>
        <w:rPr>
          <w:rFonts w:hint="default" w:ascii="Times New Roman" w:hAnsi="Times New Roman" w:cs="Times New Roman"/>
          <w:color w:val="000000" w:themeColor="text1"/>
          <w14:textFill>
            <w14:solidFill>
              <w14:schemeClr w14:val="tx1"/>
            </w14:solidFill>
          </w14:textFill>
        </w:rPr>
        <w:t xml:space="preserve"> (8 cases, 3.74%). In terms of viral infections, </w:t>
      </w:r>
      <w:r>
        <w:rPr>
          <w:rFonts w:hint="default" w:ascii="Times New Roman" w:hAnsi="Times New Roman" w:cs="Times New Roman"/>
          <w:i/>
          <w:iCs/>
          <w:color w:val="000000" w:themeColor="text1"/>
          <w14:textFill>
            <w14:solidFill>
              <w14:schemeClr w14:val="tx1"/>
            </w14:solidFill>
          </w14:textFill>
        </w:rPr>
        <w:t>Human Herpesvirus-7</w:t>
      </w:r>
      <w:r>
        <w:rPr>
          <w:rFonts w:hint="default" w:ascii="Times New Roman" w:hAnsi="Times New Roman" w:cs="Times New Roman"/>
          <w:color w:val="000000" w:themeColor="text1"/>
          <w14:textFill>
            <w14:solidFill>
              <w14:schemeClr w14:val="tx1"/>
            </w14:solidFill>
          </w14:textFill>
        </w:rPr>
        <w:t xml:space="preserve"> (54 cases, 25.23%), </w:t>
      </w:r>
      <w:r>
        <w:rPr>
          <w:rFonts w:hint="default" w:ascii="Times New Roman" w:hAnsi="Times New Roman" w:cs="Times New Roman"/>
          <w:i/>
          <w:iCs/>
          <w:color w:val="000000" w:themeColor="text1"/>
          <w14:textFill>
            <w14:solidFill>
              <w14:schemeClr w14:val="tx1"/>
            </w14:solidFill>
          </w14:textFill>
        </w:rPr>
        <w:t>Human Herpesvirus-4</w:t>
      </w:r>
      <w:r>
        <w:rPr>
          <w:rFonts w:hint="default" w:ascii="Times New Roman" w:hAnsi="Times New Roman" w:cs="Times New Roman"/>
          <w:color w:val="000000" w:themeColor="text1"/>
          <w14:textFill>
            <w14:solidFill>
              <w14:schemeClr w14:val="tx1"/>
            </w14:solidFill>
          </w14:textFill>
        </w:rPr>
        <w:t xml:space="preserve"> (52 cases, 24.30%) and </w:t>
      </w:r>
      <w:r>
        <w:rPr>
          <w:rFonts w:hint="default" w:ascii="Times New Roman" w:hAnsi="Times New Roman" w:cs="Times New Roman"/>
          <w:i/>
          <w:iCs/>
          <w:color w:val="000000" w:themeColor="text1"/>
          <w14:textFill>
            <w14:solidFill>
              <w14:schemeClr w14:val="tx1"/>
            </w14:solidFill>
          </w14:textFill>
        </w:rPr>
        <w:t>Torque teno virus</w:t>
      </w:r>
      <w:r>
        <w:rPr>
          <w:rFonts w:hint="default" w:ascii="Times New Roman" w:hAnsi="Times New Roman" w:cs="Times New Roman"/>
          <w:color w:val="000000" w:themeColor="text1"/>
          <w14:textFill>
            <w14:solidFill>
              <w14:schemeClr w14:val="tx1"/>
            </w14:solidFill>
          </w14:textFill>
        </w:rPr>
        <w:t xml:space="preserve"> (43 cases, 20.10%) exhibited dominance. In the immunocompromised group, 38 out of 45 cases (84.44%) tested positive for mNGS. The predominant bacteria identified were </w:t>
      </w:r>
      <w:r>
        <w:rPr>
          <w:rFonts w:hint="default" w:ascii="Times New Roman" w:hAnsi="Times New Roman" w:cs="Times New Roman"/>
          <w:i/>
          <w:iCs/>
          <w:color w:val="000000" w:themeColor="text1"/>
          <w14:textFill>
            <w14:solidFill>
              <w14:schemeClr w14:val="tx1"/>
            </w14:solidFill>
          </w14:textFill>
        </w:rPr>
        <w:t xml:space="preserve">Mycobacterium tuberculosis/complex </w:t>
      </w:r>
      <w:r>
        <w:rPr>
          <w:rFonts w:hint="default" w:ascii="Times New Roman" w:hAnsi="Times New Roman" w:cs="Times New Roman"/>
          <w:color w:val="000000" w:themeColor="text1"/>
          <w14:textFill>
            <w14:solidFill>
              <w14:schemeClr w14:val="tx1"/>
            </w14:solidFill>
          </w14:textFill>
        </w:rPr>
        <w:t xml:space="preserve">(8 cases, 21.10%), </w:t>
      </w:r>
      <w:r>
        <w:rPr>
          <w:rFonts w:hint="default" w:ascii="Times New Roman" w:hAnsi="Times New Roman" w:cs="Times New Roman"/>
          <w:i/>
          <w:iCs/>
          <w:color w:val="000000" w:themeColor="text1"/>
          <w14:textFill>
            <w14:solidFill>
              <w14:schemeClr w14:val="tx1"/>
            </w14:solidFill>
          </w14:textFill>
        </w:rPr>
        <w:t>Pseudomonas aeruginosa</w:t>
      </w:r>
      <w:r>
        <w:rPr>
          <w:rFonts w:hint="default" w:ascii="Times New Roman" w:hAnsi="Times New Roman" w:cs="Times New Roman"/>
          <w:color w:val="000000" w:themeColor="text1"/>
          <w14:textFill>
            <w14:solidFill>
              <w14:schemeClr w14:val="tx1"/>
            </w14:solidFill>
          </w14:textFill>
        </w:rPr>
        <w:t xml:space="preserve"> (7 cases, 18.42%) and </w:t>
      </w:r>
      <w:r>
        <w:rPr>
          <w:rFonts w:hint="default" w:ascii="Times New Roman" w:hAnsi="Times New Roman" w:cs="Times New Roman"/>
          <w:i/>
          <w:iCs/>
          <w:color w:val="000000" w:themeColor="text1"/>
          <w14:textFill>
            <w14:solidFill>
              <w14:schemeClr w14:val="tx1"/>
            </w14:solidFill>
          </w14:textFill>
        </w:rPr>
        <w:t>Staphylococcus aureus</w:t>
      </w:r>
      <w:r>
        <w:rPr>
          <w:rFonts w:hint="default" w:ascii="Times New Roman" w:hAnsi="Times New Roman" w:cs="Times New Roman"/>
          <w:color w:val="000000" w:themeColor="text1"/>
          <w14:textFill>
            <w14:solidFill>
              <w14:schemeClr w14:val="tx1"/>
            </w14:solidFill>
          </w14:textFill>
        </w:rPr>
        <w:t xml:space="preserve"> (5 cases, 13.20%), two of which overlapped with the immunocompetent group. The most prevalent fungi detected were </w:t>
      </w:r>
      <w:r>
        <w:rPr>
          <w:rFonts w:hint="default" w:ascii="Times New Roman" w:hAnsi="Times New Roman" w:cs="Times New Roman"/>
          <w:i/>
          <w:iCs/>
          <w:color w:val="000000" w:themeColor="text1"/>
          <w14:textFill>
            <w14:solidFill>
              <w14:schemeClr w14:val="tx1"/>
            </w14:solidFill>
          </w14:textFill>
        </w:rPr>
        <w:t>Pneumocystis jirovecii</w:t>
      </w:r>
      <w:r>
        <w:rPr>
          <w:rFonts w:hint="default" w:ascii="Times New Roman" w:hAnsi="Times New Roman" w:cs="Times New Roman"/>
          <w:color w:val="000000" w:themeColor="text1"/>
          <w14:textFill>
            <w14:solidFill>
              <w14:schemeClr w14:val="tx1"/>
            </w14:solidFill>
          </w14:textFill>
        </w:rPr>
        <w:t xml:space="preserve"> (6 cases, 16.00%), </w:t>
      </w:r>
      <w:r>
        <w:rPr>
          <w:rFonts w:hint="default" w:ascii="Times New Roman" w:hAnsi="Times New Roman" w:cs="Times New Roman"/>
          <w:i/>
          <w:iCs/>
          <w:color w:val="000000" w:themeColor="text1"/>
          <w14:textFill>
            <w14:solidFill>
              <w14:schemeClr w14:val="tx1"/>
            </w14:solidFill>
          </w14:textFill>
        </w:rPr>
        <w:t>Candida parapsilosis</w:t>
      </w:r>
      <w:r>
        <w:rPr>
          <w:rFonts w:hint="default" w:ascii="Times New Roman" w:hAnsi="Times New Roman" w:cs="Times New Roman"/>
          <w:color w:val="000000" w:themeColor="text1"/>
          <w14:textFill>
            <w14:solidFill>
              <w14:schemeClr w14:val="tx1"/>
            </w14:solidFill>
          </w14:textFill>
        </w:rPr>
        <w:t xml:space="preserve"> (6 cases, 16.00%) and </w:t>
      </w:r>
      <w:r>
        <w:rPr>
          <w:rFonts w:hint="default" w:ascii="Times New Roman" w:hAnsi="Times New Roman" w:cs="Times New Roman"/>
          <w:i/>
          <w:iCs/>
          <w:color w:val="000000" w:themeColor="text1"/>
          <w14:textFill>
            <w14:solidFill>
              <w14:schemeClr w14:val="tx1"/>
            </w14:solidFill>
          </w14:textFill>
        </w:rPr>
        <w:t>Aspergillus fumigatus</w:t>
      </w:r>
      <w:r>
        <w:rPr>
          <w:rFonts w:hint="default" w:ascii="Times New Roman" w:hAnsi="Times New Roman" w:cs="Times New Roman"/>
          <w:color w:val="000000" w:themeColor="text1"/>
          <w14:textFill>
            <w14:solidFill>
              <w14:schemeClr w14:val="tx1"/>
            </w14:solidFill>
          </w14:textFill>
        </w:rPr>
        <w:t xml:space="preserve"> (5 cases, 13%). Among the viral pathogens identified,</w:t>
      </w:r>
      <w:r>
        <w:rPr>
          <w:rFonts w:hint="default" w:ascii="Times New Roman" w:hAnsi="Times New Roman" w:cs="Times New Roman"/>
          <w:i/>
          <w:iCs/>
          <w:color w:val="000000" w:themeColor="text1"/>
          <w14:textFill>
            <w14:solidFill>
              <w14:schemeClr w14:val="tx1"/>
            </w14:solidFill>
          </w14:textFill>
        </w:rPr>
        <w:t xml:space="preserve"> Torque teno virus</w:t>
      </w:r>
      <w:r>
        <w:rPr>
          <w:rFonts w:hint="default" w:ascii="Times New Roman" w:hAnsi="Times New Roman" w:cs="Times New Roman"/>
          <w:color w:val="000000" w:themeColor="text1"/>
          <w14:textFill>
            <w14:solidFill>
              <w14:schemeClr w14:val="tx1"/>
            </w14:solidFill>
          </w14:textFill>
        </w:rPr>
        <w:t xml:space="preserve"> was the most common (11 cases, 29.00%), followed by </w:t>
      </w:r>
      <w:r>
        <w:rPr>
          <w:rFonts w:hint="default" w:ascii="Times New Roman" w:hAnsi="Times New Roman" w:cs="Times New Roman"/>
          <w:i/>
          <w:iCs/>
          <w:color w:val="000000" w:themeColor="text1"/>
          <w14:textFill>
            <w14:solidFill>
              <w14:schemeClr w14:val="tx1"/>
            </w14:solidFill>
          </w14:textFill>
        </w:rPr>
        <w:t>Human Herpesvirus-5</w:t>
      </w:r>
      <w:r>
        <w:rPr>
          <w:rFonts w:hint="default" w:ascii="Times New Roman" w:hAnsi="Times New Roman" w:cs="Times New Roman"/>
          <w:color w:val="000000" w:themeColor="text1"/>
          <w14:textFill>
            <w14:solidFill>
              <w14:schemeClr w14:val="tx1"/>
            </w14:solidFill>
          </w14:textFill>
        </w:rPr>
        <w:t xml:space="preserve"> (8 cases, 21.10%), </w:t>
      </w:r>
      <w:r>
        <w:rPr>
          <w:rFonts w:hint="default" w:ascii="Times New Roman" w:hAnsi="Times New Roman" w:cs="Times New Roman"/>
          <w:i/>
          <w:iCs/>
          <w:color w:val="000000" w:themeColor="text1"/>
          <w14:textFill>
            <w14:solidFill>
              <w14:schemeClr w14:val="tx1"/>
            </w14:solidFill>
          </w14:textFill>
        </w:rPr>
        <w:t>Human Herpesvirus-4</w:t>
      </w:r>
      <w:r>
        <w:rPr>
          <w:rFonts w:hint="default" w:ascii="Times New Roman" w:hAnsi="Times New Roman" w:cs="Times New Roman"/>
          <w:color w:val="000000" w:themeColor="text1"/>
          <w14:textFill>
            <w14:solidFill>
              <w14:schemeClr w14:val="tx1"/>
            </w14:solidFill>
          </w14:textFill>
        </w:rPr>
        <w:t xml:space="preserve"> (7 cases, 18.42%)</w:t>
      </w:r>
      <w:bookmarkStart w:id="7" w:name="OLE_LINK40"/>
      <w:r>
        <w:rPr>
          <w:rFonts w:hint="default" w:ascii="Times New Roman" w:hAnsi="Times New Roman" w:cs="Times New Roman"/>
          <w:color w:val="000000" w:themeColor="text1"/>
          <w14:textFill>
            <w14:solidFill>
              <w14:schemeClr w14:val="tx1"/>
            </w14:solidFill>
          </w14:textFill>
        </w:rPr>
        <w:t xml:space="preserve"> </w:t>
      </w:r>
      <w:bookmarkEnd w:id="7"/>
      <w:r>
        <w:rPr>
          <w:rFonts w:hint="default" w:ascii="Times New Roman" w:hAnsi="Times New Roman" w:cs="Times New Roman"/>
          <w:color w:val="000000" w:themeColor="text1"/>
          <w14:textFill>
            <w14:solidFill>
              <w14:schemeClr w14:val="tx1"/>
            </w14:solidFill>
          </w14:textFill>
        </w:rPr>
        <w:t>and Human Herpesvirus-7 (7cases，18．42%) (</w:t>
      </w:r>
      <w:r>
        <w:rPr>
          <w:rFonts w:hint="default" w:ascii="Times New Roman" w:hAnsi="Times New Roman" w:cs="Times New Roman"/>
          <w:b w:val="0"/>
          <w:bCs w:val="0"/>
          <w:color w:val="000000" w:themeColor="text1"/>
          <w14:textFill>
            <w14:solidFill>
              <w14:schemeClr w14:val="tx1"/>
            </w14:solidFill>
          </w14:textFill>
        </w:rPr>
        <w:t xml:space="preserve">Figure </w:t>
      </w:r>
      <w:r>
        <w:rPr>
          <w:rFonts w:hint="default" w:ascii="Times New Roman" w:hAnsi="Times New Roman" w:cs="Times New Roman"/>
          <w:b w:val="0"/>
          <w:bCs w:val="0"/>
          <w:color w:val="000000" w:themeColor="text1"/>
          <w:lang w:val="en-US" w:eastAsia="zh-CN"/>
          <w14:textFill>
            <w14:solidFill>
              <w14:schemeClr w14:val="tx1"/>
            </w14:solidFill>
          </w14:textFill>
        </w:rPr>
        <w:t>S</w:t>
      </w:r>
      <w:r>
        <w:rPr>
          <w:rFonts w:hint="eastAsia" w:ascii="Times New Roman" w:hAnsi="Times New Roman" w:cs="Times New Roman"/>
          <w:b w:val="0"/>
          <w:bCs w:val="0"/>
          <w:color w:val="000000" w:themeColor="text1"/>
          <w:lang w:val="en-US" w:eastAsia="zh-CN"/>
          <w14:textFill>
            <w14:solidFill>
              <w14:schemeClr w14:val="tx1"/>
            </w14:solidFill>
          </w14:textFill>
        </w:rPr>
        <w:t>2</w:t>
      </w:r>
      <w:r>
        <w:rPr>
          <w:rFonts w:hint="default" w:ascii="Times New Roman" w:hAnsi="Times New Roman" w:cs="Times New Roman"/>
          <w:b w:val="0"/>
          <w:bCs w:val="0"/>
          <w:color w:val="000000" w:themeColor="text1"/>
          <w14:textFill>
            <w14:solidFill>
              <w14:schemeClr w14:val="tx1"/>
            </w14:solidFill>
          </w14:textFill>
        </w:rPr>
        <w:t>A</w:t>
      </w:r>
      <w:r>
        <w:rPr>
          <w:rFonts w:hint="default" w:ascii="Times New Roman" w:hAnsi="Times New Roman" w:cs="Times New Roman"/>
          <w:color w:val="000000" w:themeColor="text1"/>
          <w14:textFill>
            <w14:solidFill>
              <w14:schemeClr w14:val="tx1"/>
            </w14:solidFill>
          </w14:textFill>
        </w:rPr>
        <w:t xml:space="preserve">). For the immunocompetent group, the three most commonly detected bacteria in conventional culture were </w:t>
      </w:r>
      <w:r>
        <w:rPr>
          <w:rFonts w:hint="default" w:ascii="Times New Roman" w:hAnsi="Times New Roman" w:cs="Times New Roman"/>
          <w:i/>
          <w:iCs/>
          <w:color w:val="000000" w:themeColor="text1"/>
          <w14:textFill>
            <w14:solidFill>
              <w14:schemeClr w14:val="tx1"/>
            </w14:solidFill>
          </w14:textFill>
        </w:rPr>
        <w:t>Pseudomonas aeruginosa</w:t>
      </w:r>
      <w:r>
        <w:rPr>
          <w:rFonts w:hint="default" w:ascii="Times New Roman" w:hAnsi="Times New Roman" w:cs="Times New Roman"/>
          <w:color w:val="000000" w:themeColor="text1"/>
          <w14:textFill>
            <w14:solidFill>
              <w14:schemeClr w14:val="tx1"/>
            </w14:solidFill>
          </w14:textFill>
        </w:rPr>
        <w:t xml:space="preserve"> (15 cases, 22.40%), </w:t>
      </w:r>
      <w:r>
        <w:rPr>
          <w:rFonts w:hint="default" w:ascii="Times New Roman" w:hAnsi="Times New Roman" w:cs="Times New Roman"/>
          <w:i/>
          <w:iCs/>
          <w:color w:val="000000" w:themeColor="text1"/>
          <w14:textFill>
            <w14:solidFill>
              <w14:schemeClr w14:val="tx1"/>
            </w14:solidFill>
          </w14:textFill>
        </w:rPr>
        <w:t>Klebsiella pneumoniae</w:t>
      </w:r>
      <w:r>
        <w:rPr>
          <w:rFonts w:hint="default" w:ascii="Times New Roman" w:hAnsi="Times New Roman" w:cs="Times New Roman"/>
          <w:color w:val="000000" w:themeColor="text1"/>
          <w14:textFill>
            <w14:solidFill>
              <w14:schemeClr w14:val="tx1"/>
            </w14:solidFill>
          </w14:textFill>
        </w:rPr>
        <w:t xml:space="preserve"> (7 cases, 10.45%) and </w:t>
      </w:r>
      <w:r>
        <w:rPr>
          <w:rFonts w:hint="default" w:ascii="Times New Roman" w:hAnsi="Times New Roman" w:cs="Times New Roman"/>
          <w:i/>
          <w:iCs/>
          <w:color w:val="000000" w:themeColor="text1"/>
          <w14:textFill>
            <w14:solidFill>
              <w14:schemeClr w14:val="tx1"/>
            </w14:solidFill>
          </w14:textFill>
        </w:rPr>
        <w:t>Staphylococcus aureus</w:t>
      </w:r>
      <w:r>
        <w:rPr>
          <w:rFonts w:hint="default" w:ascii="Times New Roman" w:hAnsi="Times New Roman" w:cs="Times New Roman"/>
          <w:color w:val="000000" w:themeColor="text1"/>
          <w14:textFill>
            <w14:solidFill>
              <w14:schemeClr w14:val="tx1"/>
            </w14:solidFill>
          </w14:textFill>
        </w:rPr>
        <w:t xml:space="preserve"> (5 cases, 7.46%). As for fungi, </w:t>
      </w:r>
      <w:r>
        <w:rPr>
          <w:rFonts w:hint="default" w:ascii="Times New Roman" w:hAnsi="Times New Roman" w:cs="Times New Roman"/>
          <w:i/>
          <w:iCs/>
          <w:color w:val="000000" w:themeColor="text1"/>
          <w14:textFill>
            <w14:solidFill>
              <w14:schemeClr w14:val="tx1"/>
            </w14:solidFill>
          </w14:textFill>
        </w:rPr>
        <w:t>Aspergillus</w:t>
      </w:r>
      <w:r>
        <w:rPr>
          <w:rFonts w:hint="default" w:ascii="Times New Roman" w:hAnsi="Times New Roman" w:cs="Times New Roman"/>
          <w:color w:val="000000" w:themeColor="text1"/>
          <w14:textFill>
            <w14:solidFill>
              <w14:schemeClr w14:val="tx1"/>
            </w14:solidFill>
          </w14:textFill>
        </w:rPr>
        <w:t xml:space="preserve"> (16 cases, 24.00%) and </w:t>
      </w:r>
      <w:r>
        <w:rPr>
          <w:rFonts w:hint="default" w:ascii="Times New Roman" w:hAnsi="Times New Roman" w:cs="Times New Roman"/>
          <w:i/>
          <w:iCs/>
          <w:color w:val="000000" w:themeColor="text1"/>
          <w14:textFill>
            <w14:solidFill>
              <w14:schemeClr w14:val="tx1"/>
            </w14:solidFill>
          </w14:textFill>
        </w:rPr>
        <w:t>Candida</w:t>
      </w:r>
      <w:r>
        <w:rPr>
          <w:rFonts w:hint="default" w:ascii="Times New Roman" w:hAnsi="Times New Roman" w:cs="Times New Roman"/>
          <w:color w:val="000000" w:themeColor="text1"/>
          <w14:textFill>
            <w14:solidFill>
              <w14:schemeClr w14:val="tx1"/>
            </w14:solidFill>
          </w14:textFill>
        </w:rPr>
        <w:t xml:space="preserve"> (14 cases, 21.00%) were the predominant species identified. The bacteria identified in the immunocompromised group included </w:t>
      </w:r>
      <w:r>
        <w:rPr>
          <w:rFonts w:hint="default" w:ascii="Times New Roman" w:hAnsi="Times New Roman" w:cs="Times New Roman"/>
          <w:i/>
          <w:iCs/>
          <w:color w:val="000000" w:themeColor="text1"/>
          <w14:textFill>
            <w14:solidFill>
              <w14:schemeClr w14:val="tx1"/>
            </w14:solidFill>
          </w14:textFill>
        </w:rPr>
        <w:t>Pseudomonas aeruginosa</w:t>
      </w:r>
      <w:r>
        <w:rPr>
          <w:rFonts w:hint="default" w:ascii="Times New Roman" w:hAnsi="Times New Roman" w:cs="Times New Roman"/>
          <w:color w:val="000000" w:themeColor="text1"/>
          <w14:textFill>
            <w14:solidFill>
              <w14:schemeClr w14:val="tx1"/>
            </w14:solidFill>
          </w14:textFill>
        </w:rPr>
        <w:t xml:space="preserve"> (3 cases, 20%), </w:t>
      </w:r>
      <w:r>
        <w:rPr>
          <w:rFonts w:hint="default" w:ascii="Times New Roman" w:hAnsi="Times New Roman" w:cs="Times New Roman"/>
          <w:i/>
          <w:iCs/>
          <w:color w:val="000000" w:themeColor="text1"/>
          <w14:textFill>
            <w14:solidFill>
              <w14:schemeClr w14:val="tx1"/>
            </w14:solidFill>
          </w14:textFill>
        </w:rPr>
        <w:t>Staphylococcus aureus</w:t>
      </w:r>
      <w:r>
        <w:rPr>
          <w:rFonts w:hint="default" w:ascii="Times New Roman" w:hAnsi="Times New Roman" w:cs="Times New Roman"/>
          <w:color w:val="000000" w:themeColor="text1"/>
          <w14:textFill>
            <w14:solidFill>
              <w14:schemeClr w14:val="tx1"/>
            </w14:solidFill>
          </w14:textFill>
        </w:rPr>
        <w:t xml:space="preserve"> (2 cases, 13.33%), and </w:t>
      </w:r>
      <w:r>
        <w:rPr>
          <w:rFonts w:hint="default" w:ascii="Times New Roman" w:hAnsi="Times New Roman" w:cs="Times New Roman"/>
          <w:i/>
          <w:iCs/>
          <w:color w:val="000000" w:themeColor="text1"/>
          <w14:textFill>
            <w14:solidFill>
              <w14:schemeClr w14:val="tx1"/>
            </w14:solidFill>
          </w14:textFill>
        </w:rPr>
        <w:t>Acinetobacter baumannii</w:t>
      </w:r>
      <w:r>
        <w:rPr>
          <w:rFonts w:hint="default" w:ascii="Times New Roman" w:hAnsi="Times New Roman" w:cs="Times New Roman"/>
          <w:color w:val="000000" w:themeColor="text1"/>
          <w14:textFill>
            <w14:solidFill>
              <w14:schemeClr w14:val="tx1"/>
            </w14:solidFill>
          </w14:textFill>
        </w:rPr>
        <w:t xml:space="preserve"> (1 case, 6.67%).</w:t>
      </w:r>
      <w:bookmarkStart w:id="8" w:name="OLE_LINK89"/>
      <w:r>
        <w:rPr>
          <w:rFonts w:hint="default" w:ascii="Times New Roman" w:hAnsi="Times New Roman" w:cs="Times New Roman"/>
          <w:color w:val="000000" w:themeColor="text1"/>
          <w14:textFill>
            <w14:solidFill>
              <w14:schemeClr w14:val="tx1"/>
            </w14:solidFill>
          </w14:textFill>
        </w:rPr>
        <w:t xml:space="preserve"> </w:t>
      </w:r>
      <w:bookmarkEnd w:id="5"/>
      <w:bookmarkEnd w:id="6"/>
      <w:bookmarkEnd w:id="8"/>
      <w:r>
        <w:rPr>
          <w:rFonts w:hint="default" w:ascii="Times New Roman" w:hAnsi="Times New Roman" w:cs="Times New Roman"/>
          <w:color w:val="000000" w:themeColor="text1"/>
          <w14:textFill>
            <w14:solidFill>
              <w14:schemeClr w14:val="tx1"/>
            </w14:solidFill>
          </w14:textFill>
        </w:rPr>
        <w:t xml:space="preserve">Most frequently isolated fungi were </w:t>
      </w:r>
      <w:r>
        <w:rPr>
          <w:rFonts w:hint="default" w:ascii="Times New Roman" w:hAnsi="Times New Roman" w:cs="Times New Roman"/>
          <w:i/>
          <w:iCs/>
          <w:color w:val="000000" w:themeColor="text1"/>
          <w14:textFill>
            <w14:solidFill>
              <w14:schemeClr w14:val="tx1"/>
            </w14:solidFill>
          </w14:textFill>
        </w:rPr>
        <w:t>Candida</w:t>
      </w:r>
      <w:r>
        <w:rPr>
          <w:rFonts w:hint="default" w:ascii="Times New Roman" w:hAnsi="Times New Roman" w:cs="Times New Roman"/>
          <w:color w:val="000000" w:themeColor="text1"/>
          <w14:textFill>
            <w14:solidFill>
              <w14:schemeClr w14:val="tx1"/>
            </w14:solidFill>
          </w14:textFill>
        </w:rPr>
        <w:t xml:space="preserve"> (9 cases, 60%) and </w:t>
      </w:r>
      <w:r>
        <w:rPr>
          <w:rFonts w:hint="default" w:ascii="Times New Roman" w:hAnsi="Times New Roman" w:cs="Times New Roman"/>
          <w:i/>
          <w:iCs/>
          <w:color w:val="000000" w:themeColor="text1"/>
          <w14:textFill>
            <w14:solidFill>
              <w14:schemeClr w14:val="tx1"/>
            </w14:solidFill>
          </w14:textFill>
        </w:rPr>
        <w:t>Aspergillus</w:t>
      </w:r>
      <w:r>
        <w:rPr>
          <w:rFonts w:hint="default" w:ascii="Times New Roman" w:hAnsi="Times New Roman" w:cs="Times New Roman"/>
          <w:color w:val="000000" w:themeColor="text1"/>
          <w14:textFill>
            <w14:solidFill>
              <w14:schemeClr w14:val="tx1"/>
            </w14:solidFill>
          </w14:textFill>
        </w:rPr>
        <w:t xml:space="preserve"> (4 cases, 27%) (</w:t>
      </w:r>
      <w:r>
        <w:rPr>
          <w:rFonts w:hint="default" w:ascii="Times New Roman" w:hAnsi="Times New Roman" w:cs="Times New Roman"/>
          <w:b w:val="0"/>
          <w:bCs w:val="0"/>
          <w:color w:val="000000" w:themeColor="text1"/>
          <w14:textFill>
            <w14:solidFill>
              <w14:schemeClr w14:val="tx1"/>
            </w14:solidFill>
          </w14:textFill>
        </w:rPr>
        <w:t xml:space="preserve">Figure </w:t>
      </w:r>
      <w:r>
        <w:rPr>
          <w:rFonts w:hint="default" w:ascii="Times New Roman" w:hAnsi="Times New Roman" w:cs="Times New Roman"/>
          <w:b w:val="0"/>
          <w:bCs w:val="0"/>
          <w:color w:val="000000" w:themeColor="text1"/>
          <w:lang w:val="en-US" w:eastAsia="zh-CN"/>
          <w14:textFill>
            <w14:solidFill>
              <w14:schemeClr w14:val="tx1"/>
            </w14:solidFill>
          </w14:textFill>
        </w:rPr>
        <w:t>S</w:t>
      </w:r>
      <w:r>
        <w:rPr>
          <w:rFonts w:hint="eastAsia" w:ascii="Times New Roman" w:hAnsi="Times New Roman" w:cs="Times New Roman"/>
          <w:b w:val="0"/>
          <w:bCs w:val="0"/>
          <w:color w:val="000000" w:themeColor="text1"/>
          <w:lang w:val="en-US" w:eastAsia="zh-CN"/>
          <w14:textFill>
            <w14:solidFill>
              <w14:schemeClr w14:val="tx1"/>
            </w14:solidFill>
          </w14:textFill>
        </w:rPr>
        <w:t>2</w:t>
      </w:r>
      <w:r>
        <w:rPr>
          <w:rFonts w:hint="default" w:ascii="Times New Roman" w:hAnsi="Times New Roman" w:cs="Times New Roman"/>
          <w:b w:val="0"/>
          <w:bCs w:val="0"/>
          <w:color w:val="000000" w:themeColor="text1"/>
          <w14:textFill>
            <w14:solidFill>
              <w14:schemeClr w14:val="tx1"/>
            </w14:solidFill>
          </w14:textFill>
        </w:rPr>
        <w:t>B</w:t>
      </w:r>
      <w:r>
        <w:rPr>
          <w:rFonts w:hint="default" w:ascii="Times New Roman" w:hAnsi="Times New Roman" w:cs="Times New Roman"/>
          <w:color w:val="000000" w:themeColor="text1"/>
          <w14:textFill>
            <w14:solidFill>
              <w14:schemeClr w14:val="tx1"/>
            </w14:solidFill>
          </w14:textFill>
        </w:rPr>
        <w:t>).</w:t>
      </w:r>
    </w:p>
    <w:p w14:paraId="06F13ED2">
      <w:pPr>
        <w:pStyle w:val="2"/>
        <w:rPr>
          <w:rFonts w:hint="eastAsia" w:ascii="Times New Roman" w:hAnsi="Times New Roman" w:eastAsia="宋体" w:cs="Times New Roman"/>
          <w:color w:val="000000" w:themeColor="text1"/>
          <w:kern w:val="2"/>
          <w:sz w:val="24"/>
          <w:szCs w:val="24"/>
          <w:shd w:val="clear" w:color="auto" w:fill="FFFFFF"/>
          <w:lang w:eastAsia="zh-CN"/>
          <w14:textFill>
            <w14:solidFill>
              <w14:schemeClr w14:val="tx1"/>
            </w14:solidFill>
          </w14:textFill>
        </w:rPr>
      </w:pPr>
      <w:bookmarkStart w:id="9" w:name="OLE_LINK1"/>
    </w:p>
    <w:p w14:paraId="586C654C">
      <w:pPr>
        <w:pStyle w:val="2"/>
        <w:rPr>
          <w:rFonts w:hint="default" w:ascii="Times New Roman" w:hAnsi="Times New Roman" w:cs="Times New Roman"/>
          <w:color w:val="000000" w:themeColor="text1"/>
          <w:kern w:val="2"/>
          <w:sz w:val="24"/>
          <w:szCs w:val="24"/>
          <w:shd w:val="clear" w:color="auto" w:fill="FFFFFF"/>
          <w14:textFill>
            <w14:solidFill>
              <w14:schemeClr w14:val="tx1"/>
            </w14:solidFill>
          </w14:textFill>
        </w:rPr>
      </w:pPr>
      <w:r>
        <w:rPr>
          <w:rFonts w:hint="default" w:ascii="Times New Roman" w:hAnsi="Times New Roman" w:cs="Times New Roman"/>
          <w:color w:val="000000" w:themeColor="text1"/>
          <w:kern w:val="2"/>
          <w:sz w:val="24"/>
          <w:szCs w:val="24"/>
          <w:shd w:val="clear" w:color="auto" w:fill="FFFFFF"/>
          <w14:textFill>
            <w14:solidFill>
              <w14:schemeClr w14:val="tx1"/>
            </w14:solidFill>
          </w14:textFill>
        </w:rPr>
        <w:t>Antibiotic utilization associated with pre- or post- mNGS testing</w:t>
      </w:r>
    </w:p>
    <w:p w14:paraId="289EC741">
      <w:pPr>
        <w:pStyle w:val="2"/>
        <w:rPr>
          <w:rFonts w:hint="default" w:ascii="Times New Roman" w:hAnsi="Times New Roman" w:cs="Times New Roman"/>
          <w:color w:val="000000" w:themeColor="text1"/>
          <w:kern w:val="2"/>
          <w:sz w:val="24"/>
          <w:szCs w:val="24"/>
          <w:shd w:val="clear" w:color="auto" w:fill="FFFFFF"/>
          <w14:textFill>
            <w14:solidFill>
              <w14:schemeClr w14:val="tx1"/>
            </w14:solidFill>
          </w14:textFill>
        </w:rPr>
      </w:pPr>
      <w:r>
        <w:rPr>
          <w:rFonts w:hint="eastAsia" w:ascii="Times New Roman" w:hAnsi="Times New Roman" w:eastAsia="宋体" w:cs="Times New Roman"/>
          <w:color w:val="000000" w:themeColor="text1"/>
          <w:sz w:val="24"/>
          <w:szCs w:val="24"/>
          <w:lang w:val="en-US" w:eastAsia="zh-CN"/>
          <w14:textFill>
            <w14:solidFill>
              <w14:schemeClr w14:val="tx1"/>
            </w14:solidFill>
          </w14:textFill>
        </w:rPr>
        <w:drawing>
          <wp:inline distT="0" distB="0" distL="114300" distR="114300">
            <wp:extent cx="5261610" cy="3907790"/>
            <wp:effectExtent l="0" t="0" r="11430" b="8890"/>
            <wp:docPr id="3" name="图片 3" descr="Figure S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Figure S3"/>
                    <pic:cNvPicPr>
                      <a:picLocks noChangeAspect="1"/>
                    </pic:cNvPicPr>
                  </pic:nvPicPr>
                  <pic:blipFill>
                    <a:blip r:embed="rId6"/>
                    <a:stretch>
                      <a:fillRect/>
                    </a:stretch>
                  </pic:blipFill>
                  <pic:spPr>
                    <a:xfrm>
                      <a:off x="0" y="0"/>
                      <a:ext cx="5261610" cy="3907790"/>
                    </a:xfrm>
                    <a:prstGeom prst="rect">
                      <a:avLst/>
                    </a:prstGeom>
                  </pic:spPr>
                </pic:pic>
              </a:graphicData>
            </a:graphic>
          </wp:inline>
        </w:drawing>
      </w:r>
    </w:p>
    <w:bookmarkEnd w:id="9"/>
    <w:p w14:paraId="3C6B9B21">
      <w:pPr>
        <w:pStyle w:val="2"/>
        <w:ind w:firstLine="480" w:firstLineChars="200"/>
        <w:rPr>
          <w:rFonts w:hint="eastAsia"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cs="Times New Roman"/>
          <w:color w:val="000000" w:themeColor="text1"/>
          <w:sz w:val="24"/>
          <w:szCs w:val="24"/>
          <w14:textFill>
            <w14:solidFill>
              <w14:schemeClr w14:val="tx1"/>
            </w14:solidFill>
          </w14:textFill>
        </w:rPr>
        <w:t>The empirical antimicrobial treatment scheme commonly employed quinolones, penicillins, cephalosporins and carbapenems as the predominant antibiotics both prior to and subsequent to the mNGS test. In the immunocompetent group, quinolones were predominantly utilized (159 cases, 74.30%), followed by penicillins accounting for 38.80% (83 cases), cephalosporins comprising 34.11% (73 cases) and carbapenems representing 12.62% (27 cases), respectively (</w:t>
      </w:r>
      <w:r>
        <w:rPr>
          <w:rFonts w:hint="default" w:ascii="Times New Roman" w:hAnsi="Times New Roman" w:cs="Times New Roman"/>
          <w:b w:val="0"/>
          <w:bCs w:val="0"/>
          <w:color w:val="000000" w:themeColor="text1"/>
          <w:sz w:val="24"/>
          <w:szCs w:val="24"/>
          <w14:textFill>
            <w14:solidFill>
              <w14:schemeClr w14:val="tx1"/>
            </w14:solidFill>
          </w14:textFill>
        </w:rPr>
        <w:t>Figure S</w:t>
      </w:r>
      <w:r>
        <w:rPr>
          <w:rFonts w:hint="eastAsia" w:ascii="Times New Roman" w:hAnsi="Times New Roman" w:cs="Times New Roman"/>
          <w:b w:val="0"/>
          <w:bCs w:val="0"/>
          <w:color w:val="000000" w:themeColor="text1"/>
          <w:sz w:val="24"/>
          <w:szCs w:val="24"/>
          <w:lang w:val="en-US" w:eastAsia="zh-CN"/>
          <w14:textFill>
            <w14:solidFill>
              <w14:schemeClr w14:val="tx1"/>
            </w14:solidFill>
          </w14:textFill>
        </w:rPr>
        <w:t>3</w:t>
      </w:r>
      <w:r>
        <w:rPr>
          <w:rFonts w:hint="default" w:ascii="Times New Roman" w:hAnsi="Times New Roman" w:cs="Times New Roman"/>
          <w:b w:val="0"/>
          <w:bCs w:val="0"/>
          <w:color w:val="000000" w:themeColor="text1"/>
          <w:sz w:val="24"/>
          <w:szCs w:val="24"/>
          <w14:textFill>
            <w14:solidFill>
              <w14:schemeClr w14:val="tx1"/>
            </w14:solidFill>
          </w14:textFill>
        </w:rPr>
        <w:t>A</w:t>
      </w:r>
      <w:r>
        <w:rPr>
          <w:rFonts w:hint="default" w:ascii="Times New Roman" w:hAnsi="Times New Roman" w:cs="Times New Roman"/>
          <w:color w:val="000000" w:themeColor="text1"/>
          <w:sz w:val="24"/>
          <w:szCs w:val="24"/>
          <w14:textFill>
            <w14:solidFill>
              <w14:schemeClr w14:val="tx1"/>
            </w14:solidFill>
          </w14:textFill>
        </w:rPr>
        <w:t>). It is similar in the immunocompromised group, quinolones accounted for 92.11% (35 cases), penicillins for 39.47% (15 cases), cephalosporins for 39.47% (15 cases) and carbapenems for 23.68% (9 cases) (</w:t>
      </w:r>
      <w:r>
        <w:rPr>
          <w:rFonts w:hint="default" w:ascii="Times New Roman" w:hAnsi="Times New Roman" w:cs="Times New Roman"/>
          <w:b w:val="0"/>
          <w:bCs w:val="0"/>
          <w:color w:val="000000" w:themeColor="text1"/>
          <w:sz w:val="24"/>
          <w:szCs w:val="24"/>
          <w14:textFill>
            <w14:solidFill>
              <w14:schemeClr w14:val="tx1"/>
            </w14:solidFill>
          </w14:textFill>
        </w:rPr>
        <w:t>Figure S</w:t>
      </w:r>
      <w:r>
        <w:rPr>
          <w:rFonts w:hint="eastAsia" w:ascii="Times New Roman" w:hAnsi="Times New Roman" w:cs="Times New Roman"/>
          <w:b w:val="0"/>
          <w:bCs w:val="0"/>
          <w:color w:val="000000" w:themeColor="text1"/>
          <w:sz w:val="24"/>
          <w:szCs w:val="24"/>
          <w:lang w:val="en-US" w:eastAsia="zh-CN"/>
          <w14:textFill>
            <w14:solidFill>
              <w14:schemeClr w14:val="tx1"/>
            </w14:solidFill>
          </w14:textFill>
        </w:rPr>
        <w:t>3</w:t>
      </w:r>
      <w:r>
        <w:rPr>
          <w:rFonts w:hint="default" w:ascii="Times New Roman" w:hAnsi="Times New Roman" w:cs="Times New Roman"/>
          <w:b w:val="0"/>
          <w:bCs w:val="0"/>
          <w:color w:val="000000" w:themeColor="text1"/>
          <w:sz w:val="24"/>
          <w:szCs w:val="24"/>
          <w14:textFill>
            <w14:solidFill>
              <w14:schemeClr w14:val="tx1"/>
            </w14:solidFill>
          </w14:textFill>
        </w:rPr>
        <w:t>A</w:t>
      </w:r>
      <w:r>
        <w:rPr>
          <w:rFonts w:hint="default" w:ascii="Times New Roman" w:hAnsi="Times New Roman" w:cs="Times New Roman"/>
          <w:color w:val="000000" w:themeColor="text1"/>
          <w:sz w:val="24"/>
          <w:szCs w:val="24"/>
          <w14:textFill>
            <w14:solidFill>
              <w14:schemeClr w14:val="tx1"/>
            </w14:solidFill>
          </w14:textFill>
        </w:rPr>
        <w:t>). In the adjusted antimicrobial treatment regimen based on mNGS results, quinolones were the most frequently used antimicrobial agents (72.90%, 156 cases), followed by penicillins (41.60%, 89 cases), cephalosporins (33.20%, 71 cases) and carbapenems (17.30%, 37 cases) in the immunocompetent group (</w:t>
      </w:r>
      <w:r>
        <w:rPr>
          <w:rFonts w:hint="default" w:ascii="Times New Roman" w:hAnsi="Times New Roman" w:cs="Times New Roman"/>
          <w:b w:val="0"/>
          <w:bCs w:val="0"/>
          <w:color w:val="000000" w:themeColor="text1"/>
          <w:sz w:val="24"/>
          <w:szCs w:val="24"/>
          <w14:textFill>
            <w14:solidFill>
              <w14:schemeClr w14:val="tx1"/>
            </w14:solidFill>
          </w14:textFill>
        </w:rPr>
        <w:t>Figure S</w:t>
      </w:r>
      <w:r>
        <w:rPr>
          <w:rFonts w:hint="eastAsia" w:ascii="Times New Roman" w:hAnsi="Times New Roman" w:cs="Times New Roman"/>
          <w:b w:val="0"/>
          <w:bCs w:val="0"/>
          <w:color w:val="000000" w:themeColor="text1"/>
          <w:sz w:val="24"/>
          <w:szCs w:val="24"/>
          <w:lang w:val="en-US" w:eastAsia="zh-CN"/>
          <w14:textFill>
            <w14:solidFill>
              <w14:schemeClr w14:val="tx1"/>
            </w14:solidFill>
          </w14:textFill>
        </w:rPr>
        <w:t>3</w:t>
      </w:r>
      <w:r>
        <w:rPr>
          <w:rFonts w:hint="default" w:ascii="Times New Roman" w:hAnsi="Times New Roman" w:cs="Times New Roman"/>
          <w:b w:val="0"/>
          <w:bCs w:val="0"/>
          <w:color w:val="000000" w:themeColor="text1"/>
          <w:sz w:val="24"/>
          <w:szCs w:val="24"/>
          <w14:textFill>
            <w14:solidFill>
              <w14:schemeClr w14:val="tx1"/>
            </w14:solidFill>
          </w14:textFill>
        </w:rPr>
        <w:t>B</w:t>
      </w:r>
      <w:bookmarkStart w:id="10" w:name="OLE_LINK47"/>
      <w:r>
        <w:rPr>
          <w:rFonts w:hint="default" w:ascii="Times New Roman" w:hAnsi="Times New Roman" w:cs="Times New Roman"/>
          <w:color w:val="000000" w:themeColor="text1"/>
          <w:sz w:val="24"/>
          <w:szCs w:val="24"/>
          <w14:textFill>
            <w14:solidFill>
              <w14:schemeClr w14:val="tx1"/>
            </w14:solidFill>
          </w14:textFill>
        </w:rPr>
        <w:t>)</w:t>
      </w:r>
      <w:bookmarkEnd w:id="10"/>
      <w:r>
        <w:rPr>
          <w:rFonts w:hint="default" w:ascii="Times New Roman" w:hAnsi="Times New Roman" w:cs="Times New Roman"/>
          <w:color w:val="000000" w:themeColor="text1"/>
          <w:sz w:val="24"/>
          <w:szCs w:val="24"/>
          <w14:textFill>
            <w14:solidFill>
              <w14:schemeClr w14:val="tx1"/>
            </w14:solidFill>
          </w14:textFill>
        </w:rPr>
        <w:t>, which was consistent with the empirical antimicrobial agents used prior to mNGS testing. It is also similar in the immunocompromised group, quinolones accounted for 76.32% (29 cases), cephalosporins for 44.74% (17 cases), penicillins for 42.11% (16 cases) and carbapenems for 34.21% (13 cases) (</w:t>
      </w:r>
      <w:r>
        <w:rPr>
          <w:rFonts w:hint="default" w:ascii="Times New Roman" w:hAnsi="Times New Roman" w:cs="Times New Roman"/>
          <w:b w:val="0"/>
          <w:bCs w:val="0"/>
          <w:color w:val="000000" w:themeColor="text1"/>
          <w:sz w:val="24"/>
          <w:szCs w:val="24"/>
          <w14:textFill>
            <w14:solidFill>
              <w14:schemeClr w14:val="tx1"/>
            </w14:solidFill>
          </w14:textFill>
        </w:rPr>
        <w:t>Figure S</w:t>
      </w:r>
      <w:r>
        <w:rPr>
          <w:rFonts w:hint="eastAsia" w:ascii="Times New Roman" w:hAnsi="Times New Roman" w:cs="Times New Roman"/>
          <w:b w:val="0"/>
          <w:bCs w:val="0"/>
          <w:color w:val="000000" w:themeColor="text1"/>
          <w:sz w:val="24"/>
          <w:szCs w:val="24"/>
          <w:lang w:val="en-US" w:eastAsia="zh-CN"/>
          <w14:textFill>
            <w14:solidFill>
              <w14:schemeClr w14:val="tx1"/>
            </w14:solidFill>
          </w14:textFill>
        </w:rPr>
        <w:t>3</w:t>
      </w:r>
      <w:r>
        <w:rPr>
          <w:rFonts w:hint="default" w:ascii="Times New Roman" w:hAnsi="Times New Roman" w:cs="Times New Roman"/>
          <w:b w:val="0"/>
          <w:bCs w:val="0"/>
          <w:color w:val="000000" w:themeColor="text1"/>
          <w:sz w:val="24"/>
          <w:szCs w:val="24"/>
          <w14:textFill>
            <w14:solidFill>
              <w14:schemeClr w14:val="tx1"/>
            </w14:solidFill>
          </w14:textFill>
        </w:rPr>
        <w:t>B</w:t>
      </w:r>
      <w:r>
        <w:rPr>
          <w:rFonts w:hint="default" w:ascii="Times New Roman" w:hAnsi="Times New Roman" w:cs="Times New Roman"/>
          <w:color w:val="000000" w:themeColor="text1"/>
          <w:sz w:val="24"/>
          <w:szCs w:val="24"/>
          <w14:textFill>
            <w14:solidFill>
              <w14:schemeClr w14:val="tx1"/>
            </w14:solidFill>
          </w14:textFill>
        </w:rPr>
        <w:t xml:space="preserve">). Moreover, compared to immunocompetent patients, immunocompromised patients had fewer full pathogen covered empirical antibiotic therapy (11/38 = 28.95% vs. 130/214 = 60.75%, </w:t>
      </w:r>
      <w:bookmarkStart w:id="11" w:name="OLE_LINK102"/>
      <w:r>
        <w:rPr>
          <w:rFonts w:hint="default" w:ascii="Times New Roman" w:hAnsi="Times New Roman" w:cs="Times New Roman"/>
          <w:color w:val="000000" w:themeColor="text1"/>
          <w:sz w:val="24"/>
          <w:szCs w:val="24"/>
          <w14:textFill>
            <w14:solidFill>
              <w14:schemeClr w14:val="tx1"/>
            </w14:solidFill>
          </w14:textFill>
        </w:rPr>
        <w:t>p&lt;</w:t>
      </w:r>
      <w:bookmarkEnd w:id="11"/>
      <w:r>
        <w:rPr>
          <w:rFonts w:hint="default" w:ascii="Times New Roman" w:hAnsi="Times New Roman" w:cs="Times New Roman"/>
          <w:color w:val="000000" w:themeColor="text1"/>
          <w:sz w:val="24"/>
          <w:szCs w:val="24"/>
          <w14:textFill>
            <w14:solidFill>
              <w14:schemeClr w14:val="tx1"/>
            </w14:solidFill>
          </w14:textFill>
        </w:rPr>
        <w:t>0.001(</w:t>
      </w:r>
      <w:bookmarkStart w:id="12" w:name="OLE_LINK37"/>
      <w:r>
        <w:rPr>
          <w:rFonts w:hint="default" w:ascii="Times New Roman" w:hAnsi="Times New Roman" w:cs="Times New Roman"/>
          <w:b w:val="0"/>
          <w:bCs w:val="0"/>
          <w:color w:val="000000" w:themeColor="text1"/>
          <w:sz w:val="24"/>
          <w:szCs w:val="24"/>
          <w14:textFill>
            <w14:solidFill>
              <w14:schemeClr w14:val="tx1"/>
            </w14:solidFill>
          </w14:textFill>
        </w:rPr>
        <w:t>Figure</w:t>
      </w:r>
      <w:bookmarkEnd w:id="12"/>
      <w:r>
        <w:rPr>
          <w:rFonts w:hint="default" w:ascii="Times New Roman" w:hAnsi="Times New Roman" w:cs="Times New Roman"/>
          <w:b w:val="0"/>
          <w:bCs w:val="0"/>
          <w:color w:val="000000" w:themeColor="text1"/>
          <w:sz w:val="24"/>
          <w:szCs w:val="24"/>
          <w14:textFill>
            <w14:solidFill>
              <w14:schemeClr w14:val="tx1"/>
            </w14:solidFill>
          </w14:textFill>
        </w:rPr>
        <w:t xml:space="preserve"> S</w:t>
      </w:r>
      <w:r>
        <w:rPr>
          <w:rFonts w:hint="eastAsia" w:ascii="Times New Roman" w:hAnsi="Times New Roman" w:cs="Times New Roman"/>
          <w:b w:val="0"/>
          <w:bCs w:val="0"/>
          <w:color w:val="000000" w:themeColor="text1"/>
          <w:sz w:val="24"/>
          <w:szCs w:val="24"/>
          <w:lang w:val="en-US" w:eastAsia="zh-CN"/>
          <w14:textFill>
            <w14:solidFill>
              <w14:schemeClr w14:val="tx1"/>
            </w14:solidFill>
          </w14:textFill>
        </w:rPr>
        <w:t>3</w:t>
      </w:r>
      <w:r>
        <w:rPr>
          <w:rFonts w:hint="default" w:ascii="Times New Roman" w:hAnsi="Times New Roman" w:cs="Times New Roman"/>
          <w:color w:val="000000" w:themeColor="text1"/>
          <w:sz w:val="24"/>
          <w:szCs w:val="24"/>
          <w14:textFill>
            <w14:solidFill>
              <w14:schemeClr w14:val="tx1"/>
            </w14:solidFill>
          </w14:textFill>
        </w:rPr>
        <w:t>).</w:t>
      </w:r>
      <w:bookmarkStart w:id="13" w:name="_GoBack"/>
      <w:bookmarkEnd w:id="13"/>
    </w:p>
    <w:sectPr>
      <w:pgSz w:w="11906" w:h="16838"/>
      <w:pgMar w:top="1440" w:right="1800" w:bottom="1440" w:left="1800" w:header="851" w:footer="992" w:gutter="0"/>
      <w:lnNumType w:countBy="1" w:restart="continuou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AyMTY5ZmZlYTc5ZGY5NDVmZDY5ZTYzZTQwMDM4MTYifQ=="/>
  </w:docVars>
  <w:rsids>
    <w:rsidRoot w:val="7D02338D"/>
    <w:rsid w:val="02DF2F32"/>
    <w:rsid w:val="036A712A"/>
    <w:rsid w:val="07A621E9"/>
    <w:rsid w:val="097C41A0"/>
    <w:rsid w:val="0AB436E5"/>
    <w:rsid w:val="1597787A"/>
    <w:rsid w:val="16871EC5"/>
    <w:rsid w:val="1DD27F86"/>
    <w:rsid w:val="1EC16A83"/>
    <w:rsid w:val="24E933BD"/>
    <w:rsid w:val="279B0A02"/>
    <w:rsid w:val="2E7D46ED"/>
    <w:rsid w:val="2F5F44C4"/>
    <w:rsid w:val="365131F0"/>
    <w:rsid w:val="398C212F"/>
    <w:rsid w:val="3F302C3B"/>
    <w:rsid w:val="3FBA3E66"/>
    <w:rsid w:val="40262C80"/>
    <w:rsid w:val="40730CFD"/>
    <w:rsid w:val="46FF0917"/>
    <w:rsid w:val="485B64CE"/>
    <w:rsid w:val="48EE1869"/>
    <w:rsid w:val="4C94356B"/>
    <w:rsid w:val="5235288B"/>
    <w:rsid w:val="53914B59"/>
    <w:rsid w:val="592245F5"/>
    <w:rsid w:val="5AC83B36"/>
    <w:rsid w:val="5C497D6D"/>
    <w:rsid w:val="5D3F6E02"/>
    <w:rsid w:val="601C0596"/>
    <w:rsid w:val="61FF02F1"/>
    <w:rsid w:val="6FB840B4"/>
    <w:rsid w:val="730F697D"/>
    <w:rsid w:val="734155BF"/>
    <w:rsid w:val="793F48B0"/>
    <w:rsid w:val="7B8C02B5"/>
    <w:rsid w:val="7C2E3F85"/>
    <w:rsid w:val="7D0233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1"/>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nhideWhenUsed/>
    <w:qFormat/>
    <w:uiPriority w:val="99"/>
    <w:pPr>
      <w:widowControl/>
      <w:spacing w:beforeAutospacing="1" w:afterAutospacing="1" w:line="360" w:lineRule="auto"/>
    </w:pPr>
    <w:rPr>
      <w:kern w:val="0"/>
      <w:sz w:val="24"/>
      <w:szCs w:val="24"/>
    </w:rPr>
  </w:style>
  <w:style w:type="table" w:styleId="4">
    <w:name w:val="Table Grid"/>
    <w:basedOn w:val="3"/>
    <w:qFormat/>
    <w:uiPriority w:val="99"/>
    <w:pPr>
      <w:widowControl w:val="0"/>
      <w:jc w:val="both"/>
    </w:pPr>
    <w:rPr>
      <w:rFonts w:eastAsia="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889</Words>
  <Characters>5503</Characters>
  <Lines>0</Lines>
  <Paragraphs>0</Paragraphs>
  <TotalTime>12</TotalTime>
  <ScaleCrop>false</ScaleCrop>
  <LinksUpToDate>false</LinksUpToDate>
  <CharactersWithSpaces>6247</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2024-05-28T09:38:00Z</dcterms:created>
  <dc:creator>bei </dc:creator>
  <cp:lastModifiedBy>bei </cp:lastModifiedBy>
  <dcterms:modified xsi:type="dcterms:W3CDTF">2024-08-29T11:18:41Z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D8240BD7ADC54832A631188932BB7366_13</vt:lpwstr>
  </property>
</Properties>
</file>