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551426B5" w14:textId="77777777" w:rsidR="00E72CF7" w:rsidRDefault="00E72CF7" w:rsidP="00E72CF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Suppl. material 1. List of gastropoda mitogenomes used in phylogenetic and comparative analyses.</w:t>
      </w:r>
    </w:p>
    <w:p w14:paraId="011DC473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</w:p>
    <w:p w14:paraId="6E062952" w14:textId="77777777" w:rsidR="00E72CF7" w:rsidRDefault="00E72CF7" w:rsidP="00E72CF7">
      <w:pPr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Suppl. material 2. The nonsynonymous/synonymous ratios (ka/ks) in 13 PCGs of </w:t>
      </w:r>
      <w:r>
        <w:rPr>
          <w:rFonts w:ascii="Times New Roman" w:hAnsi="Times New Roman" w:cs="Times New Roman"/>
          <w:b/>
          <w:i/>
          <w:sz w:val="24"/>
          <w:szCs w:val="28"/>
        </w:rPr>
        <w:t>Achatina fulica</w:t>
      </w:r>
      <w:r>
        <w:rPr>
          <w:rFonts w:ascii="Times New Roman" w:hAnsi="Times New Roman" w:cs="Times New Roman"/>
          <w:b/>
          <w:sz w:val="24"/>
          <w:szCs w:val="28"/>
        </w:rPr>
        <w:t xml:space="preserve"> with </w:t>
      </w:r>
      <w:r>
        <w:rPr>
          <w:rFonts w:ascii="Times New Roman" w:hAnsi="Times New Roman" w:cs="Times New Roman"/>
          <w:b/>
          <w:i/>
          <w:sz w:val="24"/>
          <w:szCs w:val="28"/>
        </w:rPr>
        <w:t>M. pictum</w:t>
      </w:r>
      <w:r>
        <w:rPr>
          <w:rFonts w:ascii="Times New Roman" w:hAnsi="Times New Roman" w:cs="Times New Roman"/>
          <w:b/>
          <w:sz w:val="24"/>
          <w:szCs w:val="28"/>
        </w:rPr>
        <w:t xml:space="preserve"> and </w:t>
      </w:r>
      <w:r>
        <w:rPr>
          <w:rFonts w:ascii="Times New Roman" w:hAnsi="Times New Roman" w:cs="Times New Roman"/>
          <w:b/>
          <w:i/>
          <w:sz w:val="24"/>
          <w:szCs w:val="28"/>
        </w:rPr>
        <w:t>S. arundinetorum</w:t>
      </w:r>
      <w:r>
        <w:rPr>
          <w:rFonts w:ascii="Times New Roman" w:hAnsi="Times New Roman" w:cs="Times New Roman"/>
          <w:b/>
          <w:sz w:val="24"/>
          <w:szCs w:val="28"/>
        </w:rPr>
        <w:t>.</w:t>
      </w:r>
    </w:p>
    <w:p w14:paraId="7D6C1BCF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</w:p>
    <w:p w14:paraId="3773C4AB" w14:textId="77777777" w:rsidR="00E72CF7" w:rsidRDefault="00E72CF7" w:rsidP="00E72CF7">
      <w:pPr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Suppl. material 3. Nucleotide composition of the </w:t>
      </w:r>
      <w:r>
        <w:rPr>
          <w:rFonts w:ascii="Times New Roman" w:hAnsi="Times New Roman" w:cs="Times New Roman"/>
          <w:b/>
          <w:i/>
          <w:sz w:val="24"/>
          <w:szCs w:val="28"/>
        </w:rPr>
        <w:t>S. arundinetorum</w:t>
      </w:r>
      <w:r>
        <w:rPr>
          <w:rFonts w:ascii="Times New Roman" w:hAnsi="Times New Roman" w:cs="Times New Roman"/>
          <w:b/>
          <w:sz w:val="24"/>
          <w:szCs w:val="28"/>
        </w:rPr>
        <w:t xml:space="preserve"> and </w:t>
      </w:r>
      <w:r>
        <w:rPr>
          <w:rFonts w:ascii="Times New Roman" w:hAnsi="Times New Roman" w:cs="Times New Roman"/>
          <w:b/>
          <w:i/>
          <w:sz w:val="24"/>
          <w:szCs w:val="28"/>
        </w:rPr>
        <w:t>M. pictum</w:t>
      </w:r>
      <w:r>
        <w:rPr>
          <w:rFonts w:ascii="Times New Roman" w:hAnsi="Times New Roman" w:cs="Times New Roman"/>
          <w:b/>
          <w:sz w:val="24"/>
          <w:szCs w:val="28"/>
        </w:rPr>
        <w:t xml:space="preserve"> mitogenomes.</w:t>
      </w:r>
    </w:p>
    <w:p w14:paraId="6F4CA052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</w:p>
    <w:p w14:paraId="69AF5F93" w14:textId="77777777" w:rsidR="00E72CF7" w:rsidRDefault="00E72CF7" w:rsidP="00E72CF7">
      <w:pPr>
        <w:rPr>
          <w:rFonts w:ascii="Times New Roman" w:hAnsi="Times New Roman" w:cs="Times New Roman"/>
          <w:b/>
          <w:sz w:val="24"/>
          <w:szCs w:val="28"/>
        </w:rPr>
      </w:pPr>
      <w:bookmarkStart w:id="0" w:name="_Hlk140614924"/>
      <w:r>
        <w:rPr>
          <w:rFonts w:ascii="Times New Roman" w:hAnsi="Times New Roman" w:cs="Times New Roman"/>
          <w:b/>
          <w:sz w:val="24"/>
          <w:szCs w:val="28"/>
        </w:rPr>
        <w:t xml:space="preserve">Suppl. material 4. Amino acid type and percentage of </w:t>
      </w:r>
      <w:r>
        <w:rPr>
          <w:rFonts w:ascii="Times New Roman" w:hAnsi="Times New Roman" w:cs="Times New Roman"/>
          <w:b/>
          <w:i/>
          <w:sz w:val="24"/>
          <w:szCs w:val="28"/>
        </w:rPr>
        <w:t>S. arundinetorum</w:t>
      </w:r>
      <w:r>
        <w:rPr>
          <w:rFonts w:ascii="Times New Roman" w:hAnsi="Times New Roman" w:cs="Times New Roman"/>
          <w:b/>
          <w:sz w:val="24"/>
          <w:szCs w:val="28"/>
        </w:rPr>
        <w:t xml:space="preserve"> and </w:t>
      </w:r>
      <w:r>
        <w:rPr>
          <w:rFonts w:ascii="Times New Roman" w:hAnsi="Times New Roman" w:cs="Times New Roman"/>
          <w:b/>
          <w:i/>
          <w:sz w:val="24"/>
          <w:szCs w:val="28"/>
        </w:rPr>
        <w:t>M. pictum</w:t>
      </w:r>
      <w:r>
        <w:rPr>
          <w:rFonts w:ascii="Times New Roman" w:hAnsi="Times New Roman" w:cs="Times New Roman"/>
          <w:b/>
          <w:sz w:val="24"/>
          <w:szCs w:val="28"/>
        </w:rPr>
        <w:t>.</w:t>
      </w:r>
    </w:p>
    <w:bookmarkEnd w:id="0"/>
    <w:p w14:paraId="07F278ED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</w:p>
    <w:p w14:paraId="7C15CC7F" w14:textId="77777777" w:rsidR="00E72CF7" w:rsidRDefault="00E72CF7" w:rsidP="00E72CF7">
      <w:pPr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Suppl. material 5. Statistics on the size and number of repetitive sequences in the control region of </w:t>
      </w:r>
      <w:r>
        <w:rPr>
          <w:rFonts w:ascii="Times New Roman" w:hAnsi="Times New Roman" w:cs="Times New Roman"/>
          <w:b/>
          <w:i/>
          <w:sz w:val="24"/>
          <w:szCs w:val="28"/>
        </w:rPr>
        <w:t>S. arundinetorum</w:t>
      </w:r>
      <w:r>
        <w:rPr>
          <w:rFonts w:ascii="Times New Roman" w:hAnsi="Times New Roman" w:cs="Times New Roman"/>
          <w:b/>
          <w:sz w:val="24"/>
          <w:szCs w:val="28"/>
        </w:rPr>
        <w:t xml:space="preserve"> and </w:t>
      </w:r>
      <w:r>
        <w:rPr>
          <w:rFonts w:ascii="Times New Roman" w:hAnsi="Times New Roman" w:cs="Times New Roman"/>
          <w:b/>
          <w:i/>
          <w:sz w:val="24"/>
          <w:szCs w:val="28"/>
        </w:rPr>
        <w:t>M. pictum</w:t>
      </w:r>
      <w:r>
        <w:rPr>
          <w:rFonts w:ascii="Times New Roman" w:hAnsi="Times New Roman" w:cs="Times New Roman"/>
          <w:b/>
          <w:sz w:val="24"/>
          <w:szCs w:val="28"/>
        </w:rPr>
        <w:t>.</w:t>
      </w:r>
    </w:p>
    <w:p w14:paraId="6B533160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</w:p>
    <w:p w14:paraId="719A18D9" w14:textId="77777777" w:rsidR="00E72CF7" w:rsidRDefault="00E72CF7" w:rsidP="00E72CF7">
      <w:pPr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Suppl. material 6. Statistics of codon preference analysis of </w:t>
      </w:r>
      <w:r>
        <w:rPr>
          <w:rFonts w:ascii="Times New Roman" w:hAnsi="Times New Roman" w:cs="Times New Roman"/>
          <w:b/>
          <w:i/>
          <w:sz w:val="24"/>
          <w:szCs w:val="28"/>
        </w:rPr>
        <w:t>S. arundinetorum</w:t>
      </w:r>
      <w:r>
        <w:rPr>
          <w:rFonts w:ascii="Times New Roman" w:hAnsi="Times New Roman" w:cs="Times New Roman"/>
          <w:b/>
          <w:sz w:val="24"/>
          <w:szCs w:val="28"/>
        </w:rPr>
        <w:t xml:space="preserve"> and </w:t>
      </w:r>
      <w:r>
        <w:rPr>
          <w:rFonts w:ascii="Times New Roman" w:hAnsi="Times New Roman" w:cs="Times New Roman"/>
          <w:b/>
          <w:i/>
          <w:sz w:val="24"/>
          <w:szCs w:val="28"/>
        </w:rPr>
        <w:t>M. pictum</w:t>
      </w:r>
      <w:r>
        <w:rPr>
          <w:rFonts w:ascii="Times New Roman" w:hAnsi="Times New Roman" w:cs="Times New Roman"/>
          <w:b/>
          <w:sz w:val="24"/>
          <w:szCs w:val="28"/>
        </w:rPr>
        <w:t>.</w:t>
      </w:r>
    </w:p>
    <w:p w14:paraId="3FB8291B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</w:p>
    <w:p w14:paraId="170DB66B" w14:textId="77777777" w:rsidR="00E72CF7" w:rsidRDefault="00E72CF7" w:rsidP="00E72CF7">
      <w:pPr>
        <w:rPr>
          <w:rFonts w:ascii="Times New Roman" w:hAnsi="Times New Roman" w:cs="Times New Roman"/>
          <w:b/>
          <w:sz w:val="24"/>
          <w:szCs w:val="28"/>
        </w:rPr>
      </w:pPr>
      <w:bookmarkStart w:id="1" w:name="OLE_LINK36"/>
      <w:r>
        <w:rPr>
          <w:rFonts w:ascii="Times New Roman" w:hAnsi="Times New Roman" w:cs="Times New Roman"/>
          <w:b/>
          <w:sz w:val="24"/>
          <w:szCs w:val="28"/>
        </w:rPr>
        <w:t>Suppl. material</w:t>
      </w:r>
      <w:bookmarkEnd w:id="1"/>
      <w:r>
        <w:rPr>
          <w:rFonts w:ascii="Times New Roman" w:hAnsi="Times New Roman" w:cs="Times New Roman"/>
          <w:b/>
          <w:sz w:val="24"/>
          <w:szCs w:val="28"/>
        </w:rPr>
        <w:t xml:space="preserve"> 7. The nonsynonymous/synonymous ratios (Ka/Ks) in 13 mitochondrial PCGs of </w:t>
      </w:r>
      <w:r>
        <w:rPr>
          <w:rFonts w:ascii="Times New Roman" w:hAnsi="Times New Roman" w:cs="Times New Roman"/>
          <w:b/>
          <w:i/>
          <w:iCs/>
          <w:sz w:val="24"/>
          <w:szCs w:val="28"/>
        </w:rPr>
        <w:t>M. billineatum</w:t>
      </w:r>
      <w:r>
        <w:rPr>
          <w:rFonts w:ascii="Times New Roman" w:hAnsi="Times New Roman" w:cs="Times New Roman"/>
          <w:b/>
          <w:sz w:val="24"/>
          <w:szCs w:val="28"/>
        </w:rPr>
        <w:t xml:space="preserve"> and </w:t>
      </w:r>
      <w:r>
        <w:rPr>
          <w:rFonts w:ascii="Times New Roman" w:hAnsi="Times New Roman" w:cs="Times New Roman"/>
          <w:b/>
          <w:i/>
          <w:iCs/>
          <w:sz w:val="24"/>
          <w:szCs w:val="28"/>
        </w:rPr>
        <w:t>S. arundinetorum</w:t>
      </w:r>
      <w:r>
        <w:rPr>
          <w:rFonts w:ascii="Times New Roman" w:hAnsi="Times New Roman" w:cs="Times New Roman"/>
          <w:b/>
          <w:sz w:val="24"/>
          <w:szCs w:val="28"/>
        </w:rPr>
        <w:t>.</w:t>
      </w:r>
    </w:p>
    <w:p w14:paraId="041BF6E6" w14:textId="77777777" w:rsidR="00E72CF7" w:rsidRDefault="00E72CF7" w:rsidP="00E72CF7">
      <w:pPr>
        <w:rPr>
          <w:rFonts w:ascii="Times New Roman" w:hAnsi="Times New Roman" w:cs="Times New Roman"/>
          <w:b/>
          <w:sz w:val="24"/>
          <w:szCs w:val="28"/>
        </w:rPr>
      </w:pPr>
    </w:p>
    <w:p w14:paraId="3FDB88BB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Suppl. material 8. Composition and skewness of non-coding region in </w:t>
      </w:r>
      <w:r>
        <w:rPr>
          <w:rFonts w:ascii="Times New Roman" w:hAnsi="Times New Roman" w:cs="Times New Roman"/>
          <w:b/>
          <w:i/>
          <w:sz w:val="24"/>
          <w:szCs w:val="28"/>
        </w:rPr>
        <w:t>M. pictum</w:t>
      </w:r>
      <w:r>
        <w:rPr>
          <w:rFonts w:ascii="Times New Roman" w:hAnsi="Times New Roman" w:cs="Times New Roman"/>
          <w:b/>
          <w:sz w:val="24"/>
          <w:szCs w:val="28"/>
        </w:rPr>
        <w:t xml:space="preserve"> and </w:t>
      </w:r>
      <w:r>
        <w:rPr>
          <w:rFonts w:ascii="Times New Roman" w:hAnsi="Times New Roman" w:cs="Times New Roman"/>
          <w:b/>
          <w:i/>
          <w:iCs/>
          <w:sz w:val="24"/>
          <w:szCs w:val="28"/>
        </w:rPr>
        <w:t>S. arundinetorum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64194A18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</w:p>
    <w:p w14:paraId="393C6498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Suppl. material 9.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Composition and number of the scattered repeat sequences in </w:t>
      </w:r>
      <w:r>
        <w:rPr>
          <w:rFonts w:ascii="Times New Roman" w:hAnsi="Times New Roman" w:cs="Times New Roman"/>
          <w:b/>
          <w:i/>
          <w:sz w:val="24"/>
          <w:szCs w:val="28"/>
        </w:rPr>
        <w:t>M. pictum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and </w:t>
      </w:r>
      <w:r>
        <w:rPr>
          <w:rFonts w:ascii="Times New Roman" w:hAnsi="Times New Roman" w:cs="Times New Roman"/>
          <w:b/>
          <w:bCs/>
          <w:i/>
          <w:iCs/>
          <w:sz w:val="24"/>
          <w:szCs w:val="28"/>
        </w:rPr>
        <w:t>S. arundinetorum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Red for forwarding repetition, orange for palindromic repetition, blue for reverse repetition, and green for complementary repetition.</w:t>
      </w:r>
    </w:p>
    <w:p w14:paraId="5CEBE7F2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</w:p>
    <w:p w14:paraId="612E08C0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Suppl. material 10. The Phylogenetic tree was generated using the Bayesian analyses method from the amino acid composition of complete mitochondrial genomes</w:t>
      </w:r>
      <w:r>
        <w:rPr>
          <w:rFonts w:ascii="Times New Roman" w:hAnsi="Times New Roman" w:cs="Times New Roman"/>
          <w:sz w:val="24"/>
          <w:szCs w:val="28"/>
        </w:rPr>
        <w:t>. Numbers at the nodes are bootstrap values.</w:t>
      </w:r>
    </w:p>
    <w:p w14:paraId="3E12A5C9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</w:p>
    <w:p w14:paraId="6C6EE968" w14:textId="77777777" w:rsidR="00E72CF7" w:rsidRDefault="00E72CF7" w:rsidP="00E72CF7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Suppl. material 11. The Phylogenetic tree was generated using the Maximum Parsimony method from the amino acid composition of complete mitochondrial genomes.</w:t>
      </w:r>
      <w:r>
        <w:rPr>
          <w:rFonts w:ascii="Times New Roman" w:hAnsi="Times New Roman" w:cs="Times New Roman"/>
          <w:sz w:val="24"/>
          <w:szCs w:val="28"/>
        </w:rPr>
        <w:t xml:space="preserve"> Numbers at the nodes are bootstrap values.</w:t>
      </w:r>
    </w:p>
    <w:p w14:paraId="4BD9F692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CF7"/>
    <w:rsid w:val="002A5090"/>
    <w:rsid w:val="003F36CB"/>
    <w:rsid w:val="005C6F5D"/>
    <w:rsid w:val="008C374B"/>
    <w:rsid w:val="00954821"/>
    <w:rsid w:val="00A57C91"/>
    <w:rsid w:val="00AF416B"/>
    <w:rsid w:val="00E459B1"/>
    <w:rsid w:val="00E72CF7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7BDA18"/>
  <w15:chartTrackingRefBased/>
  <w15:docId w15:val="{04E0167F-2B9F-4DE1-B1E7-C481DE813905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CF7"/>
    <w:pPr>
      <w:widowControl w:val="0"/>
      <w:spacing w:after="0pt" w:line="12pt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2CF7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2CF7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2CF7"/>
    <w:pPr>
      <w:keepNext/>
      <w:keepLines/>
      <w:widowControl/>
      <w:spacing w:before="8pt" w:after="4pt" w:line="12.95pt" w:lineRule="auto"/>
      <w:jc w:val="star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2CF7"/>
    <w:pPr>
      <w:keepNext/>
      <w:keepLines/>
      <w:widowControl/>
      <w:spacing w:before="4pt" w:after="2pt" w:line="12.95pt" w:lineRule="auto"/>
      <w:jc w:val="star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2CF7"/>
    <w:pPr>
      <w:keepNext/>
      <w:keepLines/>
      <w:widowControl/>
      <w:spacing w:before="4pt" w:after="2pt" w:line="12.95pt" w:lineRule="auto"/>
      <w:jc w:val="star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2CF7"/>
    <w:pPr>
      <w:keepNext/>
      <w:keepLines/>
      <w:widowControl/>
      <w:spacing w:before="2pt" w:line="12.95pt" w:lineRule="auto"/>
      <w:jc w:val="star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2CF7"/>
    <w:pPr>
      <w:keepNext/>
      <w:keepLines/>
      <w:widowControl/>
      <w:spacing w:before="2pt" w:line="12.95pt" w:lineRule="auto"/>
      <w:jc w:val="star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2CF7"/>
    <w:pPr>
      <w:keepNext/>
      <w:keepLines/>
      <w:widowControl/>
      <w:spacing w:line="12.95pt" w:lineRule="auto"/>
      <w:jc w:val="star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2CF7"/>
    <w:pPr>
      <w:keepNext/>
      <w:keepLines/>
      <w:widowControl/>
      <w:spacing w:line="12.95pt" w:lineRule="auto"/>
      <w:jc w:val="star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C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2C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2C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2C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2C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2C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2C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2C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2C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2CF7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2C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2CF7"/>
    <w:pPr>
      <w:widowControl/>
      <w:numPr>
        <w:ilvl w:val="1"/>
      </w:numPr>
      <w:spacing w:after="8pt" w:line="12.95pt" w:lineRule="auto"/>
      <w:jc w:val="star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2C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2CF7"/>
    <w:pPr>
      <w:widowControl/>
      <w:spacing w:before="8pt" w:after="8pt" w:line="12.95pt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2C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2CF7"/>
    <w:pPr>
      <w:widowControl/>
      <w:spacing w:after="8pt" w:line="12.95pt" w:lineRule="auto"/>
      <w:ind w:start="36pt"/>
      <w:contextualSpacing/>
      <w:jc w:val="star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2C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2CF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2C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2C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226</Words>
  <Characters>1294</Characters>
  <Application>Microsoft Office Word</Application>
  <DocSecurity>0</DocSecurity>
  <Lines>10</Lines>
  <Paragraphs>3</Paragraphs>
  <ScaleCrop>false</ScaleCrop>
  <Company>Springer Nature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2024-09-30T04:29:00Z</dcterms:created>
  <dcterms:modified xsi:type="dcterms:W3CDTF">2024-09-30T04:29:00Z</dcterms:modified>
</cp:coreProperties>
</file>