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D93C6" w14:textId="77777777" w:rsidR="004107CB" w:rsidRDefault="00000000">
      <w:pPr>
        <w:ind w:firstLineChars="0" w:firstLine="0"/>
        <w:jc w:val="left"/>
        <w:rPr>
          <w:b/>
          <w:bCs/>
        </w:rPr>
      </w:pPr>
      <w:r>
        <w:rPr>
          <w:b/>
          <w:bCs/>
        </w:rPr>
        <w:t xml:space="preserve">Supplementary Table 1. </w:t>
      </w:r>
      <w:r>
        <w:t>Clinical data of GC patients</w:t>
      </w:r>
      <w:r>
        <w:rPr>
          <w:rFonts w:hint="eastAsia"/>
        </w:rPr>
        <w:t>.</w:t>
      </w:r>
    </w:p>
    <w:tbl>
      <w:tblPr>
        <w:tblStyle w:val="111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3966"/>
      </w:tblGrid>
      <w:tr w:rsidR="004107CB" w14:paraId="6C8231B6" w14:textId="77777777">
        <w:trPr>
          <w:trHeight w:hRule="exact" w:val="227"/>
        </w:trPr>
        <w:tc>
          <w:tcPr>
            <w:tcW w:w="2814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7B074B" w14:textId="77777777" w:rsidR="004107CB" w:rsidRDefault="00000000">
            <w:pPr>
              <w:ind w:firstLine="482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Clinicopathologic features</w:t>
            </w:r>
          </w:p>
        </w:tc>
        <w:tc>
          <w:tcPr>
            <w:tcW w:w="2186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D3A588" w14:textId="77777777" w:rsidR="004107CB" w:rsidRDefault="00000000">
            <w:pPr>
              <w:ind w:firstLine="482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number of cases</w:t>
            </w:r>
          </w:p>
        </w:tc>
      </w:tr>
      <w:tr w:rsidR="004107CB" w14:paraId="03FC0F82" w14:textId="77777777">
        <w:trPr>
          <w:trHeight w:val="414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BA151E" w14:textId="77777777" w:rsidR="004107CB" w:rsidRDefault="004107CB">
            <w:pPr>
              <w:ind w:firstLine="482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C8FF6E" w14:textId="77777777" w:rsidR="004107CB" w:rsidRDefault="004107CB">
            <w:pPr>
              <w:ind w:firstLine="482"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4107CB" w14:paraId="58C32D0B" w14:textId="77777777">
        <w:trPr>
          <w:trHeight w:val="397"/>
        </w:trPr>
        <w:tc>
          <w:tcPr>
            <w:tcW w:w="2814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7EB9AF5" w14:textId="77777777" w:rsidR="004107CB" w:rsidRDefault="00000000">
            <w:pPr>
              <w:ind w:firstLine="482"/>
              <w:rPr>
                <w:rFonts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Gender</w:t>
            </w:r>
          </w:p>
        </w:tc>
        <w:tc>
          <w:tcPr>
            <w:tcW w:w="218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4A493B4" w14:textId="77777777" w:rsidR="004107CB" w:rsidRDefault="004107CB">
            <w:pPr>
              <w:ind w:firstLine="48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4107CB" w14:paraId="15A55312" w14:textId="77777777">
        <w:trPr>
          <w:trHeight w:val="397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3D1DE" w14:textId="77777777" w:rsidR="004107CB" w:rsidRDefault="00000000">
            <w:pPr>
              <w:ind w:firstLine="48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Male</w:t>
            </w:r>
          </w:p>
        </w:tc>
        <w:tc>
          <w:tcPr>
            <w:tcW w:w="21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70770" w14:textId="77777777" w:rsidR="004107CB" w:rsidRDefault="00000000">
            <w:pPr>
              <w:ind w:firstLine="48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</w:t>
            </w:r>
          </w:p>
        </w:tc>
      </w:tr>
      <w:tr w:rsidR="004107CB" w14:paraId="1C968CD4" w14:textId="77777777">
        <w:trPr>
          <w:trHeight w:val="397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084ED" w14:textId="77777777" w:rsidR="004107CB" w:rsidRDefault="00000000">
            <w:pPr>
              <w:ind w:firstLine="48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Female</w:t>
            </w:r>
          </w:p>
        </w:tc>
        <w:tc>
          <w:tcPr>
            <w:tcW w:w="21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83218" w14:textId="77777777" w:rsidR="004107CB" w:rsidRDefault="00000000">
            <w:pPr>
              <w:ind w:firstLine="48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</w:t>
            </w:r>
          </w:p>
        </w:tc>
      </w:tr>
      <w:tr w:rsidR="004107CB" w14:paraId="5722343F" w14:textId="77777777">
        <w:trPr>
          <w:trHeight w:val="397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55DC8" w14:textId="77777777" w:rsidR="004107CB" w:rsidRDefault="00000000">
            <w:pPr>
              <w:ind w:firstLine="482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Age</w:t>
            </w:r>
          </w:p>
        </w:tc>
        <w:tc>
          <w:tcPr>
            <w:tcW w:w="21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BA769" w14:textId="77777777" w:rsidR="004107CB" w:rsidRDefault="004107CB">
            <w:pPr>
              <w:ind w:firstLine="48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4107CB" w14:paraId="7BA41E0C" w14:textId="77777777">
        <w:trPr>
          <w:trHeight w:val="397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B2B34" w14:textId="77777777" w:rsidR="004107CB" w:rsidRDefault="00000000">
            <w:pPr>
              <w:ind w:firstLine="48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＜60</w:t>
            </w:r>
          </w:p>
        </w:tc>
        <w:tc>
          <w:tcPr>
            <w:tcW w:w="21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54D52" w14:textId="77777777" w:rsidR="004107CB" w:rsidRDefault="00000000">
            <w:pPr>
              <w:ind w:firstLine="48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</w:t>
            </w:r>
          </w:p>
        </w:tc>
      </w:tr>
      <w:tr w:rsidR="004107CB" w14:paraId="5A1F6677" w14:textId="77777777">
        <w:trPr>
          <w:trHeight w:val="397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1BBB4" w14:textId="77777777" w:rsidR="004107CB" w:rsidRDefault="00000000">
            <w:pPr>
              <w:ind w:firstLine="48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≥60</w:t>
            </w:r>
          </w:p>
        </w:tc>
        <w:tc>
          <w:tcPr>
            <w:tcW w:w="21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C048" w14:textId="77777777" w:rsidR="004107CB" w:rsidRDefault="00000000">
            <w:pPr>
              <w:ind w:firstLine="48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16</w:t>
            </w:r>
          </w:p>
        </w:tc>
      </w:tr>
      <w:tr w:rsidR="004107CB" w14:paraId="6AECBE46" w14:textId="77777777">
        <w:trPr>
          <w:trHeight w:val="397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ADB0C" w14:textId="77777777" w:rsidR="004107CB" w:rsidRDefault="00000000">
            <w:pPr>
              <w:ind w:firstLine="482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Degree of differentiation</w:t>
            </w:r>
          </w:p>
        </w:tc>
        <w:tc>
          <w:tcPr>
            <w:tcW w:w="21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1F97C" w14:textId="77777777" w:rsidR="004107CB" w:rsidRDefault="004107CB">
            <w:pPr>
              <w:ind w:firstLine="48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4107CB" w14:paraId="3DBE9D8D" w14:textId="77777777">
        <w:trPr>
          <w:trHeight w:val="397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C6510" w14:textId="77777777" w:rsidR="004107CB" w:rsidRDefault="00000000">
            <w:pPr>
              <w:ind w:firstLine="48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I/II</w:t>
            </w:r>
          </w:p>
        </w:tc>
        <w:tc>
          <w:tcPr>
            <w:tcW w:w="21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DE45C" w14:textId="77777777" w:rsidR="004107CB" w:rsidRDefault="00000000">
            <w:pPr>
              <w:ind w:firstLine="48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</w:t>
            </w:r>
          </w:p>
        </w:tc>
      </w:tr>
      <w:tr w:rsidR="004107CB" w14:paraId="5D9EFF85" w14:textId="77777777">
        <w:trPr>
          <w:trHeight w:val="397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EF4ED" w14:textId="77777777" w:rsidR="004107CB" w:rsidRDefault="00000000">
            <w:pPr>
              <w:ind w:firstLine="48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Ⅲ</w:t>
            </w:r>
          </w:p>
        </w:tc>
        <w:tc>
          <w:tcPr>
            <w:tcW w:w="21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7059B" w14:textId="77777777" w:rsidR="004107CB" w:rsidRDefault="00000000">
            <w:pPr>
              <w:ind w:firstLine="48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15</w:t>
            </w:r>
          </w:p>
        </w:tc>
      </w:tr>
      <w:tr w:rsidR="004107CB" w14:paraId="7C8DACB6" w14:textId="77777777">
        <w:trPr>
          <w:trHeight w:val="397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D86F4" w14:textId="77777777" w:rsidR="004107CB" w:rsidRDefault="00000000">
            <w:pPr>
              <w:ind w:firstLine="482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pT</w:t>
            </w:r>
          </w:p>
        </w:tc>
        <w:tc>
          <w:tcPr>
            <w:tcW w:w="21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F1F38" w14:textId="77777777" w:rsidR="004107CB" w:rsidRDefault="004107CB">
            <w:pPr>
              <w:ind w:firstLine="48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4107CB" w14:paraId="7BCF5F31" w14:textId="77777777">
        <w:trPr>
          <w:trHeight w:val="397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7CE9B" w14:textId="77777777" w:rsidR="004107CB" w:rsidRDefault="00000000">
            <w:pPr>
              <w:ind w:firstLine="48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T1-2</w:t>
            </w:r>
          </w:p>
        </w:tc>
        <w:tc>
          <w:tcPr>
            <w:tcW w:w="21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E0054" w14:textId="77777777" w:rsidR="004107CB" w:rsidRDefault="00000000">
            <w:pPr>
              <w:ind w:firstLine="48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4107CB" w14:paraId="3CC1A6D1" w14:textId="77777777">
        <w:trPr>
          <w:trHeight w:val="397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3E258" w14:textId="77777777" w:rsidR="004107CB" w:rsidRDefault="00000000">
            <w:pPr>
              <w:ind w:firstLine="48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T3-4</w:t>
            </w:r>
          </w:p>
        </w:tc>
        <w:tc>
          <w:tcPr>
            <w:tcW w:w="21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F3A70" w14:textId="77777777" w:rsidR="004107CB" w:rsidRDefault="00000000">
            <w:pPr>
              <w:ind w:firstLine="48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17</w:t>
            </w:r>
          </w:p>
        </w:tc>
      </w:tr>
      <w:tr w:rsidR="004107CB" w14:paraId="1EB6E548" w14:textId="77777777">
        <w:trPr>
          <w:trHeight w:val="397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96861" w14:textId="77777777" w:rsidR="004107CB" w:rsidRDefault="00000000">
            <w:pPr>
              <w:ind w:firstLine="482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pN</w:t>
            </w:r>
          </w:p>
        </w:tc>
        <w:tc>
          <w:tcPr>
            <w:tcW w:w="21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643E2" w14:textId="77777777" w:rsidR="004107CB" w:rsidRDefault="004107CB">
            <w:pPr>
              <w:ind w:firstLine="48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4107CB" w14:paraId="66519D91" w14:textId="77777777">
        <w:trPr>
          <w:trHeight w:val="397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6CD20" w14:textId="77777777" w:rsidR="004107CB" w:rsidRDefault="00000000">
            <w:pPr>
              <w:ind w:firstLine="48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N0</w:t>
            </w:r>
          </w:p>
        </w:tc>
        <w:tc>
          <w:tcPr>
            <w:tcW w:w="21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839E3" w14:textId="77777777" w:rsidR="004107CB" w:rsidRDefault="00000000">
            <w:pPr>
              <w:ind w:firstLine="48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14</w:t>
            </w:r>
          </w:p>
        </w:tc>
      </w:tr>
      <w:tr w:rsidR="004107CB" w14:paraId="65FAF7E7" w14:textId="77777777">
        <w:trPr>
          <w:trHeight w:val="397"/>
        </w:trPr>
        <w:tc>
          <w:tcPr>
            <w:tcW w:w="281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16B74A" w14:textId="77777777" w:rsidR="004107CB" w:rsidRDefault="00000000">
            <w:pPr>
              <w:ind w:firstLine="48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N1-2</w:t>
            </w:r>
          </w:p>
        </w:tc>
        <w:tc>
          <w:tcPr>
            <w:tcW w:w="218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827623" w14:textId="77777777" w:rsidR="004107CB" w:rsidRDefault="00000000">
            <w:pPr>
              <w:ind w:firstLine="48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</w:t>
            </w:r>
          </w:p>
        </w:tc>
      </w:tr>
    </w:tbl>
    <w:p w14:paraId="680534EE" w14:textId="77777777" w:rsidR="004107CB" w:rsidRDefault="004107CB">
      <w:pPr>
        <w:ind w:firstLineChars="0" w:firstLine="0"/>
        <w:jc w:val="left"/>
        <w:rPr>
          <w:b/>
          <w:bCs/>
        </w:rPr>
      </w:pPr>
    </w:p>
    <w:p w14:paraId="2ACC6A66" w14:textId="05DA9C32" w:rsidR="00EA1D0D" w:rsidRDefault="00EA1D0D">
      <w:pPr>
        <w:widowControl/>
        <w:adjustRightInd/>
        <w:snapToGrid/>
        <w:spacing w:line="240" w:lineRule="auto"/>
        <w:ind w:firstLineChars="0"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7F1AA005" w14:textId="77777777" w:rsidR="004107CB" w:rsidRDefault="00000000">
      <w:pPr>
        <w:widowControl/>
        <w:adjustRightInd/>
        <w:snapToGrid/>
        <w:spacing w:before="240" w:after="240" w:line="240" w:lineRule="auto"/>
        <w:ind w:firstLineChars="0" w:firstLine="0"/>
        <w:rPr>
          <w:rFonts w:cs="Times New Roman"/>
          <w:b/>
          <w:bCs/>
          <w:kern w:val="0"/>
          <w:szCs w:val="24"/>
        </w:rPr>
      </w:pPr>
      <w:r>
        <w:rPr>
          <w:b/>
          <w:bCs/>
        </w:rPr>
        <w:lastRenderedPageBreak/>
        <w:t>Supplementary</w:t>
      </w:r>
      <w:r>
        <w:rPr>
          <w:rFonts w:cs="Times New Roman"/>
          <w:b/>
          <w:bCs/>
          <w:kern w:val="0"/>
          <w:szCs w:val="24"/>
        </w:rPr>
        <w:t xml:space="preserve"> Table 2. </w:t>
      </w:r>
      <w:r>
        <w:rPr>
          <w:rFonts w:cs="Times New Roman"/>
          <w:kern w:val="0"/>
          <w:szCs w:val="24"/>
        </w:rPr>
        <w:t>The primers of specific genes</w:t>
      </w:r>
      <w:r>
        <w:rPr>
          <w:rFonts w:cs="Times New Roman" w:hint="eastAsia"/>
          <w:kern w:val="0"/>
          <w:szCs w:val="24"/>
        </w:rPr>
        <w:t>.</w:t>
      </w:r>
    </w:p>
    <w:tbl>
      <w:tblPr>
        <w:tblW w:w="9071" w:type="dxa"/>
        <w:tblLook w:val="04A0" w:firstRow="1" w:lastRow="0" w:firstColumn="1" w:lastColumn="0" w:noHBand="0" w:noVBand="1"/>
      </w:tblPr>
      <w:tblGrid>
        <w:gridCol w:w="1450"/>
        <w:gridCol w:w="3830"/>
        <w:gridCol w:w="3830"/>
      </w:tblGrid>
      <w:tr w:rsidR="004107CB" w14:paraId="63FCCB8F" w14:textId="77777777">
        <w:trPr>
          <w:trHeight w:val="480"/>
        </w:trPr>
        <w:tc>
          <w:tcPr>
            <w:tcW w:w="14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79DF45" w14:textId="77777777" w:rsidR="004107CB" w:rsidRDefault="00000000" w:rsidP="00EA1D0D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Gene</w:t>
            </w:r>
          </w:p>
        </w:tc>
        <w:tc>
          <w:tcPr>
            <w:tcW w:w="38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D7732DB" w14:textId="77777777" w:rsidR="004107CB" w:rsidRDefault="00000000" w:rsidP="00EA1D0D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Forward</w:t>
            </w:r>
          </w:p>
        </w:tc>
        <w:tc>
          <w:tcPr>
            <w:tcW w:w="38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E6DEC3" w14:textId="77777777" w:rsidR="004107CB" w:rsidRDefault="00000000" w:rsidP="00EA1D0D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Reverse</w:t>
            </w:r>
          </w:p>
        </w:tc>
      </w:tr>
      <w:tr w:rsidR="004107CB" w14:paraId="365B27AF" w14:textId="77777777">
        <w:trPr>
          <w:trHeight w:val="480"/>
        </w:trPr>
        <w:tc>
          <w:tcPr>
            <w:tcW w:w="142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1A1C5D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AP000695.2</w:t>
            </w:r>
          </w:p>
        </w:tc>
        <w:tc>
          <w:tcPr>
            <w:tcW w:w="38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BF1FD0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GGACACTCTGAAGGAACTC</w:t>
            </w:r>
          </w:p>
        </w:tc>
        <w:tc>
          <w:tcPr>
            <w:tcW w:w="38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342423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GATGACCATTAGCCAACAAG</w:t>
            </w:r>
          </w:p>
        </w:tc>
      </w:tr>
      <w:tr w:rsidR="004107CB" w14:paraId="299A21A5" w14:textId="77777777">
        <w:trPr>
          <w:trHeight w:val="48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E3DAA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AC010333.1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07B79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TATTCGCAAGCCCTCAACCA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DAD32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GAGGAGTTAGGGCATGGCAG</w:t>
            </w:r>
          </w:p>
        </w:tc>
      </w:tr>
      <w:tr w:rsidR="004107CB" w14:paraId="0AC140E0" w14:textId="77777777">
        <w:trPr>
          <w:trHeight w:val="48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97F8D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LINC01579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EF813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ACCGATGCTTTGCTACGCTA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FBF0D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CGCAAAACATTCAGACCCCC</w:t>
            </w:r>
          </w:p>
        </w:tc>
      </w:tr>
      <w:tr w:rsidR="004107CB" w14:paraId="5751697F" w14:textId="77777777">
        <w:trPr>
          <w:trHeight w:val="482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27B1C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LINC00922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9C1AE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ACAGTGCCGTGAGACTTAGC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80840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CAGGAGGCTCCAAAGACAGG</w:t>
            </w:r>
          </w:p>
        </w:tc>
      </w:tr>
      <w:tr w:rsidR="004107CB" w14:paraId="268E8949" w14:textId="77777777">
        <w:trPr>
          <w:trHeight w:val="48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91CB4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AL121772.1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F10FD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TAGGCCTAACCACCGCTACT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B8D74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GGGTGGGCCCGTTTAACATA</w:t>
            </w:r>
          </w:p>
        </w:tc>
      </w:tr>
      <w:tr w:rsidR="004107CB" w14:paraId="1B6F6A06" w14:textId="77777777">
        <w:trPr>
          <w:trHeight w:val="48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58FF5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VCAN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08D0F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CCACGCTTCCTATGTGA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0573B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TTTCCCACTTTGACTTTATGT</w:t>
            </w:r>
          </w:p>
        </w:tc>
      </w:tr>
      <w:tr w:rsidR="004107CB" w14:paraId="510FBB56" w14:textId="77777777">
        <w:trPr>
          <w:trHeight w:val="48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317C3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CDH11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3546D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ATGAAGGAGAACTACTGTTTAC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AC978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TTAAGAATCGTCATCAAAAGTG</w:t>
            </w:r>
          </w:p>
        </w:tc>
      </w:tr>
      <w:tr w:rsidR="004107CB" w14:paraId="5DCB2A2F" w14:textId="77777777">
        <w:trPr>
          <w:trHeight w:val="48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2BBAA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COL12A1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65867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CCACAGGTTCAAGAGGTCCC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A339F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TGTGTTAGCCGGAACCTGGA</w:t>
            </w:r>
          </w:p>
        </w:tc>
      </w:tr>
      <w:tr w:rsidR="004107CB" w14:paraId="2C4F4623" w14:textId="77777777">
        <w:trPr>
          <w:trHeight w:val="480"/>
        </w:trPr>
        <w:tc>
          <w:tcPr>
            <w:tcW w:w="14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61E3B98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COL5A2</w:t>
            </w:r>
          </w:p>
        </w:tc>
        <w:tc>
          <w:tcPr>
            <w:tcW w:w="38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0E10CFC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AACATCAGTTGGGTGGAG</w:t>
            </w:r>
          </w:p>
        </w:tc>
        <w:tc>
          <w:tcPr>
            <w:tcW w:w="38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4BC066D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CTTGAAATCGGTGTAGGC</w:t>
            </w:r>
          </w:p>
        </w:tc>
      </w:tr>
      <w:tr w:rsidR="004107CB" w14:paraId="1457C31F" w14:textId="77777777">
        <w:trPr>
          <w:trHeight w:val="480"/>
        </w:trPr>
        <w:tc>
          <w:tcPr>
            <w:tcW w:w="14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8426B94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GADPH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725F5D1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CTCCTCCTGTTCGACAGTCAGC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6541FE0" w14:textId="77777777" w:rsidR="004107CB" w:rsidRDefault="00000000">
            <w:pPr>
              <w:widowControl/>
              <w:adjustRightInd/>
              <w:snapToGrid/>
              <w:spacing w:line="240" w:lineRule="auto"/>
              <w:ind w:firstLineChars="0" w:firstLine="0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CCCAATACGACCAAATCCGTT</w:t>
            </w:r>
          </w:p>
        </w:tc>
      </w:tr>
    </w:tbl>
    <w:p w14:paraId="05E541B9" w14:textId="77777777" w:rsidR="004107CB" w:rsidRDefault="004107CB">
      <w:pPr>
        <w:ind w:firstLineChars="0" w:firstLine="0"/>
        <w:jc w:val="left"/>
        <w:rPr>
          <w:b/>
          <w:bCs/>
        </w:rPr>
      </w:pPr>
    </w:p>
    <w:p w14:paraId="4717184B" w14:textId="51D3F6C9" w:rsidR="00EA1D0D" w:rsidRDefault="00EA1D0D">
      <w:pPr>
        <w:widowControl/>
        <w:adjustRightInd/>
        <w:snapToGrid/>
        <w:spacing w:line="240" w:lineRule="auto"/>
        <w:ind w:firstLineChars="0"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5C0BD707" w14:textId="77777777" w:rsidR="004107CB" w:rsidRDefault="00000000" w:rsidP="00EA1D0D">
      <w:pPr>
        <w:ind w:firstLineChars="0" w:firstLine="0"/>
        <w:rPr>
          <w:b/>
          <w:bCs/>
        </w:rPr>
      </w:pPr>
      <w:r>
        <w:rPr>
          <w:rFonts w:hint="eastAsia"/>
          <w:b/>
          <w:bCs/>
        </w:rPr>
        <w:lastRenderedPageBreak/>
        <w:t xml:space="preserve">Supplementary Table 3. </w:t>
      </w:r>
      <w:r>
        <w:rPr>
          <w:rFonts w:hint="eastAsia"/>
        </w:rPr>
        <w:t>The expression of potential mRNAs showed a positively correlation with AP000695.2 in the ceRNA network.</w:t>
      </w:r>
    </w:p>
    <w:tbl>
      <w:tblPr>
        <w:tblW w:w="9071" w:type="dxa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2449"/>
        <w:gridCol w:w="2562"/>
        <w:gridCol w:w="1831"/>
      </w:tblGrid>
      <w:tr w:rsidR="004107CB" w14:paraId="11B04846" w14:textId="77777777">
        <w:tc>
          <w:tcPr>
            <w:tcW w:w="12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D4502F4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lncRNA</w:t>
            </w:r>
          </w:p>
        </w:tc>
        <w:tc>
          <w:tcPr>
            <w:tcW w:w="13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B8F3B8E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mRNA</w:t>
            </w:r>
          </w:p>
        </w:tc>
        <w:tc>
          <w:tcPr>
            <w:tcW w:w="141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0ECAC85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correlation</w:t>
            </w:r>
          </w:p>
        </w:tc>
        <w:tc>
          <w:tcPr>
            <w:tcW w:w="10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2A366EC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i/>
                <w:iCs/>
                <w:color w:val="000000"/>
                <w:kern w:val="0"/>
                <w:szCs w:val="24"/>
              </w:rPr>
              <w:t xml:space="preserve">P </w:t>
            </w:r>
            <w:r>
              <w:rPr>
                <w:rFonts w:eastAsia="等线" w:cs="Times New Roman"/>
                <w:color w:val="000000"/>
                <w:kern w:val="0"/>
                <w:szCs w:val="24"/>
              </w:rPr>
              <w:t>value</w:t>
            </w:r>
          </w:p>
        </w:tc>
      </w:tr>
      <w:tr w:rsidR="004107CB" w14:paraId="7BEFBAB9" w14:textId="77777777">
        <w:tc>
          <w:tcPr>
            <w:tcW w:w="122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2D1656B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AP000695.2</w:t>
            </w:r>
          </w:p>
        </w:tc>
        <w:tc>
          <w:tcPr>
            <w:tcW w:w="134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62C985C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CDH11</w:t>
            </w:r>
          </w:p>
        </w:tc>
        <w:tc>
          <w:tcPr>
            <w:tcW w:w="141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7DDB6C6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0.328854</w:t>
            </w:r>
          </w:p>
        </w:tc>
        <w:tc>
          <w:tcPr>
            <w:tcW w:w="100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FB989FF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1.02E-11</w:t>
            </w:r>
          </w:p>
        </w:tc>
      </w:tr>
      <w:tr w:rsidR="004107CB" w14:paraId="5AC7318D" w14:textId="77777777">
        <w:tc>
          <w:tcPr>
            <w:tcW w:w="1229" w:type="pct"/>
            <w:shd w:val="clear" w:color="auto" w:fill="auto"/>
            <w:noWrap/>
            <w:vAlign w:val="center"/>
          </w:tcPr>
          <w:p w14:paraId="36DB492A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AP000695.2</w:t>
            </w:r>
          </w:p>
        </w:tc>
        <w:tc>
          <w:tcPr>
            <w:tcW w:w="1349" w:type="pct"/>
            <w:shd w:val="clear" w:color="auto" w:fill="auto"/>
            <w:noWrap/>
            <w:vAlign w:val="center"/>
          </w:tcPr>
          <w:p w14:paraId="159290C6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COL12A1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32C8BE78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0.353017</w:t>
            </w:r>
          </w:p>
        </w:tc>
        <w:tc>
          <w:tcPr>
            <w:tcW w:w="1009" w:type="pct"/>
            <w:shd w:val="clear" w:color="auto" w:fill="auto"/>
            <w:noWrap/>
            <w:vAlign w:val="center"/>
          </w:tcPr>
          <w:p w14:paraId="5A3FC075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2.18E-13</w:t>
            </w:r>
          </w:p>
        </w:tc>
      </w:tr>
      <w:tr w:rsidR="004107CB" w14:paraId="3DD66E7B" w14:textId="77777777">
        <w:tc>
          <w:tcPr>
            <w:tcW w:w="1229" w:type="pct"/>
            <w:shd w:val="clear" w:color="auto" w:fill="auto"/>
            <w:noWrap/>
            <w:vAlign w:val="center"/>
          </w:tcPr>
          <w:p w14:paraId="26C4E164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AP000695.2</w:t>
            </w:r>
          </w:p>
        </w:tc>
        <w:tc>
          <w:tcPr>
            <w:tcW w:w="1349" w:type="pct"/>
            <w:shd w:val="clear" w:color="auto" w:fill="auto"/>
            <w:noWrap/>
            <w:vAlign w:val="center"/>
          </w:tcPr>
          <w:p w14:paraId="6A0773C5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STC2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3AF1407B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0.189257</w:t>
            </w:r>
          </w:p>
        </w:tc>
        <w:tc>
          <w:tcPr>
            <w:tcW w:w="1009" w:type="pct"/>
            <w:shd w:val="clear" w:color="auto" w:fill="auto"/>
            <w:noWrap/>
            <w:vAlign w:val="center"/>
          </w:tcPr>
          <w:p w14:paraId="54438872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0.000122</w:t>
            </w:r>
          </w:p>
        </w:tc>
      </w:tr>
      <w:tr w:rsidR="004107CB" w14:paraId="7FE17D40" w14:textId="77777777">
        <w:tc>
          <w:tcPr>
            <w:tcW w:w="1229" w:type="pct"/>
            <w:shd w:val="clear" w:color="auto" w:fill="auto"/>
            <w:noWrap/>
            <w:vAlign w:val="center"/>
          </w:tcPr>
          <w:p w14:paraId="66594231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AP000695.2</w:t>
            </w:r>
          </w:p>
        </w:tc>
        <w:tc>
          <w:tcPr>
            <w:tcW w:w="1349" w:type="pct"/>
            <w:shd w:val="clear" w:color="auto" w:fill="auto"/>
            <w:noWrap/>
            <w:vAlign w:val="center"/>
          </w:tcPr>
          <w:p w14:paraId="094D4605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THBS2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7483D6B9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0.367642</w:t>
            </w:r>
          </w:p>
        </w:tc>
        <w:tc>
          <w:tcPr>
            <w:tcW w:w="1009" w:type="pct"/>
            <w:shd w:val="clear" w:color="auto" w:fill="auto"/>
            <w:noWrap/>
            <w:vAlign w:val="center"/>
          </w:tcPr>
          <w:p w14:paraId="00D17E28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1.80E-14</w:t>
            </w:r>
          </w:p>
        </w:tc>
      </w:tr>
      <w:tr w:rsidR="004107CB" w14:paraId="30741189" w14:textId="77777777">
        <w:tc>
          <w:tcPr>
            <w:tcW w:w="1229" w:type="pct"/>
            <w:shd w:val="clear" w:color="auto" w:fill="auto"/>
            <w:noWrap/>
            <w:vAlign w:val="center"/>
          </w:tcPr>
          <w:p w14:paraId="088EED5A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AP000695.2</w:t>
            </w:r>
          </w:p>
        </w:tc>
        <w:tc>
          <w:tcPr>
            <w:tcW w:w="1349" w:type="pct"/>
            <w:shd w:val="clear" w:color="auto" w:fill="auto"/>
            <w:noWrap/>
            <w:vAlign w:val="center"/>
          </w:tcPr>
          <w:p w14:paraId="6E344054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COL1A2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6594BDEA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0.419039</w:t>
            </w:r>
          </w:p>
        </w:tc>
        <w:tc>
          <w:tcPr>
            <w:tcW w:w="1009" w:type="pct"/>
            <w:shd w:val="clear" w:color="auto" w:fill="auto"/>
            <w:noWrap/>
            <w:vAlign w:val="center"/>
          </w:tcPr>
          <w:p w14:paraId="1646AD53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9.76E-19</w:t>
            </w:r>
          </w:p>
        </w:tc>
      </w:tr>
      <w:tr w:rsidR="004107CB" w14:paraId="6423FCF3" w14:textId="77777777">
        <w:tc>
          <w:tcPr>
            <w:tcW w:w="1229" w:type="pct"/>
            <w:shd w:val="clear" w:color="auto" w:fill="auto"/>
            <w:noWrap/>
            <w:vAlign w:val="center"/>
          </w:tcPr>
          <w:p w14:paraId="6FD17A13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AP000695.2</w:t>
            </w:r>
          </w:p>
        </w:tc>
        <w:tc>
          <w:tcPr>
            <w:tcW w:w="1349" w:type="pct"/>
            <w:shd w:val="clear" w:color="auto" w:fill="auto"/>
            <w:noWrap/>
            <w:vAlign w:val="center"/>
          </w:tcPr>
          <w:p w14:paraId="52452BC7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COL5A1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42AD5B51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0.381976</w:t>
            </w:r>
          </w:p>
        </w:tc>
        <w:tc>
          <w:tcPr>
            <w:tcW w:w="1009" w:type="pct"/>
            <w:shd w:val="clear" w:color="auto" w:fill="auto"/>
            <w:noWrap/>
            <w:vAlign w:val="center"/>
          </w:tcPr>
          <w:p w14:paraId="0F950D18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1.38E-15</w:t>
            </w:r>
          </w:p>
        </w:tc>
      </w:tr>
      <w:tr w:rsidR="004107CB" w14:paraId="2490BC96" w14:textId="77777777">
        <w:tc>
          <w:tcPr>
            <w:tcW w:w="1229" w:type="pct"/>
            <w:shd w:val="clear" w:color="auto" w:fill="auto"/>
            <w:noWrap/>
            <w:vAlign w:val="center"/>
          </w:tcPr>
          <w:p w14:paraId="53ABEF10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AP000695.2</w:t>
            </w:r>
          </w:p>
        </w:tc>
        <w:tc>
          <w:tcPr>
            <w:tcW w:w="1349" w:type="pct"/>
            <w:shd w:val="clear" w:color="auto" w:fill="auto"/>
            <w:noWrap/>
            <w:vAlign w:val="center"/>
          </w:tcPr>
          <w:p w14:paraId="05FF0B2A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COL5A2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245BEF46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0.440786</w:t>
            </w:r>
          </w:p>
        </w:tc>
        <w:tc>
          <w:tcPr>
            <w:tcW w:w="1009" w:type="pct"/>
            <w:shd w:val="clear" w:color="auto" w:fill="auto"/>
            <w:noWrap/>
            <w:vAlign w:val="center"/>
          </w:tcPr>
          <w:p w14:paraId="75F71FED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8.92E-21</w:t>
            </w:r>
          </w:p>
        </w:tc>
      </w:tr>
      <w:tr w:rsidR="004107CB" w14:paraId="1BF7A3AC" w14:textId="77777777">
        <w:tc>
          <w:tcPr>
            <w:tcW w:w="1229" w:type="pct"/>
            <w:shd w:val="clear" w:color="auto" w:fill="auto"/>
            <w:noWrap/>
            <w:vAlign w:val="center"/>
          </w:tcPr>
          <w:p w14:paraId="5F9F9923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AP000695.2</w:t>
            </w:r>
          </w:p>
        </w:tc>
        <w:tc>
          <w:tcPr>
            <w:tcW w:w="1349" w:type="pct"/>
            <w:shd w:val="clear" w:color="auto" w:fill="auto"/>
            <w:noWrap/>
            <w:vAlign w:val="center"/>
          </w:tcPr>
          <w:p w14:paraId="08C2BAF8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LOXL2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318B7B1C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0.418427</w:t>
            </w:r>
          </w:p>
        </w:tc>
        <w:tc>
          <w:tcPr>
            <w:tcW w:w="1009" w:type="pct"/>
            <w:shd w:val="clear" w:color="auto" w:fill="auto"/>
            <w:noWrap/>
            <w:vAlign w:val="center"/>
          </w:tcPr>
          <w:p w14:paraId="4EFEB1CB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1.11E-18</w:t>
            </w:r>
          </w:p>
        </w:tc>
      </w:tr>
      <w:tr w:rsidR="004107CB" w14:paraId="443C688A" w14:textId="77777777">
        <w:tc>
          <w:tcPr>
            <w:tcW w:w="1229" w:type="pct"/>
            <w:shd w:val="clear" w:color="auto" w:fill="auto"/>
            <w:noWrap/>
            <w:vAlign w:val="center"/>
          </w:tcPr>
          <w:p w14:paraId="064EB8AE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AP000695.2</w:t>
            </w:r>
          </w:p>
        </w:tc>
        <w:tc>
          <w:tcPr>
            <w:tcW w:w="1349" w:type="pct"/>
            <w:shd w:val="clear" w:color="auto" w:fill="auto"/>
            <w:noWrap/>
            <w:vAlign w:val="center"/>
          </w:tcPr>
          <w:p w14:paraId="150FB1B9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PRRX1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1621B6C3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0.324467</w:t>
            </w:r>
          </w:p>
        </w:tc>
        <w:tc>
          <w:tcPr>
            <w:tcW w:w="1009" w:type="pct"/>
            <w:shd w:val="clear" w:color="auto" w:fill="auto"/>
            <w:noWrap/>
            <w:vAlign w:val="center"/>
          </w:tcPr>
          <w:p w14:paraId="266D254B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1.97E-11</w:t>
            </w:r>
          </w:p>
        </w:tc>
      </w:tr>
      <w:tr w:rsidR="004107CB" w14:paraId="021E11C4" w14:textId="77777777">
        <w:tc>
          <w:tcPr>
            <w:tcW w:w="1229" w:type="pct"/>
            <w:shd w:val="clear" w:color="auto" w:fill="auto"/>
            <w:noWrap/>
            <w:vAlign w:val="center"/>
          </w:tcPr>
          <w:p w14:paraId="5C835C1C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AP000695.2</w:t>
            </w:r>
          </w:p>
        </w:tc>
        <w:tc>
          <w:tcPr>
            <w:tcW w:w="1349" w:type="pct"/>
            <w:shd w:val="clear" w:color="auto" w:fill="auto"/>
            <w:noWrap/>
            <w:vAlign w:val="center"/>
          </w:tcPr>
          <w:p w14:paraId="3671802E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TIMP3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3B4F2EAA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0.110768</w:t>
            </w:r>
          </w:p>
        </w:tc>
        <w:tc>
          <w:tcPr>
            <w:tcW w:w="1009" w:type="pct"/>
            <w:shd w:val="clear" w:color="auto" w:fill="auto"/>
            <w:noWrap/>
            <w:vAlign w:val="center"/>
          </w:tcPr>
          <w:p w14:paraId="67BE144F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0.02544</w:t>
            </w:r>
          </w:p>
        </w:tc>
      </w:tr>
      <w:tr w:rsidR="004107CB" w14:paraId="1CB39AB6" w14:textId="77777777">
        <w:tc>
          <w:tcPr>
            <w:tcW w:w="1229" w:type="pct"/>
            <w:shd w:val="clear" w:color="auto" w:fill="auto"/>
            <w:noWrap/>
            <w:vAlign w:val="center"/>
          </w:tcPr>
          <w:p w14:paraId="569C315E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AP000695.2</w:t>
            </w:r>
          </w:p>
        </w:tc>
        <w:tc>
          <w:tcPr>
            <w:tcW w:w="1349" w:type="pct"/>
            <w:shd w:val="clear" w:color="auto" w:fill="auto"/>
            <w:noWrap/>
            <w:vAlign w:val="center"/>
          </w:tcPr>
          <w:p w14:paraId="411EC096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COL11A1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53CF1860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0.399066</w:t>
            </w:r>
          </w:p>
        </w:tc>
        <w:tc>
          <w:tcPr>
            <w:tcW w:w="1009" w:type="pct"/>
            <w:shd w:val="clear" w:color="auto" w:fill="auto"/>
            <w:noWrap/>
            <w:vAlign w:val="center"/>
          </w:tcPr>
          <w:p w14:paraId="4AE70B91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5.45E-17</w:t>
            </w:r>
          </w:p>
        </w:tc>
      </w:tr>
      <w:tr w:rsidR="004107CB" w14:paraId="3E018D3A" w14:textId="77777777">
        <w:tc>
          <w:tcPr>
            <w:tcW w:w="1229" w:type="pct"/>
            <w:shd w:val="clear" w:color="auto" w:fill="auto"/>
            <w:noWrap/>
            <w:vAlign w:val="center"/>
          </w:tcPr>
          <w:p w14:paraId="3142F436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AP000695.2</w:t>
            </w:r>
          </w:p>
        </w:tc>
        <w:tc>
          <w:tcPr>
            <w:tcW w:w="1349" w:type="pct"/>
            <w:shd w:val="clear" w:color="auto" w:fill="auto"/>
            <w:noWrap/>
            <w:vAlign w:val="center"/>
          </w:tcPr>
          <w:p w14:paraId="709F8904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TNFSF11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335850A5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0.148633</w:t>
            </w:r>
          </w:p>
        </w:tc>
        <w:tc>
          <w:tcPr>
            <w:tcW w:w="1009" w:type="pct"/>
            <w:shd w:val="clear" w:color="auto" w:fill="auto"/>
            <w:noWrap/>
            <w:vAlign w:val="center"/>
          </w:tcPr>
          <w:p w14:paraId="5E1A9CE3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0.002647</w:t>
            </w:r>
          </w:p>
        </w:tc>
      </w:tr>
      <w:tr w:rsidR="004107CB" w14:paraId="3CF27891" w14:textId="77777777">
        <w:tc>
          <w:tcPr>
            <w:tcW w:w="1229" w:type="pct"/>
            <w:shd w:val="clear" w:color="auto" w:fill="auto"/>
            <w:noWrap/>
            <w:vAlign w:val="center"/>
          </w:tcPr>
          <w:p w14:paraId="5C93BEF6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AP000695.2</w:t>
            </w:r>
          </w:p>
        </w:tc>
        <w:tc>
          <w:tcPr>
            <w:tcW w:w="1349" w:type="pct"/>
            <w:shd w:val="clear" w:color="auto" w:fill="auto"/>
            <w:noWrap/>
            <w:vAlign w:val="center"/>
          </w:tcPr>
          <w:p w14:paraId="2B11DBDA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VCAN</w:t>
            </w:r>
          </w:p>
        </w:tc>
        <w:tc>
          <w:tcPr>
            <w:tcW w:w="1411" w:type="pct"/>
            <w:shd w:val="clear" w:color="auto" w:fill="auto"/>
            <w:noWrap/>
            <w:vAlign w:val="center"/>
          </w:tcPr>
          <w:p w14:paraId="672C1708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0.408634</w:t>
            </w:r>
          </w:p>
        </w:tc>
        <w:tc>
          <w:tcPr>
            <w:tcW w:w="1009" w:type="pct"/>
            <w:shd w:val="clear" w:color="auto" w:fill="auto"/>
            <w:noWrap/>
            <w:vAlign w:val="center"/>
          </w:tcPr>
          <w:p w14:paraId="217C69C5" w14:textId="77777777" w:rsidR="004107CB" w:rsidRDefault="00000000">
            <w:pPr>
              <w:widowControl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8.20E-18</w:t>
            </w:r>
          </w:p>
        </w:tc>
      </w:tr>
    </w:tbl>
    <w:p w14:paraId="3D082FE3" w14:textId="77777777" w:rsidR="004107CB" w:rsidRDefault="004107CB">
      <w:pPr>
        <w:ind w:firstLineChars="0" w:firstLine="0"/>
        <w:rPr>
          <w:b/>
          <w:bCs/>
        </w:rPr>
      </w:pPr>
    </w:p>
    <w:p w14:paraId="7E21EFCD" w14:textId="2117026C" w:rsidR="00EA1D0D" w:rsidRDefault="00EA1D0D">
      <w:pPr>
        <w:widowControl/>
        <w:adjustRightInd/>
        <w:snapToGrid/>
        <w:spacing w:line="240" w:lineRule="auto"/>
        <w:ind w:firstLineChars="0"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76F99197" w14:textId="304A9578" w:rsidR="004107CB" w:rsidRDefault="00000000">
      <w:pPr>
        <w:ind w:firstLineChars="0" w:firstLine="0"/>
        <w:rPr>
          <w:rFonts w:hint="eastAsia"/>
        </w:rPr>
      </w:pPr>
      <w:r>
        <w:rPr>
          <w:rFonts w:hint="eastAsia"/>
          <w:b/>
          <w:bCs/>
        </w:rPr>
        <w:lastRenderedPageBreak/>
        <w:t>Supplementary Table 4.</w:t>
      </w:r>
      <w:r>
        <w:rPr>
          <w:rFonts w:hint="eastAsia"/>
        </w:rPr>
        <w:t xml:space="preserve"> </w:t>
      </w:r>
      <w:r>
        <w:t>Clinical characteristics of 67 gastric cancer patients and IHC score of VCAN in tumor</w:t>
      </w:r>
      <w:r w:rsidR="00EA1D0D">
        <w:rPr>
          <w:rFonts w:hint="eastAsia"/>
        </w:rPr>
        <w:t>.</w:t>
      </w:r>
    </w:p>
    <w:tbl>
      <w:tblPr>
        <w:tblW w:w="9071" w:type="dxa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345"/>
        <w:gridCol w:w="1374"/>
        <w:gridCol w:w="1686"/>
        <w:gridCol w:w="1735"/>
        <w:gridCol w:w="1771"/>
      </w:tblGrid>
      <w:tr w:rsidR="004107CB" w14:paraId="44B2D23A" w14:textId="77777777">
        <w:trPr>
          <w:trHeight w:val="312"/>
        </w:trPr>
        <w:tc>
          <w:tcPr>
            <w:tcW w:w="1058" w:type="dxa"/>
            <w:tcBorders>
              <w:bottom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35373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Case</w:t>
            </w:r>
          </w:p>
        </w:tc>
        <w:tc>
          <w:tcPr>
            <w:tcW w:w="1230" w:type="dxa"/>
            <w:tcBorders>
              <w:bottom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55DE3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 xml:space="preserve">Age </w:t>
            </w:r>
          </w:p>
          <w:p w14:paraId="3ADF91A6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(years)</w:t>
            </w:r>
          </w:p>
        </w:tc>
        <w:tc>
          <w:tcPr>
            <w:tcW w:w="1257" w:type="dxa"/>
            <w:tcBorders>
              <w:bottom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37262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Gender</w:t>
            </w:r>
          </w:p>
        </w:tc>
        <w:tc>
          <w:tcPr>
            <w:tcW w:w="1546" w:type="dxa"/>
            <w:tcBorders>
              <w:bottom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7F4B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Stage</w:t>
            </w:r>
          </w:p>
        </w:tc>
        <w:tc>
          <w:tcPr>
            <w:tcW w:w="1591" w:type="dxa"/>
            <w:tcBorders>
              <w:bottom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3E58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IHC score</w:t>
            </w:r>
          </w:p>
        </w:tc>
        <w:tc>
          <w:tcPr>
            <w:tcW w:w="1624" w:type="dxa"/>
            <w:tcBorders>
              <w:bottom w:val="single" w:sz="12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6925BE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PFS</w:t>
            </w:r>
          </w:p>
          <w:p w14:paraId="66D99841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 xml:space="preserve"> (Months)</w:t>
            </w:r>
          </w:p>
        </w:tc>
      </w:tr>
      <w:tr w:rsidR="004107CB" w14:paraId="51E3FC13" w14:textId="77777777">
        <w:trPr>
          <w:trHeight w:val="312"/>
        </w:trPr>
        <w:tc>
          <w:tcPr>
            <w:tcW w:w="1058" w:type="dxa"/>
            <w:tcBorders>
              <w:top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7C20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B60E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60</w:t>
            </w:r>
          </w:p>
        </w:tc>
        <w:tc>
          <w:tcPr>
            <w:tcW w:w="1257" w:type="dxa"/>
            <w:tcBorders>
              <w:top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1805E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op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6790E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Ⅰ</w:t>
            </w:r>
          </w:p>
        </w:tc>
        <w:tc>
          <w:tcPr>
            <w:tcW w:w="1591" w:type="dxa"/>
            <w:tcBorders>
              <w:top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EDEEF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0</w:t>
            </w:r>
          </w:p>
        </w:tc>
        <w:tc>
          <w:tcPr>
            <w:tcW w:w="1624" w:type="dxa"/>
            <w:tcBorders>
              <w:top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B504A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21.2</w:t>
            </w:r>
          </w:p>
        </w:tc>
      </w:tr>
      <w:tr w:rsidR="004107CB" w14:paraId="3D91725A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A52E6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B0DE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64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15AA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F2BDA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Ⅰ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2481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3E0BC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16.5</w:t>
            </w:r>
          </w:p>
        </w:tc>
      </w:tr>
      <w:tr w:rsidR="004107CB" w14:paraId="3CDD75BE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CA94F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80189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59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FA35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9E76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Ⅰ-Ⅱ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FD129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0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7CAD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12.3</w:t>
            </w:r>
          </w:p>
        </w:tc>
      </w:tr>
      <w:tr w:rsidR="004107CB" w14:paraId="735A9469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AD97C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762D42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59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B31432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A862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Ⅰ-Ⅱ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9849CC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0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3FE96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11.2</w:t>
            </w:r>
          </w:p>
        </w:tc>
      </w:tr>
      <w:tr w:rsidR="004107CB" w14:paraId="32AFCEBB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C6AC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8CD5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76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9C731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B54B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Ⅰ-Ⅱ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D562E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005E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9.2</w:t>
            </w:r>
          </w:p>
        </w:tc>
      </w:tr>
      <w:tr w:rsidR="004107CB" w14:paraId="4E468592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AA4E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57BB3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49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761EF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4FAD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Ⅱ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81552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6D783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7.8</w:t>
            </w:r>
          </w:p>
        </w:tc>
      </w:tr>
      <w:tr w:rsidR="004107CB" w14:paraId="5EE3A8FB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F08BC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ECDD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58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B9E21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E2D7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Ⅱ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3AB3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B32AC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10.1</w:t>
            </w:r>
          </w:p>
        </w:tc>
      </w:tr>
      <w:tr w:rsidR="004107CB" w14:paraId="6852AC4D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67D5F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49DB2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64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29CFE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D8241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Ⅱ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AEA7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235B1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5.9</w:t>
            </w:r>
          </w:p>
        </w:tc>
      </w:tr>
      <w:tr w:rsidR="004107CB" w14:paraId="6E9406D8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9007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447D9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67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52F8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CB311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Ⅱ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E846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9DBD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10.5</w:t>
            </w:r>
          </w:p>
        </w:tc>
      </w:tr>
      <w:tr w:rsidR="004107CB" w14:paraId="09CA3C7F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785B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1205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70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243D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10BE3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Ⅱ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1BE36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AE0AD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6.5</w:t>
            </w:r>
          </w:p>
        </w:tc>
      </w:tr>
      <w:tr w:rsidR="004107CB" w14:paraId="67938AAB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F79FA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73B3E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70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8A80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384D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Ⅱ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BF39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0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CA646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10.8</w:t>
            </w:r>
          </w:p>
        </w:tc>
      </w:tr>
      <w:tr w:rsidR="004107CB" w14:paraId="01D03B5E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BA7A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B69DD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71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925F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2570A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Ⅱ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1DA19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8C526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3.5</w:t>
            </w:r>
          </w:p>
        </w:tc>
      </w:tr>
      <w:tr w:rsidR="004107CB" w14:paraId="2256AAD9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2429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1729A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72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63CF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D79FD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Ⅱ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DC9D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4D1EF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2.5</w:t>
            </w:r>
          </w:p>
        </w:tc>
      </w:tr>
      <w:tr w:rsidR="004107CB" w14:paraId="7AB89220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50552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14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A075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75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935E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5C4E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Ⅱ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F6746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9B95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6.2</w:t>
            </w:r>
          </w:p>
        </w:tc>
      </w:tr>
      <w:tr w:rsidR="004107CB" w14:paraId="60194794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ACD1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15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9A6F9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76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74EDC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934CC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Ⅱ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B5F16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B94D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9.8</w:t>
            </w:r>
          </w:p>
        </w:tc>
      </w:tr>
      <w:tr w:rsidR="004107CB" w14:paraId="57BCFE5C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BEC4E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16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5499F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46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63813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1E62D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Ⅱ-Ⅲ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82BCE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5676A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9.3</w:t>
            </w:r>
          </w:p>
        </w:tc>
      </w:tr>
      <w:tr w:rsidR="004107CB" w14:paraId="769A61C4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6F9C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17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7E48F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51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8296C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A0E8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Ⅱ-Ⅲ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BC89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A9B73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3.5</w:t>
            </w:r>
          </w:p>
        </w:tc>
      </w:tr>
      <w:tr w:rsidR="004107CB" w14:paraId="3253854A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597FD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18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47B1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58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2BAFC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C0DA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Ⅱ-Ⅲ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534D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8B5CF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16.9</w:t>
            </w:r>
          </w:p>
        </w:tc>
      </w:tr>
      <w:tr w:rsidR="004107CB" w14:paraId="17E01276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D3F79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19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8EBC2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66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9536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1A622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Ⅱ-Ⅲ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F28D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D91D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13.1</w:t>
            </w:r>
          </w:p>
        </w:tc>
      </w:tr>
      <w:tr w:rsidR="004107CB" w14:paraId="7D124D3F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1054C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4FE1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67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40FB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B6B0F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Ⅱ-Ⅲ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6E7A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1DD43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15.1</w:t>
            </w:r>
          </w:p>
        </w:tc>
      </w:tr>
      <w:tr w:rsidR="004107CB" w14:paraId="42F95590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A580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0055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67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9E406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D991E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Ⅱ-Ⅲ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7CCB1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4965D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5.5</w:t>
            </w:r>
          </w:p>
        </w:tc>
      </w:tr>
      <w:tr w:rsidR="004107CB" w14:paraId="39F5D162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43ED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AB909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68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9515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1F329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Ⅱ-Ⅲ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A381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6E682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6.7</w:t>
            </w:r>
          </w:p>
        </w:tc>
      </w:tr>
      <w:tr w:rsidR="004107CB" w14:paraId="79810CD6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E735F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CC406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68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90313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7FB7E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Ⅱ-Ⅲ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7F9E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AC05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6.2</w:t>
            </w:r>
          </w:p>
        </w:tc>
      </w:tr>
      <w:tr w:rsidR="004107CB" w14:paraId="6613657B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66D8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24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34DF56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71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68B36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7ED2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Ⅱ-Ⅲ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11F6D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771BF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7.8</w:t>
            </w:r>
          </w:p>
        </w:tc>
      </w:tr>
      <w:tr w:rsidR="004107CB" w14:paraId="088036F9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90943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25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50031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72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5422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695DF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Ⅱ-Ⅲ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07A76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6AA4D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3</w:t>
            </w:r>
          </w:p>
        </w:tc>
      </w:tr>
      <w:tr w:rsidR="004107CB" w14:paraId="752426DB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9B09F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26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9862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74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C371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A8503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Ⅱ-Ⅲ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D902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0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F9CEE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8.7</w:t>
            </w:r>
          </w:p>
        </w:tc>
      </w:tr>
      <w:tr w:rsidR="004107CB" w14:paraId="2A98CA6A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39BF2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27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2341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82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5DB8F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4B811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Ⅱ-Ⅲ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64A1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4BC4D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4.5</w:t>
            </w:r>
          </w:p>
        </w:tc>
      </w:tr>
      <w:tr w:rsidR="004107CB" w14:paraId="4574952C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A0253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28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7FE6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662A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32F8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2405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BAA6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3.5</w:t>
            </w:r>
          </w:p>
        </w:tc>
      </w:tr>
      <w:tr w:rsidR="004107CB" w14:paraId="4582E902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B807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29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C3A03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47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A445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C300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BF48E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0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1CE4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7.7</w:t>
            </w:r>
          </w:p>
        </w:tc>
      </w:tr>
      <w:tr w:rsidR="004107CB" w14:paraId="0CF58C37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1D78E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lastRenderedPageBreak/>
              <w:t>30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736A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47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89D39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49DF3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C521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5010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6.9</w:t>
            </w:r>
          </w:p>
        </w:tc>
      </w:tr>
      <w:tr w:rsidR="004107CB" w14:paraId="7ABF940E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0DAA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31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0BC69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47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90B7E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ACAA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D0F09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67FBE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3.9</w:t>
            </w:r>
          </w:p>
        </w:tc>
      </w:tr>
      <w:tr w:rsidR="004107CB" w14:paraId="4A09FEC0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FDCD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32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7F26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56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B5282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8E6B9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8021A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58772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6.9</w:t>
            </w:r>
          </w:p>
        </w:tc>
      </w:tr>
      <w:tr w:rsidR="004107CB" w14:paraId="28C9227F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ED986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33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BD85A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57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7B31D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F1EC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C777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FA211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9.1</w:t>
            </w:r>
          </w:p>
        </w:tc>
      </w:tr>
      <w:tr w:rsidR="004107CB" w14:paraId="6D138607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D1E1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34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7CB19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57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72BCA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7B69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42F93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1CBC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8.7</w:t>
            </w:r>
          </w:p>
        </w:tc>
      </w:tr>
      <w:tr w:rsidR="004107CB" w14:paraId="58F9377F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9BA99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35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8436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58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E3BEE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DE2D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33F19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86D62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5.2</w:t>
            </w:r>
          </w:p>
        </w:tc>
      </w:tr>
      <w:tr w:rsidR="004107CB" w14:paraId="4AF75DCE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2D661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36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73FE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60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A38F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70A61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6181D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7C116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7.1</w:t>
            </w:r>
          </w:p>
        </w:tc>
      </w:tr>
      <w:tr w:rsidR="004107CB" w14:paraId="63639032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6887F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37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F2FC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60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7BAC2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46E6E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D568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CD6A6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5.6</w:t>
            </w:r>
          </w:p>
        </w:tc>
      </w:tr>
      <w:tr w:rsidR="004107CB" w14:paraId="61E246B2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FAB99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38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6F9D3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61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B0D8F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4152C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CF3E1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4CFBC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7.3</w:t>
            </w:r>
          </w:p>
        </w:tc>
      </w:tr>
      <w:tr w:rsidR="004107CB" w14:paraId="73023D8F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F0DF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39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81E9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61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965FD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A4F23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ABC59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8528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7.3</w:t>
            </w:r>
          </w:p>
        </w:tc>
      </w:tr>
      <w:tr w:rsidR="004107CB" w14:paraId="5085277C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08C36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FD7CD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61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6815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C53A6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1E2DD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9372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2.2</w:t>
            </w:r>
          </w:p>
        </w:tc>
      </w:tr>
      <w:tr w:rsidR="004107CB" w14:paraId="092D479A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89DDC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41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CC44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61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2E35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72FC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0DC9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AFA32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5.7</w:t>
            </w:r>
          </w:p>
        </w:tc>
      </w:tr>
      <w:tr w:rsidR="004107CB" w14:paraId="054ABF1E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0A6F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42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1A77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63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295B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64F4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BCFFA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0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66F5A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4.2</w:t>
            </w:r>
          </w:p>
        </w:tc>
      </w:tr>
      <w:tr w:rsidR="004107CB" w14:paraId="7A83E67F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29933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43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BEEF3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63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ACDAD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120D1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4C9E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2131C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1.8</w:t>
            </w:r>
          </w:p>
        </w:tc>
      </w:tr>
      <w:tr w:rsidR="004107CB" w14:paraId="6C6D9567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E815C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44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57D9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64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EE0AC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DD46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ACD9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EB11E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5.1</w:t>
            </w:r>
          </w:p>
        </w:tc>
      </w:tr>
      <w:tr w:rsidR="004107CB" w14:paraId="4D3AD7AC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97186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45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50B1A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65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7D41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0428E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6376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7260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6.3</w:t>
            </w:r>
          </w:p>
        </w:tc>
      </w:tr>
      <w:tr w:rsidR="004107CB" w14:paraId="4A453E19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0C85C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46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35A53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65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CE10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13F8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E04A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5CEA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2.3</w:t>
            </w:r>
          </w:p>
        </w:tc>
      </w:tr>
      <w:tr w:rsidR="004107CB" w14:paraId="5896A483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C1AB9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47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A1CA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66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9E64C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4AADA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B64B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342CD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</w:t>
            </w:r>
          </w:p>
        </w:tc>
      </w:tr>
      <w:tr w:rsidR="004107CB" w14:paraId="43A9DE69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220F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48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7625E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66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5AAA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0C846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FE5B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C97D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12.9</w:t>
            </w:r>
          </w:p>
        </w:tc>
      </w:tr>
      <w:tr w:rsidR="004107CB" w14:paraId="301E4040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62AAC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49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0021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67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D24FE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0E8AE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B5531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02DE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</w:t>
            </w:r>
          </w:p>
        </w:tc>
      </w:tr>
      <w:tr w:rsidR="004107CB" w14:paraId="3DEB48E6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3B3B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50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22C81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67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20D1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female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DA026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5956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0F10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7.9</w:t>
            </w:r>
          </w:p>
        </w:tc>
      </w:tr>
      <w:tr w:rsidR="004107CB" w14:paraId="3A23E30C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8719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AF6D1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68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B698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CED7D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F8EC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0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5553C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4.7</w:t>
            </w:r>
          </w:p>
        </w:tc>
      </w:tr>
      <w:tr w:rsidR="004107CB" w14:paraId="5DA28630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A0DC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ED9D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68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7EB7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01BD3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85C7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0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05A3D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11.5</w:t>
            </w:r>
          </w:p>
        </w:tc>
      </w:tr>
      <w:tr w:rsidR="004107CB" w14:paraId="206DB251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2C9D6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5EDE2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69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3DA7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08ECD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30F36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B620F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6.9</w:t>
            </w:r>
          </w:p>
        </w:tc>
      </w:tr>
      <w:tr w:rsidR="004107CB" w14:paraId="0C77F07B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E913D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54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6936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69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17969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B845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FE2BA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9E87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5.9</w:t>
            </w:r>
          </w:p>
        </w:tc>
      </w:tr>
      <w:tr w:rsidR="004107CB" w14:paraId="0C8FB639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14A9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55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76DA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69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58D2F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619DD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B32A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37581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7.8</w:t>
            </w:r>
          </w:p>
        </w:tc>
      </w:tr>
      <w:tr w:rsidR="004107CB" w14:paraId="62820E69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E72D1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56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761B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70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B8BC2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D6C2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A72AD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E294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8</w:t>
            </w:r>
          </w:p>
        </w:tc>
      </w:tr>
      <w:tr w:rsidR="004107CB" w14:paraId="5D3F0520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FC3E3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57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AAAF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70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D94DC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4683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E7A2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09C7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2.3</w:t>
            </w:r>
          </w:p>
        </w:tc>
      </w:tr>
      <w:tr w:rsidR="004107CB" w14:paraId="29016D16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4878C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58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0E76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70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ABA61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CF22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2B6F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29BD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6.5</w:t>
            </w:r>
          </w:p>
        </w:tc>
      </w:tr>
      <w:tr w:rsidR="004107CB" w14:paraId="3684D0BD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2A0B6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59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C370A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72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85B1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A6C4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79B69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1BB8D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6.6</w:t>
            </w:r>
          </w:p>
        </w:tc>
      </w:tr>
      <w:tr w:rsidR="004107CB" w14:paraId="546000B6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8A533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60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6546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73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06962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77B0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80F72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52F9A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9.5</w:t>
            </w:r>
          </w:p>
        </w:tc>
      </w:tr>
      <w:tr w:rsidR="004107CB" w14:paraId="3EE535A4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827D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C9E1A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74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9F3C2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93FAD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CC6C2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0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1E46F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2.7</w:t>
            </w:r>
          </w:p>
        </w:tc>
      </w:tr>
      <w:tr w:rsidR="004107CB" w14:paraId="50706F71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79AB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7128F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74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FB4B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4B63C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FE8E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695E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12.3</w:t>
            </w:r>
          </w:p>
        </w:tc>
      </w:tr>
      <w:tr w:rsidR="004107CB" w14:paraId="01730431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01D51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lastRenderedPageBreak/>
              <w:t>63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1690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75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7A2D1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DDAE7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3CBDA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02E7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3.6</w:t>
            </w:r>
          </w:p>
        </w:tc>
      </w:tr>
      <w:tr w:rsidR="004107CB" w14:paraId="2341B40E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47C6E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64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65D61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76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93A4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D848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29EA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DCC42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5.6</w:t>
            </w:r>
          </w:p>
        </w:tc>
      </w:tr>
      <w:tr w:rsidR="004107CB" w14:paraId="2B321962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539C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65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6661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76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6DE7D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2375B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25EA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5CFD0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7.6</w:t>
            </w:r>
          </w:p>
        </w:tc>
      </w:tr>
      <w:tr w:rsidR="004107CB" w14:paraId="063F2CF9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48EA2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66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0B904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77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691F6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A7D76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BCB58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0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4C0A3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6.8</w:t>
            </w:r>
          </w:p>
        </w:tc>
      </w:tr>
      <w:tr w:rsidR="004107CB" w14:paraId="6D5C7EAB" w14:textId="77777777">
        <w:trPr>
          <w:trHeight w:val="312"/>
        </w:trPr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CF465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67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8996A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77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23F5E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male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5B40A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Ⅲ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8DAFE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629BF" w14:textId="77777777" w:rsidR="004107CB" w:rsidRDefault="00000000">
            <w:pPr>
              <w:widowControl/>
              <w:ind w:firstLine="480"/>
              <w:jc w:val="center"/>
              <w:textAlignment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 w:bidi="ar"/>
              </w:rPr>
              <w:t>8.2</w:t>
            </w:r>
          </w:p>
        </w:tc>
      </w:tr>
    </w:tbl>
    <w:p w14:paraId="107450BF" w14:textId="2A04BBE4" w:rsidR="00EA1D0D" w:rsidRDefault="00000000" w:rsidP="00EA1D0D">
      <w:pPr>
        <w:widowControl/>
        <w:ind w:firstLineChars="0" w:firstLine="0"/>
        <w:rPr>
          <w:rFonts w:cs="Times New Roman"/>
          <w:kern w:val="0"/>
          <w:szCs w:val="24"/>
          <w:lang w:bidi="ar"/>
        </w:rPr>
      </w:pPr>
      <w:r>
        <w:rPr>
          <w:rFonts w:cs="Times New Roman"/>
          <w:szCs w:val="24"/>
        </w:rPr>
        <w:t>The immunoreactivity of VCAN in</w:t>
      </w:r>
      <w:r>
        <w:rPr>
          <w:rFonts w:cs="Times New Roman"/>
          <w:kern w:val="0"/>
          <w:szCs w:val="24"/>
          <w:lang w:bidi="ar"/>
        </w:rPr>
        <w:t xml:space="preserve"> STAD was scored in terms of the percentage of</w:t>
      </w:r>
      <w:r w:rsidR="00EA1D0D">
        <w:rPr>
          <w:rFonts w:cs="Times New Roman" w:hint="eastAsia"/>
          <w:kern w:val="0"/>
          <w:szCs w:val="24"/>
          <w:lang w:bidi="ar"/>
        </w:rPr>
        <w:t xml:space="preserve"> </w:t>
      </w:r>
      <w:r>
        <w:rPr>
          <w:rFonts w:cs="Times New Roman"/>
          <w:kern w:val="0"/>
          <w:szCs w:val="24"/>
          <w:lang w:bidi="ar"/>
        </w:rPr>
        <w:t>positive cells and staining intensity by two independent observers. The percentage of positive cells was scored as follows: 0</w:t>
      </w:r>
      <w:r>
        <w:rPr>
          <w:rFonts w:cs="Times New Roman" w:hint="eastAsia"/>
          <w:kern w:val="0"/>
          <w:szCs w:val="24"/>
          <w:lang w:bidi="ar"/>
        </w:rPr>
        <w:t xml:space="preserve"> </w:t>
      </w:r>
      <w:r>
        <w:rPr>
          <w:rFonts w:cs="Times New Roman"/>
          <w:kern w:val="0"/>
          <w:szCs w:val="24"/>
          <w:lang w:bidi="ar"/>
        </w:rPr>
        <w:t>=</w:t>
      </w:r>
      <w:r>
        <w:rPr>
          <w:rFonts w:cs="Times New Roman" w:hint="eastAsia"/>
          <w:kern w:val="0"/>
          <w:szCs w:val="24"/>
          <w:lang w:bidi="ar"/>
        </w:rPr>
        <w:t xml:space="preserve"> </w:t>
      </w:r>
      <w:r>
        <w:rPr>
          <w:rFonts w:cs="Times New Roman"/>
          <w:kern w:val="0"/>
          <w:szCs w:val="24"/>
          <w:lang w:bidi="ar"/>
        </w:rPr>
        <w:t>no positive cells; 1</w:t>
      </w:r>
      <w:r>
        <w:rPr>
          <w:rFonts w:cs="Times New Roman" w:hint="eastAsia"/>
          <w:kern w:val="0"/>
          <w:szCs w:val="24"/>
          <w:lang w:bidi="ar"/>
        </w:rPr>
        <w:t xml:space="preserve"> </w:t>
      </w:r>
      <w:r>
        <w:rPr>
          <w:rFonts w:cs="Times New Roman"/>
          <w:kern w:val="0"/>
          <w:szCs w:val="24"/>
          <w:lang w:bidi="ar"/>
        </w:rPr>
        <w:t>=</w:t>
      </w:r>
      <w:r>
        <w:rPr>
          <w:rFonts w:cs="Times New Roman" w:hint="eastAsia"/>
          <w:kern w:val="0"/>
          <w:szCs w:val="24"/>
          <w:lang w:bidi="ar"/>
        </w:rPr>
        <w:t xml:space="preserve"> </w:t>
      </w:r>
      <w:r>
        <w:rPr>
          <w:rFonts w:cs="Times New Roman"/>
          <w:kern w:val="0"/>
          <w:szCs w:val="24"/>
          <w:lang w:bidi="ar"/>
        </w:rPr>
        <w:t>0–10% positive cells; 2</w:t>
      </w:r>
      <w:r>
        <w:rPr>
          <w:rFonts w:cs="Times New Roman" w:hint="eastAsia"/>
          <w:kern w:val="0"/>
          <w:szCs w:val="24"/>
          <w:lang w:bidi="ar"/>
        </w:rPr>
        <w:t xml:space="preserve"> </w:t>
      </w:r>
      <w:r>
        <w:rPr>
          <w:rFonts w:cs="Times New Roman"/>
          <w:kern w:val="0"/>
          <w:szCs w:val="24"/>
          <w:lang w:bidi="ar"/>
        </w:rPr>
        <w:t>=</w:t>
      </w:r>
      <w:r>
        <w:rPr>
          <w:rFonts w:cs="Times New Roman" w:hint="eastAsia"/>
          <w:kern w:val="0"/>
          <w:szCs w:val="24"/>
          <w:lang w:bidi="ar"/>
        </w:rPr>
        <w:t xml:space="preserve"> </w:t>
      </w:r>
      <w:r>
        <w:rPr>
          <w:rFonts w:cs="Times New Roman"/>
          <w:kern w:val="0"/>
          <w:szCs w:val="24"/>
          <w:lang w:bidi="ar"/>
        </w:rPr>
        <w:t>11–50% positive cells; and 3</w:t>
      </w:r>
      <w:r>
        <w:rPr>
          <w:rFonts w:cs="Times New Roman" w:hint="eastAsia"/>
          <w:kern w:val="0"/>
          <w:szCs w:val="24"/>
          <w:lang w:bidi="ar"/>
        </w:rPr>
        <w:t xml:space="preserve"> </w:t>
      </w:r>
      <w:r>
        <w:rPr>
          <w:rFonts w:cs="Times New Roman"/>
          <w:kern w:val="0"/>
          <w:szCs w:val="24"/>
          <w:lang w:bidi="ar"/>
        </w:rPr>
        <w:t>=&gt;</w:t>
      </w:r>
      <w:r>
        <w:rPr>
          <w:rFonts w:cs="Times New Roman" w:hint="eastAsia"/>
          <w:kern w:val="0"/>
          <w:szCs w:val="24"/>
          <w:lang w:bidi="ar"/>
        </w:rPr>
        <w:t xml:space="preserve"> </w:t>
      </w:r>
      <w:r>
        <w:rPr>
          <w:rFonts w:cs="Times New Roman"/>
          <w:kern w:val="0"/>
          <w:szCs w:val="24"/>
          <w:lang w:bidi="ar"/>
        </w:rPr>
        <w:t>51% positive cells. Staining intensity was scored as follows: 0</w:t>
      </w:r>
      <w:r>
        <w:rPr>
          <w:rFonts w:cs="Times New Roman" w:hint="eastAsia"/>
          <w:kern w:val="0"/>
          <w:szCs w:val="24"/>
          <w:lang w:bidi="ar"/>
        </w:rPr>
        <w:t xml:space="preserve"> </w:t>
      </w:r>
      <w:r>
        <w:rPr>
          <w:rFonts w:cs="Times New Roman"/>
          <w:kern w:val="0"/>
          <w:szCs w:val="24"/>
          <w:lang w:bidi="ar"/>
        </w:rPr>
        <w:t>=</w:t>
      </w:r>
      <w:r>
        <w:rPr>
          <w:rFonts w:cs="Times New Roman" w:hint="eastAsia"/>
          <w:kern w:val="0"/>
          <w:szCs w:val="24"/>
          <w:lang w:bidi="ar"/>
        </w:rPr>
        <w:t xml:space="preserve"> </w:t>
      </w:r>
      <w:r>
        <w:rPr>
          <w:rFonts w:cs="Times New Roman"/>
          <w:kern w:val="0"/>
          <w:szCs w:val="24"/>
          <w:lang w:bidi="ar"/>
        </w:rPr>
        <w:t>no staining (negative); 1</w:t>
      </w:r>
      <w:r>
        <w:rPr>
          <w:rFonts w:cs="Times New Roman" w:hint="eastAsia"/>
          <w:kern w:val="0"/>
          <w:szCs w:val="24"/>
          <w:lang w:bidi="ar"/>
        </w:rPr>
        <w:t xml:space="preserve"> </w:t>
      </w:r>
      <w:r>
        <w:rPr>
          <w:rFonts w:cs="Times New Roman"/>
          <w:kern w:val="0"/>
          <w:szCs w:val="24"/>
          <w:lang w:bidi="ar"/>
        </w:rPr>
        <w:t>=</w:t>
      </w:r>
      <w:r>
        <w:rPr>
          <w:rFonts w:cs="Times New Roman" w:hint="eastAsia"/>
          <w:kern w:val="0"/>
          <w:szCs w:val="24"/>
          <w:lang w:bidi="ar"/>
        </w:rPr>
        <w:t xml:space="preserve"> </w:t>
      </w:r>
      <w:r>
        <w:rPr>
          <w:rFonts w:cs="Times New Roman"/>
          <w:kern w:val="0"/>
          <w:szCs w:val="24"/>
          <w:lang w:bidi="ar"/>
        </w:rPr>
        <w:t>mild reaction; 2</w:t>
      </w:r>
      <w:r>
        <w:rPr>
          <w:rFonts w:cs="Times New Roman" w:hint="eastAsia"/>
          <w:kern w:val="0"/>
          <w:szCs w:val="24"/>
          <w:lang w:bidi="ar"/>
        </w:rPr>
        <w:t xml:space="preserve"> </w:t>
      </w:r>
      <w:r>
        <w:rPr>
          <w:rFonts w:cs="Times New Roman"/>
          <w:kern w:val="0"/>
          <w:szCs w:val="24"/>
          <w:lang w:bidi="ar"/>
        </w:rPr>
        <w:t>=</w:t>
      </w:r>
      <w:r>
        <w:rPr>
          <w:rFonts w:cs="Times New Roman" w:hint="eastAsia"/>
          <w:kern w:val="0"/>
          <w:szCs w:val="24"/>
          <w:lang w:bidi="ar"/>
        </w:rPr>
        <w:t xml:space="preserve"> </w:t>
      </w:r>
      <w:r>
        <w:rPr>
          <w:rFonts w:cs="Times New Roman"/>
          <w:kern w:val="0"/>
          <w:szCs w:val="24"/>
          <w:lang w:bidi="ar"/>
        </w:rPr>
        <w:t>moderate reaction; and 3</w:t>
      </w:r>
      <w:r>
        <w:rPr>
          <w:rFonts w:cs="Times New Roman" w:hint="eastAsia"/>
          <w:kern w:val="0"/>
          <w:szCs w:val="24"/>
          <w:lang w:bidi="ar"/>
        </w:rPr>
        <w:t xml:space="preserve"> </w:t>
      </w:r>
      <w:r>
        <w:rPr>
          <w:rFonts w:cs="Times New Roman"/>
          <w:kern w:val="0"/>
          <w:szCs w:val="24"/>
          <w:lang w:bidi="ar"/>
        </w:rPr>
        <w:t>=</w:t>
      </w:r>
      <w:r>
        <w:rPr>
          <w:rFonts w:cs="Times New Roman" w:hint="eastAsia"/>
          <w:kern w:val="0"/>
          <w:szCs w:val="24"/>
          <w:lang w:bidi="ar"/>
        </w:rPr>
        <w:t xml:space="preserve"> </w:t>
      </w:r>
      <w:r>
        <w:rPr>
          <w:rFonts w:cs="Times New Roman"/>
          <w:kern w:val="0"/>
          <w:szCs w:val="24"/>
          <w:lang w:bidi="ar"/>
        </w:rPr>
        <w:t>strong reaction. The product of the percentage of positive and staining intensity is the final score of the sections. A score of &lt;</w:t>
      </w:r>
      <w:r>
        <w:rPr>
          <w:rFonts w:cs="Times New Roman" w:hint="eastAsia"/>
          <w:kern w:val="0"/>
          <w:szCs w:val="24"/>
          <w:lang w:bidi="ar"/>
        </w:rPr>
        <w:t xml:space="preserve"> </w:t>
      </w:r>
      <w:r>
        <w:rPr>
          <w:rFonts w:cs="Times New Roman"/>
          <w:kern w:val="0"/>
          <w:szCs w:val="24"/>
          <w:lang w:bidi="ar"/>
        </w:rPr>
        <w:t>4 is defined as low level, whereas a score of ≧</w:t>
      </w:r>
      <w:r>
        <w:rPr>
          <w:rFonts w:cs="Times New Roman" w:hint="eastAsia"/>
          <w:kern w:val="0"/>
          <w:szCs w:val="24"/>
          <w:lang w:bidi="ar"/>
        </w:rPr>
        <w:t xml:space="preserve"> </w:t>
      </w:r>
      <w:r>
        <w:rPr>
          <w:rFonts w:cs="Times New Roman"/>
          <w:kern w:val="0"/>
          <w:szCs w:val="24"/>
          <w:lang w:bidi="ar"/>
        </w:rPr>
        <w:t>4 is defined as high level.</w:t>
      </w:r>
    </w:p>
    <w:p w14:paraId="12A8DD91" w14:textId="77777777" w:rsidR="00EA1D0D" w:rsidRDefault="00EA1D0D">
      <w:pPr>
        <w:widowControl/>
        <w:adjustRightInd/>
        <w:snapToGrid/>
        <w:spacing w:line="240" w:lineRule="auto"/>
        <w:ind w:firstLineChars="0" w:firstLine="0"/>
        <w:jc w:val="left"/>
        <w:rPr>
          <w:rFonts w:cs="Times New Roman"/>
          <w:kern w:val="0"/>
          <w:szCs w:val="24"/>
          <w:lang w:bidi="ar"/>
        </w:rPr>
      </w:pPr>
      <w:r>
        <w:rPr>
          <w:rFonts w:cs="Times New Roman"/>
          <w:kern w:val="0"/>
          <w:szCs w:val="24"/>
          <w:lang w:bidi="ar"/>
        </w:rPr>
        <w:br w:type="page"/>
      </w:r>
    </w:p>
    <w:p w14:paraId="295481CF" w14:textId="77777777" w:rsidR="004107CB" w:rsidRDefault="004107CB" w:rsidP="00EA1D0D">
      <w:pPr>
        <w:widowControl/>
        <w:ind w:firstLineChars="0" w:firstLine="0"/>
        <w:rPr>
          <w:rFonts w:cs="Times New Roman"/>
        </w:rPr>
      </w:pPr>
    </w:p>
    <w:p w14:paraId="594A7525" w14:textId="77777777" w:rsidR="004107CB" w:rsidRDefault="00000000">
      <w:pPr>
        <w:ind w:firstLine="480"/>
        <w:jc w:val="center"/>
      </w:pPr>
      <w:r>
        <w:rPr>
          <w:noProof/>
        </w:rPr>
        <w:drawing>
          <wp:inline distT="0" distB="0" distL="114300" distR="114300" wp14:anchorId="2EC14365" wp14:editId="47433629">
            <wp:extent cx="2419985" cy="2919730"/>
            <wp:effectExtent l="0" t="0" r="3175" b="0"/>
            <wp:docPr id="1" name="图片 1" descr="S CDH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 CDH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9985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CEA67" w14:textId="77777777" w:rsidR="004107CB" w:rsidRDefault="00000000">
      <w:pPr>
        <w:ind w:firstLineChars="0" w:firstLine="0"/>
      </w:pPr>
      <w:r>
        <w:rPr>
          <w:rFonts w:hint="eastAsia"/>
          <w:b/>
          <w:bCs/>
        </w:rPr>
        <w:t xml:space="preserve">Supplemental Figure 1. </w:t>
      </w:r>
      <w:r>
        <w:rPr>
          <w:rFonts w:hint="eastAsia"/>
        </w:rPr>
        <w:t>In AP000695.2 knockdown cells, miR-7-5p-minic showed no significant change in its ability to downregulate CDH11 expression</w:t>
      </w:r>
    </w:p>
    <w:p w14:paraId="0B3942B8" w14:textId="77777777" w:rsidR="004107CB" w:rsidRDefault="004107CB">
      <w:pPr>
        <w:ind w:firstLine="480"/>
        <w:jc w:val="center"/>
      </w:pPr>
    </w:p>
    <w:sectPr w:rsidR="00410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C27DB" w14:textId="77777777" w:rsidR="003F660D" w:rsidRDefault="003F660D">
      <w:pPr>
        <w:spacing w:line="240" w:lineRule="auto"/>
        <w:ind w:firstLine="480"/>
      </w:pPr>
      <w:r>
        <w:separator/>
      </w:r>
    </w:p>
  </w:endnote>
  <w:endnote w:type="continuationSeparator" w:id="0">
    <w:p w14:paraId="1E420D9B" w14:textId="77777777" w:rsidR="003F660D" w:rsidRDefault="003F660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6B4BF" w14:textId="77777777" w:rsidR="004107CB" w:rsidRDefault="004107CB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9FBA3" w14:textId="77777777" w:rsidR="004107CB" w:rsidRDefault="004107CB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28D44" w14:textId="77777777" w:rsidR="004107CB" w:rsidRDefault="004107CB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77A21" w14:textId="77777777" w:rsidR="003F660D" w:rsidRDefault="003F660D">
      <w:pPr>
        <w:ind w:firstLine="480"/>
      </w:pPr>
      <w:r>
        <w:separator/>
      </w:r>
    </w:p>
  </w:footnote>
  <w:footnote w:type="continuationSeparator" w:id="0">
    <w:p w14:paraId="213DD0F2" w14:textId="77777777" w:rsidR="003F660D" w:rsidRDefault="003F660D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A0823" w14:textId="77777777" w:rsidR="004107CB" w:rsidRDefault="004107CB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6926C" w14:textId="77777777" w:rsidR="004107CB" w:rsidRDefault="004107CB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06535" w14:textId="77777777" w:rsidR="004107CB" w:rsidRDefault="004107CB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3D1A3242"/>
    <w:rsid w:val="002D753D"/>
    <w:rsid w:val="003F660D"/>
    <w:rsid w:val="004107CB"/>
    <w:rsid w:val="004830F3"/>
    <w:rsid w:val="00584264"/>
    <w:rsid w:val="0087146D"/>
    <w:rsid w:val="009A64F1"/>
    <w:rsid w:val="00C7089E"/>
    <w:rsid w:val="00C91284"/>
    <w:rsid w:val="00D01B05"/>
    <w:rsid w:val="00D1020B"/>
    <w:rsid w:val="00E25EE9"/>
    <w:rsid w:val="00EA1D0D"/>
    <w:rsid w:val="0CDE00C9"/>
    <w:rsid w:val="23FD4615"/>
    <w:rsid w:val="3D1A3242"/>
    <w:rsid w:val="453F6B4F"/>
    <w:rsid w:val="6933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29378"/>
  <w15:docId w15:val="{4681BB0F-85FE-4648-913E-458CBFA3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cstheme="minorBidi"/>
      <w:kern w:val="2"/>
      <w:sz w:val="18"/>
      <w:szCs w:val="18"/>
    </w:rPr>
  </w:style>
  <w:style w:type="table" w:customStyle="1" w:styleId="111">
    <w:name w:val="网格型111"/>
    <w:basedOn w:val="a1"/>
    <w:autoRedefine/>
    <w:qFormat/>
    <w:pPr>
      <w:widowControl w:val="0"/>
      <w:jc w:val="both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</dc:creator>
  <cp:lastModifiedBy>Zhao_ WANG</cp:lastModifiedBy>
  <cp:revision>3</cp:revision>
  <dcterms:created xsi:type="dcterms:W3CDTF">2024-08-22T08:59:00Z</dcterms:created>
  <dcterms:modified xsi:type="dcterms:W3CDTF">2024-08-22T08:59:00Z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DBEAADA6F6D44AFDB9D60B4894801515_11</vt:lpwstr>
  </property>
</Properties>
</file>