
<file path=[Content_Types].xml><?xml version="1.0" encoding="utf-8"?>
<Types xmlns="http://schemas.openxmlformats.org/package/2006/content-types">
  <Default Extension="tiff" ContentType="image/tif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480" w:lineRule="auto"/>
        <w:ind w:firstLine="501" w:firstLineChars="250"/>
        <w:jc w:val="center"/>
        <w:rPr>
          <w:rFonts w:ascii="Times New Roman Bold" w:hAnsi="Times New Roman Bold" w:eastAsia="宋体" w:cs="Times New Roman Bold"/>
          <w:b/>
          <w:bCs/>
          <w:kern w:val="0"/>
          <w:sz w:val="20"/>
          <w:szCs w:val="20"/>
          <w:lang w:eastAsia="zh-Hans"/>
        </w:rPr>
      </w:pPr>
      <w:r>
        <w:rPr>
          <w:rFonts w:ascii="Times New Roman Bold" w:hAnsi="Times New Roman Bold" w:eastAsia="宋体" w:cs="Times New Roman Bold"/>
          <w:b/>
          <w:bCs/>
          <w:kern w:val="0"/>
          <w:sz w:val="20"/>
          <w:szCs w:val="20"/>
          <w:lang w:eastAsia="zh-Hans"/>
        </w:rPr>
        <w:t>Supplementary Materials</w:t>
      </w:r>
    </w:p>
    <w:p>
      <w:pPr>
        <w:autoSpaceDE w:val="0"/>
        <w:autoSpaceDN w:val="0"/>
        <w:adjustRightInd w:val="0"/>
        <w:spacing w:line="480" w:lineRule="auto"/>
        <w:rPr>
          <w:rFonts w:ascii="Times New Roman Bold" w:hAnsi="Times New Roman Bold" w:eastAsia="宋体" w:cs="Times New Roman Bold"/>
          <w:b/>
          <w:bCs/>
          <w:kern w:val="0"/>
          <w:sz w:val="20"/>
          <w:szCs w:val="20"/>
          <w:lang w:eastAsia="zh-Hans"/>
        </w:rPr>
      </w:pPr>
      <w:r>
        <w:rPr>
          <w:rFonts w:ascii="Times New Roman Bold" w:hAnsi="Times New Roman Bold" w:eastAsia="宋体" w:cs="Times New Roman Bold"/>
          <w:b/>
          <w:bCs/>
          <w:kern w:val="0"/>
          <w:sz w:val="20"/>
          <w:szCs w:val="20"/>
          <w:lang w:eastAsia="zh-Hans"/>
        </w:rPr>
        <w:t>Supplementary Methods</w:t>
      </w:r>
    </w:p>
    <w:p>
      <w:pPr>
        <w:autoSpaceDE w:val="0"/>
        <w:autoSpaceDN w:val="0"/>
        <w:adjustRightInd w:val="0"/>
        <w:spacing w:line="480" w:lineRule="auto"/>
        <w:rPr>
          <w:rFonts w:hint="default" w:ascii="Times New Roman Bold" w:hAnsi="Times New Roman Bold" w:eastAsia="宋体" w:cs="Times New Roman Bold"/>
          <w:b/>
          <w:bCs/>
          <w:kern w:val="0"/>
          <w:sz w:val="20"/>
          <w:szCs w:val="20"/>
          <w:lang w:val="en-US" w:eastAsia="zh-Hans"/>
        </w:rPr>
      </w:pPr>
      <w:r>
        <w:rPr>
          <w:rFonts w:hint="default" w:ascii="Times New Roman Bold" w:hAnsi="Times New Roman Bold" w:eastAsia="宋体" w:cs="Times New Roman Bold"/>
          <w:b/>
          <w:bCs/>
          <w:kern w:val="0"/>
          <w:sz w:val="20"/>
          <w:szCs w:val="20"/>
          <w:lang w:val="en-US" w:eastAsia="zh-Hans"/>
        </w:rPr>
        <w:t>Treatments</w:t>
      </w:r>
    </w:p>
    <w:p>
      <w:pPr>
        <w:autoSpaceDE w:val="0"/>
        <w:autoSpaceDN w:val="0"/>
        <w:adjustRightInd w:val="0"/>
        <w:spacing w:line="480" w:lineRule="auto"/>
        <w:ind w:firstLine="500" w:firstLineChars="250"/>
        <w:jc w:val="left"/>
        <w:rPr>
          <w:rFonts w:hint="default" w:ascii="Times New Roman" w:hAnsi="Times New Roman" w:eastAsia="宋体" w:cs="Times New Roman"/>
          <w:kern w:val="0"/>
          <w:sz w:val="20"/>
          <w:szCs w:val="20"/>
          <w:lang w:val="en-US" w:eastAsia="zh-Hans"/>
        </w:rPr>
      </w:pPr>
      <w:r>
        <w:rPr>
          <w:rFonts w:hint="default" w:ascii="Times New Roman" w:hAnsi="Times New Roman" w:eastAsia="宋体" w:cs="Times New Roman"/>
          <w:kern w:val="0"/>
          <w:sz w:val="20"/>
          <w:szCs w:val="20"/>
          <w:lang w:val="en-US" w:eastAsia="zh-Hans"/>
        </w:rPr>
        <w:t xml:space="preserve">Eligible patients received chemotherapy consisting of intravenous oxaliplatin 130 mg/m² on day 1, followed by oral capecitabine 1000 mg/m² twice daily for days 1-14 (XELOX), every three weeks. This regimen (XELOX) was administered in combination with either sintilimab (3 mg/kg for body weight &lt;60 kg, 200 mg for ≥60 kg) in the sintilimab plus chemotherapy group, or a matching placebo in the placebo plus chemotherapy group. Both treatments were given intravenously every three weeks. Treatment continued until disease progression as assessed by the investigator using RECIST guidelines (version 1.1), nontolerable side effects, initiation of another anti-cancer therapy, patient withdrawal of consent, or fulfillment of other discontinuation criteria outlined in the protocol. Additionally, for patients in both groups who completed the initial 6 cycles of combination therapy, maintenance therapy with either sintilimab or placebo plus capecitabine (at the same dosage used in combination treatment) could be continued for up to a maximum of 2 years. </w:t>
      </w:r>
    </w:p>
    <w:p>
      <w:pPr>
        <w:autoSpaceDE w:val="0"/>
        <w:autoSpaceDN w:val="0"/>
        <w:adjustRightInd w:val="0"/>
        <w:spacing w:line="480" w:lineRule="auto"/>
        <w:jc w:val="left"/>
        <w:rPr>
          <w:rFonts w:hint="default" w:ascii="Times New Roman Bold" w:hAnsi="Times New Roman Bold" w:eastAsia="宋体" w:cs="Times New Roman Bold"/>
          <w:b/>
          <w:bCs/>
          <w:kern w:val="0"/>
          <w:sz w:val="20"/>
          <w:szCs w:val="20"/>
          <w:lang w:val="en-US" w:eastAsia="zh-Hans"/>
        </w:rPr>
      </w:pPr>
      <w:r>
        <w:rPr>
          <w:rFonts w:hint="default" w:ascii="Times New Roman Bold" w:hAnsi="Times New Roman Bold" w:eastAsia="宋体" w:cs="Times New Roman Bold"/>
          <w:b/>
          <w:bCs/>
          <w:kern w:val="0"/>
          <w:sz w:val="20"/>
          <w:szCs w:val="20"/>
          <w:lang w:val="en-US" w:eastAsia="zh-Hans"/>
        </w:rPr>
        <w:t>Assessments</w:t>
      </w:r>
    </w:p>
    <w:p>
      <w:pPr>
        <w:autoSpaceDE w:val="0"/>
        <w:autoSpaceDN w:val="0"/>
        <w:adjustRightInd w:val="0"/>
        <w:spacing w:line="480" w:lineRule="auto"/>
        <w:ind w:firstLine="500" w:firstLineChars="250"/>
        <w:jc w:val="left"/>
        <w:rPr>
          <w:rFonts w:hint="default" w:ascii="Times New Roman" w:hAnsi="Times New Roman" w:eastAsia="宋体" w:cs="Times New Roman"/>
          <w:kern w:val="0"/>
          <w:sz w:val="20"/>
          <w:szCs w:val="20"/>
          <w:lang w:val="en-US" w:eastAsia="zh-Hans"/>
        </w:rPr>
      </w:pPr>
      <w:r>
        <w:rPr>
          <w:rFonts w:hint="default" w:ascii="Times New Roman" w:hAnsi="Times New Roman" w:eastAsia="宋体" w:cs="Times New Roman"/>
          <w:kern w:val="0"/>
          <w:sz w:val="20"/>
          <w:szCs w:val="20"/>
          <w:lang w:val="en-US" w:eastAsia="zh-Hans"/>
        </w:rPr>
        <w:t>Previous medical history, physical examination, Body Mass Index (BMI), ECOG PS, Electrocardiogram (ECG), complete blood count and chemistry, urinary and stool test, thyroid function test, gastroscopy with biopsy, and pathological evaluation were obtained or performed for each patient before treatment. Radiological evaluation by Positron Emission Tomography (PET) scans , Computed Tomography (CT) and/or Magnetic Resonance Imaging (MRI) was done for baseline tumor assessment according to RECIST v1.1, then every 6 weeks from randomization for 48 weeks and afterwards every 12 weeks. Events were reported as adverse events (AEs) from the first dose to 90 days after treatment discontinuation. The investigator assessed the incidence of treatment-related adverse events (TRAEs) to any drug and immune-mediated AEs. Survival follow-up was done every 60 days after the safety follow-up visit.</w:t>
      </w:r>
    </w:p>
    <w:p>
      <w:pPr>
        <w:autoSpaceDE w:val="0"/>
        <w:autoSpaceDN w:val="0"/>
        <w:adjustRightInd w:val="0"/>
        <w:spacing w:line="480" w:lineRule="auto"/>
        <w:ind w:firstLine="500" w:firstLineChars="250"/>
        <w:jc w:val="left"/>
        <w:rPr>
          <w:rFonts w:hint="default" w:ascii="Times New Roman" w:hAnsi="Times New Roman" w:eastAsia="宋体" w:cs="Times New Roman"/>
          <w:kern w:val="0"/>
          <w:sz w:val="20"/>
          <w:szCs w:val="20"/>
          <w:lang w:val="en-US" w:eastAsia="zh-Hans"/>
        </w:rPr>
      </w:pPr>
    </w:p>
    <w:p>
      <w:pPr>
        <w:autoSpaceDE w:val="0"/>
        <w:autoSpaceDN w:val="0"/>
        <w:adjustRightInd w:val="0"/>
        <w:spacing w:line="480" w:lineRule="auto"/>
        <w:jc w:val="left"/>
        <w:rPr>
          <w:rFonts w:hint="default" w:ascii="Times New Roman Bold" w:hAnsi="Times New Roman Bold" w:eastAsia="宋体" w:cs="Times New Roman Bold"/>
          <w:b/>
          <w:bCs/>
          <w:kern w:val="0"/>
          <w:sz w:val="20"/>
          <w:szCs w:val="20"/>
          <w:lang w:val="en-US" w:eastAsia="zh-Hans"/>
        </w:rPr>
      </w:pPr>
      <w:r>
        <w:rPr>
          <w:rFonts w:hint="default" w:ascii="Times New Roman Bold" w:hAnsi="Times New Roman Bold" w:eastAsia="宋体" w:cs="Times New Roman Bold"/>
          <w:b/>
          <w:bCs/>
          <w:kern w:val="0"/>
          <w:sz w:val="20"/>
          <w:szCs w:val="20"/>
          <w:lang w:val="en-US" w:eastAsia="zh-Hans"/>
        </w:rPr>
        <w:t>Supplementary Results</w:t>
      </w:r>
    </w:p>
    <w:p>
      <w:pPr>
        <w:autoSpaceDE w:val="0"/>
        <w:autoSpaceDN w:val="0"/>
        <w:adjustRightInd w:val="0"/>
        <w:spacing w:line="480" w:lineRule="auto"/>
        <w:jc w:val="left"/>
        <w:rPr>
          <w:rFonts w:ascii="Times New Roman" w:hAnsi="Times New Roman" w:eastAsia="宋体" w:cs="Times New Roman"/>
          <w:kern w:val="0"/>
          <w:sz w:val="20"/>
          <w:szCs w:val="20"/>
          <w:lang w:eastAsia="zh-Hans"/>
        </w:rPr>
      </w:pPr>
      <w:r>
        <w:rPr>
          <w:rFonts w:hint="default" w:ascii="Times New Roman Bold" w:hAnsi="Times New Roman Bold" w:eastAsia="宋体" w:cs="Times New Roman Bold"/>
          <w:b/>
          <w:bCs/>
          <w:kern w:val="0"/>
          <w:sz w:val="20"/>
          <w:szCs w:val="20"/>
          <w:lang w:eastAsia="zh-Hans"/>
        </w:rPr>
        <w:t>Efficacy</w:t>
      </w:r>
      <w:r>
        <w:rPr>
          <w:rFonts w:ascii="Times New Roman" w:hAnsi="Times New Roman" w:eastAsia="宋体" w:cs="Times New Roman"/>
          <w:kern w:val="0"/>
          <w:sz w:val="20"/>
          <w:szCs w:val="20"/>
          <w:lang w:eastAsia="zh-Hans"/>
        </w:rPr>
        <w:t xml:space="preserve"> </w:t>
      </w:r>
    </w:p>
    <w:p>
      <w:pPr>
        <w:autoSpaceDE w:val="0"/>
        <w:autoSpaceDN w:val="0"/>
        <w:adjustRightInd w:val="0"/>
        <w:spacing w:line="480" w:lineRule="auto"/>
        <w:ind w:firstLine="500" w:firstLineChars="250"/>
        <w:jc w:val="left"/>
        <w:rPr>
          <w:rFonts w:ascii="Times New Roman" w:hAnsi="Times New Roman" w:eastAsia="宋体" w:cs="Times New Roman"/>
          <w:kern w:val="0"/>
          <w:sz w:val="20"/>
          <w:szCs w:val="20"/>
          <w:lang w:eastAsia="zh-Hans"/>
        </w:rPr>
      </w:pPr>
      <w:r>
        <w:rPr>
          <w:rFonts w:ascii="Times New Roman" w:hAnsi="Times New Roman" w:eastAsia="宋体" w:cs="Times New Roman"/>
          <w:kern w:val="0"/>
          <w:sz w:val="20"/>
          <w:szCs w:val="20"/>
          <w:lang w:eastAsia="zh-Hans"/>
        </w:rPr>
        <w:t xml:space="preserve">By the cutoff date of June 20, 2021, an interim survival analysis was performed with a median follow-up period of </w:t>
      </w:r>
      <w:r>
        <w:rPr>
          <w:rFonts w:hint="eastAsia" w:ascii="Times New Roman" w:hAnsi="Times New Roman" w:eastAsia="宋体" w:cs="Times New Roman"/>
          <w:kern w:val="0"/>
          <w:sz w:val="20"/>
          <w:szCs w:val="20"/>
          <w:lang w:eastAsia="zh-Hans"/>
        </w:rPr>
        <w:t>13.3</w:t>
      </w:r>
      <w:r>
        <w:rPr>
          <w:rFonts w:ascii="Times New Roman" w:hAnsi="Times New Roman" w:eastAsia="宋体" w:cs="Times New Roman"/>
          <w:kern w:val="0"/>
          <w:sz w:val="20"/>
          <w:szCs w:val="20"/>
          <w:lang w:eastAsia="zh-Hans"/>
        </w:rPr>
        <w:t xml:space="preserve"> months (IQR </w:t>
      </w:r>
      <w:r>
        <w:rPr>
          <w:rFonts w:hint="eastAsia" w:ascii="Times New Roman" w:hAnsi="Times New Roman" w:eastAsia="宋体" w:cs="Times New Roman"/>
          <w:kern w:val="0"/>
          <w:sz w:val="20"/>
          <w:szCs w:val="20"/>
          <w:lang w:eastAsia="zh-Hans"/>
        </w:rPr>
        <w:t>6.9</w:t>
      </w:r>
      <w:r>
        <w:rPr>
          <w:rFonts w:ascii="Times New Roman" w:hAnsi="Times New Roman" w:eastAsia="宋体" w:cs="Times New Roman"/>
          <w:kern w:val="0"/>
          <w:sz w:val="20"/>
          <w:szCs w:val="20"/>
          <w:lang w:eastAsia="zh-Hans"/>
        </w:rPr>
        <w:t>-2</w:t>
      </w:r>
      <w:r>
        <w:rPr>
          <w:rFonts w:hint="eastAsia" w:ascii="Times New Roman" w:hAnsi="Times New Roman" w:eastAsia="宋体" w:cs="Times New Roman"/>
          <w:kern w:val="0"/>
          <w:sz w:val="20"/>
          <w:szCs w:val="20"/>
          <w:lang w:eastAsia="zh-Hans"/>
        </w:rPr>
        <w:t>4</w:t>
      </w:r>
      <w:r>
        <w:rPr>
          <w:rFonts w:ascii="Times New Roman" w:hAnsi="Times New Roman" w:eastAsia="宋体" w:cs="Times New Roman"/>
          <w:kern w:val="0"/>
          <w:sz w:val="20"/>
          <w:szCs w:val="20"/>
          <w:lang w:eastAsia="zh-Hans"/>
        </w:rPr>
        <w:t xml:space="preserve">.6). A total of 36 progression-free survival events were observed. Twenty-seven (77.1%) of the 35 patients in the sintilimab group and 19 (100%) of the 19 patients in the placebo group had discontinued study treatment. The most common reason for discontinuation was disease progression, affecting 23 (65.7%) of patients in the sintilimab group and 16 (84.2%) of patients in the placebo group. </w:t>
      </w:r>
    </w:p>
    <w:p>
      <w:pPr>
        <w:autoSpaceDE w:val="0"/>
        <w:autoSpaceDN w:val="0"/>
        <w:adjustRightInd w:val="0"/>
        <w:spacing w:line="480" w:lineRule="auto"/>
        <w:ind w:firstLine="500" w:firstLineChars="250"/>
        <w:jc w:val="left"/>
        <w:rPr>
          <w:rFonts w:ascii="Times New Roman" w:hAnsi="Times New Roman" w:eastAsia="宋体" w:cs="Times New Roman"/>
          <w:kern w:val="0"/>
          <w:sz w:val="20"/>
          <w:szCs w:val="20"/>
          <w:lang w:eastAsia="zh-Hans"/>
        </w:rPr>
      </w:pPr>
      <w:r>
        <w:rPr>
          <w:rFonts w:ascii="Times New Roman" w:hAnsi="Times New Roman" w:eastAsia="宋体" w:cs="Times New Roman"/>
          <w:kern w:val="0"/>
          <w:sz w:val="20"/>
          <w:szCs w:val="20"/>
          <w:lang w:eastAsia="zh-Hans"/>
        </w:rPr>
        <w:t>The best overall tumor response is shown in</w:t>
      </w:r>
      <w:r>
        <w:rPr>
          <w:rFonts w:hint="default" w:ascii="Times New Roman" w:hAnsi="Times New Roman" w:eastAsia="宋体" w:cs="Times New Roman"/>
          <w:kern w:val="0"/>
          <w:sz w:val="20"/>
          <w:szCs w:val="20"/>
          <w:lang w:val="en-US" w:eastAsia="zh-Hans"/>
        </w:rPr>
        <w:t xml:space="preserve"> Supplementary</w:t>
      </w:r>
      <w:r>
        <w:rPr>
          <w:rFonts w:ascii="Times New Roman" w:hAnsi="Times New Roman" w:eastAsia="宋体" w:cs="Times New Roman"/>
          <w:kern w:val="0"/>
          <w:sz w:val="20"/>
          <w:szCs w:val="20"/>
          <w:lang w:eastAsia="zh-Hans"/>
        </w:rPr>
        <w:t xml:space="preserve"> Table 2. </w:t>
      </w:r>
      <w:r>
        <w:rPr>
          <w:rFonts w:hint="eastAsia" w:ascii="Times New Roman" w:hAnsi="Times New Roman" w:eastAsia="宋体" w:cs="Times New Roman"/>
          <w:kern w:val="0"/>
          <w:sz w:val="20"/>
          <w:szCs w:val="20"/>
          <w:lang w:eastAsia="zh-Hans"/>
        </w:rPr>
        <w:t>Among all randomized patients, one patient (2.9%) in the immunotherapy group achieved a complete response, while none did so in the placebo group. In the sintilimab group, the objective response rate was 42.9% (n=15), compared to 26.3% (n=5) in the placebo group, while the corresponding DCR was 88.6% (n=31) and 78.9% (n=15), respectively</w:t>
      </w:r>
      <w:r>
        <w:rPr>
          <w:rFonts w:ascii="Times New Roman" w:hAnsi="Times New Roman" w:eastAsia="宋体" w:cs="Times New Roman"/>
          <w:kern w:val="0"/>
          <w:sz w:val="20"/>
          <w:szCs w:val="20"/>
          <w:lang w:eastAsia="zh-Hans"/>
        </w:rPr>
        <w:t xml:space="preserve"> (Supplementary</w:t>
      </w:r>
      <w:r>
        <w:rPr>
          <w:rFonts w:hint="default" w:ascii="Times New Roman" w:hAnsi="Times New Roman" w:eastAsia="宋体" w:cs="Times New Roman"/>
          <w:kern w:val="0"/>
          <w:sz w:val="20"/>
          <w:szCs w:val="20"/>
          <w:lang w:val="en-US" w:eastAsia="zh-Hans"/>
        </w:rPr>
        <w:t xml:space="preserve"> </w:t>
      </w:r>
      <w:r>
        <w:rPr>
          <w:rFonts w:ascii="Times New Roman" w:hAnsi="Times New Roman" w:eastAsia="宋体" w:cs="Times New Roman"/>
          <w:kern w:val="0"/>
          <w:sz w:val="20"/>
          <w:szCs w:val="20"/>
          <w:lang w:eastAsia="zh-Hans"/>
        </w:rPr>
        <w:t xml:space="preserve">Table </w:t>
      </w:r>
      <w:r>
        <w:rPr>
          <w:rFonts w:hint="default" w:ascii="Times New Roman" w:hAnsi="Times New Roman" w:eastAsia="宋体" w:cs="Times New Roman"/>
          <w:kern w:val="0"/>
          <w:sz w:val="20"/>
          <w:szCs w:val="20"/>
          <w:lang w:val="en-US" w:eastAsia="zh-Hans"/>
        </w:rPr>
        <w:t>1</w:t>
      </w:r>
      <w:r>
        <w:rPr>
          <w:rFonts w:ascii="Times New Roman" w:hAnsi="Times New Roman" w:eastAsia="宋体" w:cs="Times New Roman"/>
          <w:kern w:val="0"/>
          <w:sz w:val="20"/>
          <w:szCs w:val="20"/>
          <w:lang w:eastAsia="zh-Hans"/>
        </w:rPr>
        <w:t xml:space="preserve">). Waterfall plots showing tumor shrinkage from baseline in target lesions are shown in Supplementary Figure 1. </w:t>
      </w:r>
    </w:p>
    <w:p>
      <w:pPr>
        <w:autoSpaceDE w:val="0"/>
        <w:autoSpaceDN w:val="0"/>
        <w:adjustRightInd w:val="0"/>
        <w:spacing w:line="480" w:lineRule="auto"/>
        <w:ind w:firstLine="500" w:firstLineChars="250"/>
        <w:jc w:val="left"/>
        <w:rPr>
          <w:rFonts w:hint="eastAsia" w:ascii="Times New Roman" w:hAnsi="Times New Roman" w:eastAsia="宋体" w:cs="Times New Roman"/>
          <w:kern w:val="0"/>
          <w:sz w:val="20"/>
          <w:szCs w:val="20"/>
          <w:lang w:eastAsia="zh-Hans"/>
        </w:rPr>
      </w:pPr>
      <w:r>
        <w:rPr>
          <w:rFonts w:ascii="Times New Roman" w:hAnsi="Times New Roman" w:eastAsia="宋体" w:cs="Times New Roman"/>
          <w:kern w:val="0"/>
          <w:sz w:val="20"/>
          <w:szCs w:val="20"/>
          <w:lang w:eastAsia="zh-Hans"/>
        </w:rPr>
        <w:t xml:space="preserve">In the final analysis of survival, the median progression-free survival was 7.07 months (95% CI, 5.38-8.76) with sintilimab plus XELOX and 4.23 months (95% CI, 3.06-5.40) with </w:t>
      </w:r>
      <w:r>
        <w:rPr>
          <w:rFonts w:hint="eastAsia" w:ascii="Times New Roman" w:hAnsi="Times New Roman" w:eastAsia="宋体" w:cs="Times New Roman"/>
          <w:kern w:val="0"/>
          <w:sz w:val="20"/>
          <w:szCs w:val="20"/>
          <w:lang w:eastAsia="zh-Hans"/>
        </w:rPr>
        <w:t xml:space="preserve">placebo plus </w:t>
      </w:r>
      <w:r>
        <w:rPr>
          <w:rFonts w:ascii="Times New Roman" w:hAnsi="Times New Roman" w:eastAsia="宋体" w:cs="Times New Roman"/>
          <w:kern w:val="0"/>
          <w:sz w:val="20"/>
          <w:szCs w:val="20"/>
          <w:lang w:eastAsia="zh-Hans"/>
        </w:rPr>
        <w:t xml:space="preserve">XELOX in the overall population (Supplementary Figure 2A). </w:t>
      </w:r>
      <w:r>
        <w:rPr>
          <w:rFonts w:hint="eastAsia" w:ascii="Times New Roman" w:hAnsi="Times New Roman" w:eastAsia="宋体" w:cs="Times New Roman"/>
          <w:kern w:val="0"/>
          <w:sz w:val="20"/>
          <w:szCs w:val="20"/>
          <w:lang w:eastAsia="zh-Hans"/>
        </w:rPr>
        <w:t xml:space="preserve">Overall survival was also improved in the sintilimab group, with a median OS of 15.63 months (95% CI: 9.26-22.00) compared to 12.03 months (95% CI: 4.92-19.14) in the </w:t>
      </w:r>
      <w:r>
        <w:rPr>
          <w:rFonts w:ascii="Times New Roman" w:hAnsi="Times New Roman" w:eastAsia="宋体" w:cs="Times New Roman"/>
          <w:kern w:val="0"/>
          <w:sz w:val="20"/>
          <w:szCs w:val="20"/>
          <w:lang w:eastAsia="zh-Hans"/>
        </w:rPr>
        <w:t>placebo</w:t>
      </w:r>
      <w:r>
        <w:rPr>
          <w:rFonts w:hint="eastAsia" w:ascii="Times New Roman" w:hAnsi="Times New Roman" w:eastAsia="宋体" w:cs="Times New Roman"/>
          <w:kern w:val="0"/>
          <w:sz w:val="20"/>
          <w:szCs w:val="20"/>
          <w:lang w:eastAsia="zh-Hans"/>
        </w:rPr>
        <w:t xml:space="preserve"> group, representing a 3.6-month improvement and a 54% reduction in the risk of death (HR 0.46 [95% CI: 0.22-0.95])</w:t>
      </w:r>
      <w:r>
        <w:rPr>
          <w:rFonts w:ascii="Times New Roman" w:hAnsi="Times New Roman" w:eastAsia="宋体" w:cs="Times New Roman"/>
          <w:kern w:val="0"/>
          <w:sz w:val="20"/>
          <w:szCs w:val="20"/>
          <w:lang w:eastAsia="zh-Hans"/>
        </w:rPr>
        <w:t xml:space="preserve"> (Figure </w:t>
      </w:r>
      <w:r>
        <w:rPr>
          <w:rFonts w:hint="eastAsia" w:ascii="Times New Roman" w:hAnsi="Times New Roman" w:eastAsia="宋体" w:cs="Times New Roman"/>
          <w:kern w:val="0"/>
          <w:sz w:val="20"/>
          <w:szCs w:val="20"/>
          <w:lang w:val="en-US" w:eastAsia="zh-CN"/>
        </w:rPr>
        <w:t>2D</w:t>
      </w:r>
      <w:r>
        <w:rPr>
          <w:rFonts w:ascii="Times New Roman" w:hAnsi="Times New Roman" w:eastAsia="宋体" w:cs="Times New Roman"/>
          <w:kern w:val="0"/>
          <w:sz w:val="20"/>
          <w:szCs w:val="20"/>
          <w:lang w:eastAsia="zh-Hans"/>
        </w:rPr>
        <w:t xml:space="preserve">). </w:t>
      </w:r>
      <w:r>
        <w:rPr>
          <w:rFonts w:hint="eastAsia" w:ascii="Times New Roman" w:hAnsi="Times New Roman" w:eastAsia="宋体" w:cs="Times New Roman"/>
          <w:kern w:val="0"/>
          <w:sz w:val="20"/>
          <w:szCs w:val="20"/>
          <w:lang w:eastAsia="zh-Hans"/>
        </w:rPr>
        <w:t>Collectively, these results demonstrate promising efficacy, with encouraging survival benefits</w:t>
      </w:r>
      <w:r>
        <w:rPr>
          <w:rFonts w:hint="default" w:ascii="Times New Roman" w:hAnsi="Times New Roman" w:eastAsia="宋体" w:cs="Times New Roman"/>
          <w:kern w:val="0"/>
          <w:sz w:val="20"/>
          <w:szCs w:val="20"/>
          <w:lang w:val="en-US" w:eastAsia="zh-Hans"/>
        </w:rPr>
        <w:t xml:space="preserve"> </w:t>
      </w:r>
      <w:r>
        <w:rPr>
          <w:rFonts w:hint="eastAsia" w:ascii="Times New Roman" w:hAnsi="Times New Roman" w:eastAsia="宋体" w:cs="Times New Roman"/>
          <w:kern w:val="0"/>
          <w:sz w:val="20"/>
          <w:szCs w:val="20"/>
          <w:lang w:eastAsia="zh-Hans"/>
        </w:rPr>
        <w:t>in the first-line immunotherapy setting.</w:t>
      </w:r>
    </w:p>
    <w:p>
      <w:pPr>
        <w:autoSpaceDE w:val="0"/>
        <w:autoSpaceDN w:val="0"/>
        <w:adjustRightInd w:val="0"/>
        <w:spacing w:line="480" w:lineRule="auto"/>
        <w:jc w:val="left"/>
        <w:rPr>
          <w:rFonts w:hint="default" w:ascii="Times New Roman Bold" w:hAnsi="Times New Roman Bold" w:eastAsia="宋体" w:cs="Times New Roman Bold"/>
          <w:b/>
          <w:bCs/>
          <w:kern w:val="0"/>
          <w:sz w:val="20"/>
          <w:szCs w:val="20"/>
          <w:lang w:eastAsia="zh-Hans"/>
        </w:rPr>
      </w:pPr>
      <w:r>
        <w:rPr>
          <w:rFonts w:hint="default" w:ascii="Times New Roman Bold" w:hAnsi="Times New Roman Bold" w:eastAsia="宋体" w:cs="Times New Roman Bold"/>
          <w:b/>
          <w:bCs/>
          <w:kern w:val="0"/>
          <w:sz w:val="20"/>
          <w:szCs w:val="20"/>
          <w:lang w:eastAsia="zh-Hans"/>
        </w:rPr>
        <w:t>Safety Profile</w:t>
      </w:r>
    </w:p>
    <w:p>
      <w:pPr>
        <w:autoSpaceDE w:val="0"/>
        <w:autoSpaceDN w:val="0"/>
        <w:adjustRightInd w:val="0"/>
        <w:spacing w:line="480" w:lineRule="auto"/>
        <w:ind w:firstLine="500" w:firstLineChars="250"/>
        <w:jc w:val="left"/>
        <w:rPr>
          <w:rFonts w:hint="eastAsia" w:ascii="Arial Hebrew Regular" w:hAnsi="Arial Hebrew Regular" w:eastAsia="宋体" w:cs="Arial Hebrew Regular"/>
          <w:lang w:eastAsia="zh-Hans"/>
        </w:rPr>
      </w:pPr>
      <w:r>
        <w:rPr>
          <w:rFonts w:hint="eastAsia" w:ascii="Times New Roman" w:hAnsi="Times New Roman" w:eastAsia="宋体" w:cs="Times New Roman"/>
          <w:kern w:val="0"/>
          <w:sz w:val="20"/>
          <w:szCs w:val="20"/>
          <w:lang w:eastAsia="zh-Hans"/>
        </w:rPr>
        <w:t>The frequency of AEs reported in patients treated with sintilimab plus XELOX or placebo plus XELOX is detailed in</w:t>
      </w:r>
      <w:r>
        <w:rPr>
          <w:rFonts w:ascii="Times New Roman" w:hAnsi="Times New Roman" w:eastAsia="宋体" w:cs="Times New Roman"/>
          <w:kern w:val="0"/>
          <w:sz w:val="20"/>
          <w:szCs w:val="20"/>
          <w:lang w:eastAsia="zh-Hans"/>
        </w:rPr>
        <w:t xml:space="preserve"> Supplementary</w:t>
      </w:r>
      <w:r>
        <w:rPr>
          <w:rFonts w:hint="default" w:ascii="Times New Roman" w:hAnsi="Times New Roman" w:eastAsia="宋体" w:cs="Times New Roman"/>
          <w:kern w:val="0"/>
          <w:sz w:val="20"/>
          <w:szCs w:val="20"/>
          <w:lang w:val="en-US" w:eastAsia="zh-Hans"/>
        </w:rPr>
        <w:t xml:space="preserve"> </w:t>
      </w:r>
      <w:r>
        <w:rPr>
          <w:rFonts w:ascii="Times New Roman" w:hAnsi="Times New Roman" w:eastAsia="宋体" w:cs="Times New Roman"/>
          <w:kern w:val="0"/>
          <w:sz w:val="20"/>
          <w:szCs w:val="20"/>
          <w:lang w:eastAsia="zh-Hans"/>
        </w:rPr>
        <w:t xml:space="preserve">Table </w:t>
      </w:r>
      <w:r>
        <w:rPr>
          <w:rFonts w:hint="default" w:ascii="Times New Roman" w:hAnsi="Times New Roman" w:eastAsia="宋体" w:cs="Times New Roman"/>
          <w:kern w:val="0"/>
          <w:sz w:val="20"/>
          <w:szCs w:val="20"/>
          <w:lang w:val="en-US" w:eastAsia="zh-Hans"/>
        </w:rPr>
        <w:t>3</w:t>
      </w:r>
      <w:r>
        <w:rPr>
          <w:rFonts w:ascii="Times New Roman" w:hAnsi="Times New Roman" w:eastAsia="宋体" w:cs="Times New Roman"/>
          <w:kern w:val="0"/>
          <w:sz w:val="20"/>
          <w:szCs w:val="20"/>
          <w:lang w:eastAsia="zh-Hans"/>
        </w:rPr>
        <w:t xml:space="preserve">. </w:t>
      </w:r>
      <w:r>
        <w:rPr>
          <w:rFonts w:hint="eastAsia" w:ascii="Times New Roman" w:hAnsi="Times New Roman" w:eastAsia="宋体" w:cs="Times New Roman"/>
          <w:kern w:val="0"/>
          <w:sz w:val="20"/>
          <w:szCs w:val="20"/>
          <w:lang w:eastAsia="zh-Hans"/>
        </w:rPr>
        <w:t xml:space="preserve">All grades of AEs were reported in 34 (97.1%) of 35 patients in the sintilimab group and 19 (100%) of 19 in the </w:t>
      </w:r>
      <w:r>
        <w:rPr>
          <w:rFonts w:ascii="Times New Roman" w:hAnsi="Times New Roman" w:eastAsia="宋体" w:cs="Times New Roman"/>
          <w:kern w:val="0"/>
          <w:sz w:val="20"/>
          <w:szCs w:val="20"/>
          <w:lang w:eastAsia="zh-Hans"/>
        </w:rPr>
        <w:t>placebo</w:t>
      </w:r>
      <w:r>
        <w:rPr>
          <w:rFonts w:hint="eastAsia" w:ascii="Times New Roman" w:hAnsi="Times New Roman" w:eastAsia="宋体" w:cs="Times New Roman"/>
          <w:kern w:val="0"/>
          <w:sz w:val="20"/>
          <w:szCs w:val="20"/>
          <w:lang w:eastAsia="zh-Hans"/>
        </w:rPr>
        <w:t xml:space="preserve"> group.</w:t>
      </w:r>
      <w:r>
        <w:rPr>
          <w:rFonts w:ascii="Times New Roman" w:hAnsi="Times New Roman" w:eastAsia="宋体" w:cs="Times New Roman"/>
          <w:kern w:val="0"/>
          <w:sz w:val="20"/>
          <w:szCs w:val="20"/>
          <w:lang w:eastAsia="zh-Hans"/>
        </w:rPr>
        <w:t xml:space="preserve"> </w:t>
      </w:r>
      <w:r>
        <w:rPr>
          <w:rFonts w:hint="eastAsia" w:ascii="Times New Roman" w:hAnsi="Times New Roman" w:eastAsia="宋体" w:cs="Times New Roman"/>
          <w:kern w:val="0"/>
          <w:sz w:val="20"/>
          <w:szCs w:val="20"/>
          <w:lang w:eastAsia="zh-Hans"/>
        </w:rPr>
        <w:t>The most common grade 3 or higher AE was decreased platelet count, occurring in</w:t>
      </w:r>
      <w:r>
        <w:rPr>
          <w:rFonts w:ascii="Times New Roman" w:hAnsi="Times New Roman" w:eastAsia="宋体" w:cs="Times New Roman"/>
          <w:kern w:val="0"/>
          <w:sz w:val="20"/>
          <w:szCs w:val="20"/>
          <w:lang w:eastAsia="zh-Hans"/>
        </w:rPr>
        <w:t xml:space="preserve"> </w:t>
      </w:r>
      <w:r>
        <w:rPr>
          <w:rFonts w:hint="eastAsia" w:ascii="Times New Roman" w:hAnsi="Times New Roman" w:eastAsia="宋体" w:cs="Times New Roman"/>
          <w:kern w:val="0"/>
          <w:sz w:val="20"/>
          <w:szCs w:val="20"/>
          <w:lang w:eastAsia="zh-Hans"/>
        </w:rPr>
        <w:t xml:space="preserve">25.7% (n=9/35) of patients in the sintilimab group and 42.1% (n=8/19) of patients in the </w:t>
      </w:r>
      <w:r>
        <w:rPr>
          <w:rFonts w:ascii="Times New Roman" w:hAnsi="Times New Roman" w:eastAsia="宋体" w:cs="Times New Roman"/>
          <w:kern w:val="0"/>
          <w:sz w:val="20"/>
          <w:szCs w:val="20"/>
          <w:lang w:eastAsia="zh-Hans"/>
        </w:rPr>
        <w:t>placebo</w:t>
      </w:r>
      <w:r>
        <w:rPr>
          <w:rFonts w:hint="eastAsia" w:ascii="Times New Roman" w:hAnsi="Times New Roman" w:eastAsia="宋体" w:cs="Times New Roman"/>
          <w:kern w:val="0"/>
          <w:sz w:val="20"/>
          <w:szCs w:val="20"/>
          <w:lang w:eastAsia="zh-Hans"/>
        </w:rPr>
        <w:t xml:space="preserve"> group</w:t>
      </w:r>
      <w:r>
        <w:rPr>
          <w:rFonts w:ascii="Times New Roman" w:hAnsi="Times New Roman" w:eastAsia="宋体" w:cs="Times New Roman"/>
          <w:kern w:val="0"/>
          <w:sz w:val="20"/>
          <w:szCs w:val="20"/>
          <w:lang w:eastAsia="zh-Hans"/>
        </w:rPr>
        <w:t xml:space="preserve">. </w:t>
      </w:r>
      <w:r>
        <w:rPr>
          <w:rFonts w:hint="eastAsia" w:ascii="Times New Roman" w:hAnsi="Times New Roman" w:eastAsia="宋体" w:cs="Times New Roman"/>
          <w:kern w:val="0"/>
          <w:sz w:val="20"/>
          <w:szCs w:val="20"/>
          <w:lang w:eastAsia="zh-Hans"/>
        </w:rPr>
        <w:t xml:space="preserve">Decreased neutrophil count was observed in 8 (22.9%) patients and 4 (21.1%) patients in the sintilimab and </w:t>
      </w:r>
      <w:r>
        <w:rPr>
          <w:rFonts w:ascii="Times New Roman" w:hAnsi="Times New Roman" w:eastAsia="宋体" w:cs="Times New Roman"/>
          <w:kern w:val="0"/>
          <w:sz w:val="20"/>
          <w:szCs w:val="20"/>
          <w:lang w:eastAsia="zh-Hans"/>
        </w:rPr>
        <w:t>the placebo</w:t>
      </w:r>
      <w:r>
        <w:rPr>
          <w:rFonts w:hint="eastAsia" w:ascii="Times New Roman" w:hAnsi="Times New Roman" w:eastAsia="宋体" w:cs="Times New Roman"/>
          <w:kern w:val="0"/>
          <w:sz w:val="20"/>
          <w:szCs w:val="20"/>
          <w:lang w:eastAsia="zh-Hans"/>
        </w:rPr>
        <w:t xml:space="preserve"> groups, respectively.</w:t>
      </w:r>
      <w:r>
        <w:rPr>
          <w:rFonts w:ascii="Times New Roman" w:hAnsi="Times New Roman" w:eastAsia="宋体" w:cs="Times New Roman"/>
          <w:kern w:val="0"/>
          <w:sz w:val="20"/>
          <w:szCs w:val="20"/>
          <w:lang w:eastAsia="zh-Hans"/>
        </w:rPr>
        <w:t xml:space="preserve"> </w:t>
      </w:r>
      <w:r>
        <w:rPr>
          <w:rFonts w:hint="eastAsia" w:ascii="Times New Roman" w:hAnsi="Times New Roman" w:eastAsia="宋体" w:cs="Times New Roman"/>
          <w:kern w:val="0"/>
          <w:sz w:val="20"/>
          <w:szCs w:val="20"/>
          <w:lang w:eastAsia="zh-Hans"/>
        </w:rPr>
        <w:t xml:space="preserve">Treatment-related serious adverse events of any grade occurred in 11 (31.4%) patients in the sintilimab group (including 6 [17.1%] with grade 3 or higher AEs) and in 2 (10.5%) patients in the </w:t>
      </w:r>
      <w:r>
        <w:rPr>
          <w:rFonts w:ascii="Times New Roman" w:hAnsi="Times New Roman" w:eastAsia="宋体" w:cs="Times New Roman"/>
          <w:kern w:val="0"/>
          <w:sz w:val="20"/>
          <w:szCs w:val="20"/>
          <w:lang w:eastAsia="zh-Hans"/>
        </w:rPr>
        <w:t>placebo</w:t>
      </w:r>
      <w:r>
        <w:rPr>
          <w:rFonts w:hint="eastAsia" w:ascii="Times New Roman" w:hAnsi="Times New Roman" w:eastAsia="宋体" w:cs="Times New Roman"/>
          <w:kern w:val="0"/>
          <w:sz w:val="20"/>
          <w:szCs w:val="20"/>
          <w:lang w:eastAsia="zh-Hans"/>
        </w:rPr>
        <w:t xml:space="preserve"> group (both with grade 3 or higher AEs). The most common SAE was decreased platelet count. Of the two deaths in the sintilimab group, one was attributed to sintilimab and chemotherapy, and the other was unrelated to treatment.</w:t>
      </w:r>
    </w:p>
    <w:p>
      <w:pPr>
        <w:spacing w:line="480" w:lineRule="auto"/>
        <w:ind w:firstLine="420" w:firstLineChars="200"/>
        <w:rPr>
          <w:rFonts w:hint="eastAsia" w:ascii="Arial Hebrew Regular" w:hAnsi="Arial Hebrew Regular" w:eastAsia="宋体" w:cs="Arial Hebrew Regular"/>
          <w:lang w:eastAsia="zh-Hans"/>
        </w:rPr>
      </w:pPr>
    </w:p>
    <w:p>
      <w:pPr>
        <w:spacing w:line="480" w:lineRule="auto"/>
        <w:ind w:firstLine="420" w:firstLineChars="200"/>
        <w:rPr>
          <w:rFonts w:hint="eastAsia" w:ascii="Arial Hebrew Regular" w:hAnsi="Arial Hebrew Regular" w:eastAsia="宋体" w:cs="Arial Hebrew Regular"/>
          <w:lang w:eastAsia="zh-Hans"/>
        </w:rPr>
      </w:pPr>
    </w:p>
    <w:p>
      <w:pPr>
        <w:spacing w:line="480" w:lineRule="auto"/>
        <w:rPr>
          <w:rFonts w:hint="eastAsia" w:ascii="Arial Hebrew Regular" w:hAnsi="Arial Hebrew Regular" w:eastAsia="宋体" w:cs="Arial Hebrew Regular"/>
          <w:lang w:eastAsia="zh-Hans"/>
        </w:rPr>
      </w:pPr>
    </w:p>
    <w:p>
      <w:pPr>
        <w:spacing w:line="480" w:lineRule="auto"/>
        <w:rPr>
          <w:rFonts w:hint="eastAsia" w:ascii="Arial Hebrew Regular" w:hAnsi="Arial Hebrew Regular" w:eastAsia="宋体" w:cs="Arial Hebrew Regular"/>
          <w:lang w:eastAsia="zh-Hans"/>
        </w:rPr>
      </w:pPr>
    </w:p>
    <w:p>
      <w:pPr>
        <w:spacing w:line="480" w:lineRule="auto"/>
        <w:rPr>
          <w:rFonts w:hint="eastAsia" w:ascii="Arial Hebrew Regular" w:hAnsi="Arial Hebrew Regular" w:eastAsia="宋体" w:cs="Arial Hebrew Regular"/>
          <w:lang w:eastAsia="zh-Hans"/>
        </w:rPr>
      </w:pPr>
    </w:p>
    <w:p>
      <w:pPr>
        <w:spacing w:line="480" w:lineRule="auto"/>
        <w:rPr>
          <w:rFonts w:hint="eastAsia" w:ascii="Arial Hebrew Regular" w:hAnsi="Arial Hebrew Regular" w:eastAsia="宋体" w:cs="Arial Hebrew Regular"/>
          <w:lang w:eastAsia="zh-Hans"/>
        </w:rPr>
      </w:pPr>
    </w:p>
    <w:p>
      <w:pPr>
        <w:spacing w:line="480" w:lineRule="auto"/>
        <w:rPr>
          <w:rFonts w:hint="eastAsia" w:ascii="Arial Hebrew Regular" w:hAnsi="Arial Hebrew Regular" w:eastAsia="宋体" w:cs="Arial Hebrew Regular"/>
          <w:lang w:eastAsia="zh-Hans"/>
        </w:rPr>
      </w:pPr>
      <w:r>
        <w:rPr>
          <w:rFonts w:hint="default" w:ascii="Times New Roman Bold" w:hAnsi="Times New Roman Bold" w:eastAsia="宋体" w:cs="Times New Roman Bold"/>
          <w:b/>
          <w:bCs/>
          <w:kern w:val="0"/>
          <w:sz w:val="20"/>
          <w:szCs w:val="20"/>
          <w:lang w:eastAsia="zh-Hans"/>
        </w:rPr>
        <w:t>Supplementary Figure 1</w:t>
      </w:r>
      <w:r>
        <w:rPr>
          <w:rFonts w:hint="eastAsia" w:ascii="Times New Roman" w:hAnsi="Times New Roman" w:eastAsia="宋体" w:cs="Times New Roman"/>
          <w:kern w:val="0"/>
          <w:sz w:val="20"/>
          <w:szCs w:val="20"/>
          <w:lang w:eastAsia="zh-Hans"/>
        </w:rPr>
        <w:t xml:space="preserve"> </w:t>
      </w:r>
      <w:r>
        <w:rPr>
          <w:rFonts w:hint="default" w:ascii="Times New Roman" w:hAnsi="Times New Roman" w:eastAsia="宋体" w:cs="Times New Roman"/>
          <w:kern w:val="0"/>
          <w:sz w:val="20"/>
          <w:szCs w:val="20"/>
          <w:lang w:val="en-US" w:eastAsia="zh-Hans"/>
        </w:rPr>
        <w:t xml:space="preserve"> </w:t>
      </w:r>
      <w:r>
        <w:rPr>
          <w:rFonts w:hint="eastAsia" w:ascii="Times New Roman" w:hAnsi="Times New Roman" w:eastAsia="宋体" w:cs="Times New Roman"/>
          <w:kern w:val="0"/>
          <w:sz w:val="20"/>
          <w:szCs w:val="20"/>
          <w:lang w:eastAsia="zh-Hans"/>
        </w:rPr>
        <w:t>Treatment response (n = 30)</w:t>
      </w:r>
    </w:p>
    <w:p>
      <w:pPr>
        <w:spacing w:line="480" w:lineRule="auto"/>
        <w:rPr>
          <w:rFonts w:hint="eastAsia" w:ascii="Arial Hebrew Regular" w:hAnsi="Arial Hebrew Regular" w:eastAsia="宋体" w:cs="Arial Hebrew Regular"/>
          <w:lang w:eastAsia="zh-CN"/>
        </w:rPr>
      </w:pPr>
      <w:r>
        <w:rPr>
          <w:rFonts w:hint="eastAsia" w:ascii="Arial Hebrew Regular" w:hAnsi="Arial Hebrew Regular" w:eastAsia="宋体" w:cs="Arial Hebrew Regular"/>
          <w:lang w:eastAsia="zh-CN"/>
        </w:rPr>
        <w:drawing>
          <wp:inline distT="0" distB="0" distL="114300" distR="114300">
            <wp:extent cx="5273675" cy="3265805"/>
            <wp:effectExtent l="0" t="0" r="9525" b="10795"/>
            <wp:docPr id="1" name="图片 1"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1"/>
                    <pic:cNvPicPr>
                      <a:picLocks noChangeAspect="1"/>
                    </pic:cNvPicPr>
                  </pic:nvPicPr>
                  <pic:blipFill>
                    <a:blip r:embed="rId4"/>
                    <a:stretch>
                      <a:fillRect/>
                    </a:stretch>
                  </pic:blipFill>
                  <pic:spPr>
                    <a:xfrm>
                      <a:off x="0" y="0"/>
                      <a:ext cx="5273675" cy="3265805"/>
                    </a:xfrm>
                    <a:prstGeom prst="rect">
                      <a:avLst/>
                    </a:prstGeom>
                  </pic:spPr>
                </pic:pic>
              </a:graphicData>
            </a:graphic>
          </wp:inline>
        </w:drawing>
      </w:r>
    </w:p>
    <w:p>
      <w:pPr>
        <w:spacing w:line="480" w:lineRule="auto"/>
        <w:rPr>
          <w:rFonts w:hint="eastAsia" w:ascii="Arial Hebrew Regular" w:hAnsi="Arial Hebrew Regular" w:eastAsia="宋体" w:cs="Arial Hebrew Regular"/>
          <w:lang w:eastAsia="zh-Hans"/>
        </w:rPr>
      </w:pPr>
      <w:r>
        <w:rPr>
          <w:rFonts w:hint="default" w:ascii="Times New Roman Bold" w:hAnsi="Times New Roman Bold" w:eastAsia="宋体" w:cs="Times New Roman Bold"/>
          <w:b/>
          <w:bCs/>
          <w:kern w:val="0"/>
          <w:sz w:val="20"/>
          <w:szCs w:val="20"/>
          <w:lang w:eastAsia="zh-Hans"/>
        </w:rPr>
        <w:t>Supplementary Figure 1</w:t>
      </w:r>
      <w:r>
        <w:rPr>
          <w:rFonts w:hint="eastAsia" w:ascii="Times New Roman" w:hAnsi="Times New Roman" w:eastAsia="宋体" w:cs="Times New Roman"/>
          <w:kern w:val="0"/>
          <w:sz w:val="20"/>
          <w:szCs w:val="20"/>
          <w:lang w:eastAsia="zh-Hans"/>
        </w:rPr>
        <w:t xml:space="preserve"> </w:t>
      </w:r>
      <w:r>
        <w:rPr>
          <w:rFonts w:hint="default" w:ascii="Times New Roman" w:hAnsi="Times New Roman" w:eastAsia="宋体" w:cs="Times New Roman"/>
          <w:kern w:val="0"/>
          <w:sz w:val="20"/>
          <w:szCs w:val="20"/>
          <w:lang w:val="en-US" w:eastAsia="zh-Hans"/>
        </w:rPr>
        <w:t xml:space="preserve"> </w:t>
      </w:r>
      <w:r>
        <w:rPr>
          <w:rFonts w:hint="eastAsia" w:ascii="Times New Roman" w:hAnsi="Times New Roman" w:eastAsia="宋体" w:cs="Times New Roman"/>
          <w:kern w:val="0"/>
          <w:sz w:val="20"/>
          <w:szCs w:val="20"/>
          <w:lang w:eastAsia="zh-Hans"/>
        </w:rPr>
        <w:t>Treatment response (n = 30)</w:t>
      </w:r>
    </w:p>
    <w:p>
      <w:pPr>
        <w:autoSpaceDE w:val="0"/>
        <w:autoSpaceDN w:val="0"/>
        <w:adjustRightInd w:val="0"/>
        <w:spacing w:line="480" w:lineRule="auto"/>
        <w:ind w:firstLine="500" w:firstLineChars="250"/>
        <w:jc w:val="left"/>
        <w:rPr>
          <w:rFonts w:hint="eastAsia" w:ascii="Times New Roman" w:hAnsi="Times New Roman" w:eastAsia="宋体" w:cs="Times New Roman"/>
          <w:kern w:val="0"/>
          <w:sz w:val="20"/>
          <w:szCs w:val="20"/>
          <w:lang w:eastAsia="zh-Hans"/>
        </w:rPr>
      </w:pPr>
    </w:p>
    <w:p>
      <w:pPr>
        <w:spacing w:line="480" w:lineRule="auto"/>
        <w:ind w:firstLine="420" w:firstLineChars="200"/>
        <w:rPr>
          <w:rFonts w:ascii="Arial Hebrew Regular" w:hAnsi="Arial Hebrew Regular" w:eastAsia="宋体" w:cs="Arial Hebrew Regular"/>
          <w:lang w:eastAsia="zh-Hans"/>
        </w:rPr>
      </w:pPr>
    </w:p>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p>
    <w:p>
      <w:pPr>
        <w:bidi w:val="0"/>
        <w:jc w:val="left"/>
        <w:rPr>
          <w:lang w:val="en-US" w:eastAsia="zh-CN"/>
        </w:rPr>
      </w:pPr>
      <w:r>
        <w:rPr>
          <w:rFonts w:hint="default" w:ascii="Times New Roman Bold" w:hAnsi="Times New Roman Bold" w:eastAsia="宋体" w:cs="Times New Roman Bold"/>
          <w:b/>
          <w:bCs/>
          <w:kern w:val="0"/>
          <w:sz w:val="20"/>
          <w:szCs w:val="20"/>
          <w:lang w:val="en-US" w:eastAsia="zh-CN"/>
        </w:rPr>
        <w:t>Supplementary Figure 2</w:t>
      </w:r>
      <w:r>
        <w:rPr>
          <w:rFonts w:hint="eastAsia" w:ascii="Times New Roman Bold" w:hAnsi="Times New Roman Bold" w:eastAsia="宋体" w:cs="Times New Roman Bold"/>
          <w:b/>
          <w:bCs/>
          <w:kern w:val="0"/>
          <w:sz w:val="20"/>
          <w:szCs w:val="20"/>
          <w:lang w:val="en-US" w:eastAsia="zh-CN"/>
        </w:rPr>
        <w:t xml:space="preserve"> </w:t>
      </w:r>
    </w:p>
    <w:p>
      <w:pPr>
        <w:bidi w:val="0"/>
        <w:jc w:val="left"/>
        <w:rPr>
          <w:lang w:val="en-US" w:eastAsia="zh-CN"/>
        </w:rPr>
      </w:pPr>
    </w:p>
    <w:p>
      <w:pPr>
        <w:bidi w:val="0"/>
        <w:jc w:val="left"/>
        <w:rPr>
          <w:lang w:val="en-US" w:eastAsia="zh-CN"/>
        </w:rPr>
      </w:pPr>
      <w:r>
        <w:rPr>
          <w:lang w:val="en-US" w:eastAsia="zh-CN"/>
        </w:rPr>
        <w:drawing>
          <wp:inline distT="0" distB="0" distL="114300" distR="114300">
            <wp:extent cx="5269865" cy="5816600"/>
            <wp:effectExtent l="0" t="0" r="13335" b="0"/>
            <wp:docPr id="2" name="图片 2"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ure 2"/>
                    <pic:cNvPicPr>
                      <a:picLocks noChangeAspect="1"/>
                    </pic:cNvPicPr>
                  </pic:nvPicPr>
                  <pic:blipFill>
                    <a:blip r:embed="rId5"/>
                    <a:stretch>
                      <a:fillRect/>
                    </a:stretch>
                  </pic:blipFill>
                  <pic:spPr>
                    <a:xfrm>
                      <a:off x="0" y="0"/>
                      <a:ext cx="5269865" cy="5816600"/>
                    </a:xfrm>
                    <a:prstGeom prst="rect">
                      <a:avLst/>
                    </a:prstGeom>
                  </pic:spPr>
                </pic:pic>
              </a:graphicData>
            </a:graphic>
          </wp:inline>
        </w:drawing>
      </w:r>
    </w:p>
    <w:p>
      <w:pPr>
        <w:bidi w:val="0"/>
        <w:rPr>
          <w:rFonts w:asciiTheme="minorHAnsi" w:hAnsiTheme="minorHAnsi" w:eastAsiaTheme="minorEastAsia" w:cstheme="minorBidi"/>
          <w:kern w:val="2"/>
          <w:sz w:val="21"/>
          <w:szCs w:val="24"/>
          <w:lang w:val="en-US" w:eastAsia="zh-CN" w:bidi="ar-SA"/>
        </w:rPr>
      </w:pPr>
    </w:p>
    <w:p>
      <w:pPr>
        <w:widowControl/>
        <w:spacing w:line="480" w:lineRule="auto"/>
        <w:jc w:val="left"/>
        <w:rPr>
          <w:rFonts w:hint="eastAsia" w:ascii="Times New Roman" w:hAnsi="Times New Roman" w:eastAsia="宋体" w:cs="Times New Roman"/>
          <w:bCs/>
          <w:kern w:val="2"/>
          <w:sz w:val="20"/>
          <w:szCs w:val="20"/>
          <w:lang w:val="en-US" w:eastAsia="zh-CN"/>
        </w:rPr>
      </w:pPr>
      <w:r>
        <w:rPr>
          <w:rFonts w:hint="default" w:ascii="Times New Roman Bold" w:hAnsi="Times New Roman Bold" w:eastAsia="宋体" w:cs="Times New Roman Bold"/>
          <w:b/>
          <w:bCs/>
          <w:kern w:val="0"/>
          <w:sz w:val="20"/>
          <w:szCs w:val="20"/>
          <w:lang w:val="en-US" w:eastAsia="zh-CN"/>
        </w:rPr>
        <w:t>Supplementary Figure 2</w:t>
      </w:r>
      <w:r>
        <w:rPr>
          <w:rFonts w:hint="eastAsia" w:ascii="Times New Roman Bold" w:hAnsi="Times New Roman Bold" w:eastAsia="宋体" w:cs="Times New Roman Bold"/>
          <w:b/>
          <w:bCs/>
          <w:kern w:val="0"/>
          <w:sz w:val="20"/>
          <w:szCs w:val="20"/>
          <w:lang w:val="en-US" w:eastAsia="zh-CN"/>
        </w:rPr>
        <w:t xml:space="preserve"> </w:t>
      </w:r>
      <w:r>
        <w:rPr>
          <w:rFonts w:hint="default" w:ascii="Times New Roman Bold" w:hAnsi="Times New Roman Bold" w:eastAsia="宋体" w:cs="Times New Roman Bold"/>
          <w:b/>
          <w:bCs/>
          <w:kern w:val="0"/>
          <w:sz w:val="20"/>
          <w:szCs w:val="20"/>
          <w:lang w:val="en-US" w:eastAsia="zh-CN"/>
        </w:rPr>
        <w:t xml:space="preserve"> </w:t>
      </w:r>
      <w:r>
        <w:rPr>
          <w:rFonts w:hint="default" w:ascii="Times New Roman" w:hAnsi="Times New Roman" w:eastAsia="宋体" w:cs="Times New Roman"/>
          <w:b w:val="0"/>
          <w:bCs w:val="0"/>
          <w:kern w:val="0"/>
          <w:sz w:val="20"/>
          <w:szCs w:val="20"/>
          <w:lang w:val="en-US" w:eastAsia="zh-CN"/>
        </w:rPr>
        <w:t>Kaplan-Meier plot of progression-free survival and overall survival for sintilimab plus chemotherapy and placebo plus chemotherapy</w:t>
      </w:r>
    </w:p>
    <w:p>
      <w:pPr>
        <w:widowControl/>
        <w:spacing w:line="480" w:lineRule="auto"/>
        <w:jc w:val="left"/>
        <w:rPr>
          <w:rFonts w:hint="eastAsia" w:ascii="Times New Roman" w:hAnsi="Times New Roman" w:eastAsia="宋体" w:cs="Times New Roman"/>
          <w:bCs/>
          <w:kern w:val="2"/>
          <w:sz w:val="20"/>
          <w:szCs w:val="20"/>
          <w:lang w:val="en-US" w:eastAsia="zh-CN"/>
        </w:rPr>
      </w:pPr>
    </w:p>
    <w:p>
      <w:pPr>
        <w:widowControl/>
        <w:spacing w:line="480" w:lineRule="auto"/>
        <w:jc w:val="left"/>
        <w:rPr>
          <w:rFonts w:hint="eastAsia" w:ascii="Times New Roman" w:hAnsi="Times New Roman" w:eastAsia="宋体" w:cs="Times New Roman"/>
          <w:bCs/>
          <w:kern w:val="2"/>
          <w:sz w:val="20"/>
          <w:szCs w:val="20"/>
          <w:lang w:val="en-US" w:eastAsia="zh-CN"/>
        </w:rPr>
      </w:pPr>
    </w:p>
    <w:p>
      <w:pPr>
        <w:widowControl/>
        <w:spacing w:line="480" w:lineRule="auto"/>
        <w:jc w:val="left"/>
        <w:rPr>
          <w:rFonts w:hint="eastAsia" w:ascii="Times New Roman" w:hAnsi="Times New Roman" w:eastAsia="宋体" w:cs="Times New Roman"/>
          <w:bCs/>
          <w:kern w:val="2"/>
          <w:sz w:val="20"/>
          <w:szCs w:val="20"/>
          <w:lang w:val="en-US" w:eastAsia="zh-CN"/>
        </w:rPr>
      </w:pPr>
    </w:p>
    <w:p>
      <w:pPr>
        <w:widowControl/>
        <w:spacing w:line="480" w:lineRule="auto"/>
        <w:jc w:val="left"/>
        <w:rPr>
          <w:rFonts w:hint="eastAsia" w:ascii="Times New Roman" w:hAnsi="Times New Roman" w:eastAsia="宋体" w:cs="Times New Roman"/>
          <w:bCs/>
          <w:kern w:val="2"/>
          <w:sz w:val="20"/>
          <w:szCs w:val="20"/>
          <w:lang w:val="en-US" w:eastAsia="zh-CN"/>
        </w:rPr>
      </w:pPr>
      <w:r>
        <w:rPr>
          <w:rFonts w:hint="default" w:ascii="Times New Roman" w:hAnsi="Times New Roman" w:eastAsia="宋体" w:cs="Times New Roman"/>
          <w:bCs/>
          <w:kern w:val="2"/>
          <w:sz w:val="20"/>
          <w:szCs w:val="20"/>
          <w:lang w:val="en-US" w:eastAsia="zh-CN"/>
        </w:rPr>
        <w:drawing>
          <wp:anchor distT="0" distB="0" distL="114300" distR="114300" simplePos="0" relativeHeight="251659264" behindDoc="0" locked="0" layoutInCell="1" allowOverlap="1">
            <wp:simplePos x="0" y="0"/>
            <wp:positionH relativeFrom="column">
              <wp:posOffset>-215265</wp:posOffset>
            </wp:positionH>
            <wp:positionV relativeFrom="page">
              <wp:posOffset>1383030</wp:posOffset>
            </wp:positionV>
            <wp:extent cx="5941695" cy="3195320"/>
            <wp:effectExtent l="0" t="0" r="1905" b="5080"/>
            <wp:wrapTopAndBottom/>
            <wp:docPr id="5" name="图片 5" descr="Supplementary Figure 3-P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plementary Figure 3-PFS"/>
                    <pic:cNvPicPr>
                      <a:picLocks noChangeAspect="1"/>
                    </pic:cNvPicPr>
                  </pic:nvPicPr>
                  <pic:blipFill>
                    <a:blip r:embed="rId6"/>
                    <a:stretch>
                      <a:fillRect/>
                    </a:stretch>
                  </pic:blipFill>
                  <pic:spPr>
                    <a:xfrm>
                      <a:off x="0" y="0"/>
                      <a:ext cx="5941695" cy="3195320"/>
                    </a:xfrm>
                    <a:prstGeom prst="rect">
                      <a:avLst/>
                    </a:prstGeom>
                  </pic:spPr>
                </pic:pic>
              </a:graphicData>
            </a:graphic>
          </wp:anchor>
        </w:drawing>
      </w:r>
      <w:r>
        <w:rPr>
          <w:rFonts w:hint="default" w:ascii="Times New Roman Bold" w:hAnsi="Times New Roman Bold" w:eastAsia="宋体" w:cs="Times New Roman Bold"/>
          <w:b/>
          <w:bCs w:val="0"/>
          <w:kern w:val="2"/>
          <w:sz w:val="20"/>
          <w:szCs w:val="20"/>
          <w:lang w:val="en-US" w:eastAsia="zh-CN"/>
        </w:rPr>
        <w:t>Supplementary Figure 3</w:t>
      </w:r>
    </w:p>
    <w:p>
      <w:pPr>
        <w:widowControl/>
        <w:spacing w:line="480" w:lineRule="auto"/>
        <w:jc w:val="left"/>
        <w:rPr>
          <w:rFonts w:hint="default" w:ascii="Times New Roman" w:hAnsi="Times New Roman" w:eastAsia="宋体" w:cs="Times New Roman"/>
          <w:bCs/>
          <w:kern w:val="2"/>
          <w:sz w:val="20"/>
          <w:szCs w:val="20"/>
          <w:lang w:val="en-US" w:eastAsia="zh-CN"/>
        </w:rPr>
      </w:pPr>
      <w:r>
        <w:rPr>
          <w:rFonts w:hint="default" w:ascii="Times New Roman Bold" w:hAnsi="Times New Roman Bold" w:eastAsia="宋体" w:cs="Times New Roman Bold"/>
          <w:b/>
          <w:bCs w:val="0"/>
          <w:kern w:val="2"/>
          <w:sz w:val="20"/>
          <w:szCs w:val="20"/>
          <w:lang w:val="en-US" w:eastAsia="zh-CN"/>
        </w:rPr>
        <w:t>Supplementary Figure 3</w:t>
      </w:r>
      <w:r>
        <w:rPr>
          <w:rFonts w:hint="eastAsia" w:ascii="Times New Roman Bold" w:hAnsi="Times New Roman Bold" w:eastAsia="宋体" w:cs="Times New Roman Bold"/>
          <w:b/>
          <w:bCs w:val="0"/>
          <w:kern w:val="2"/>
          <w:sz w:val="20"/>
          <w:szCs w:val="20"/>
          <w:lang w:val="en-US" w:eastAsia="zh-CN"/>
        </w:rPr>
        <w:t xml:space="preserve"> </w:t>
      </w:r>
      <w:r>
        <w:rPr>
          <w:rFonts w:hint="default" w:ascii="Times New Roman" w:hAnsi="Times New Roman" w:eastAsia="宋体" w:cs="Times New Roman"/>
          <w:bCs/>
          <w:kern w:val="2"/>
          <w:sz w:val="20"/>
          <w:szCs w:val="20"/>
          <w:lang w:val="en-US" w:eastAsia="zh-CN"/>
        </w:rPr>
        <w:t xml:space="preserve"> Forest plot of progression-free survival.</w:t>
      </w:r>
    </w:p>
    <w:p>
      <w:pPr>
        <w:widowControl/>
        <w:spacing w:line="480" w:lineRule="auto"/>
        <w:jc w:val="left"/>
        <w:rPr>
          <w:rFonts w:hint="default" w:ascii="Times New Roman" w:hAnsi="Times New Roman" w:eastAsia="宋体" w:cs="Times New Roman"/>
          <w:bCs/>
          <w:kern w:val="2"/>
          <w:sz w:val="20"/>
          <w:szCs w:val="20"/>
          <w:lang w:val="en-US" w:eastAsia="zh-CN"/>
        </w:rPr>
      </w:pPr>
    </w:p>
    <w:p>
      <w:pPr>
        <w:widowControl/>
        <w:spacing w:line="480" w:lineRule="auto"/>
        <w:jc w:val="left"/>
        <w:rPr>
          <w:rFonts w:hint="default" w:ascii="Times New Roman" w:hAnsi="Times New Roman" w:eastAsia="宋体" w:cs="Times New Roman"/>
          <w:bCs/>
          <w:kern w:val="2"/>
          <w:sz w:val="20"/>
          <w:szCs w:val="20"/>
          <w:lang w:val="en-US" w:eastAsia="zh-CN"/>
        </w:rPr>
      </w:pP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r>
        <w:rPr>
          <w:rFonts w:hint="default" w:ascii="Times New Roman Bold" w:hAnsi="Times New Roman Bold" w:eastAsia="宋体" w:cs="Times New Roman Bold"/>
          <w:b/>
          <w:bCs w:val="0"/>
          <w:kern w:val="2"/>
          <w:sz w:val="20"/>
          <w:szCs w:val="20"/>
          <w:lang w:val="en-US" w:eastAsia="zh-CN"/>
        </w:rPr>
        <w:t xml:space="preserve">Supplementary Figure </w:t>
      </w:r>
      <w:r>
        <w:rPr>
          <w:rFonts w:hint="eastAsia" w:ascii="Times New Roman Bold" w:hAnsi="Times New Roman Bold" w:eastAsia="宋体" w:cs="Times New Roman Bold"/>
          <w:b/>
          <w:bCs w:val="0"/>
          <w:kern w:val="2"/>
          <w:sz w:val="20"/>
          <w:szCs w:val="20"/>
          <w:lang w:val="en-US" w:eastAsia="zh-CN"/>
        </w:rPr>
        <w:t>4</w:t>
      </w:r>
      <w:bookmarkStart w:id="0" w:name="_GoBack"/>
      <w:bookmarkEnd w:id="0"/>
    </w:p>
    <w:p>
      <w:pPr>
        <w:bidi w:val="0"/>
        <w:ind w:firstLine="200" w:firstLineChars="0"/>
        <w:jc w:val="left"/>
        <w:rPr>
          <w:rFonts w:hint="default"/>
          <w:lang w:val="en-US" w:eastAsia="zh-CN"/>
        </w:rPr>
      </w:pPr>
    </w:p>
    <w:p>
      <w:pPr>
        <w:widowControl/>
        <w:spacing w:line="480" w:lineRule="auto"/>
        <w:jc w:val="left"/>
        <w:rPr>
          <w:rFonts w:hint="default" w:ascii="Times New Roman" w:hAnsi="Times New Roman" w:eastAsia="宋体" w:cs="Times New Roman"/>
          <w:b w:val="0"/>
          <w:bCs/>
          <w:kern w:val="2"/>
          <w:sz w:val="20"/>
          <w:szCs w:val="20"/>
          <w:lang w:val="en-US" w:eastAsia="zh-CN"/>
        </w:rPr>
      </w:pPr>
      <w:r>
        <w:rPr>
          <w:rFonts w:hint="default" w:ascii="Times New Roman Bold" w:hAnsi="Times New Roman Bold" w:eastAsia="宋体" w:cs="Times New Roman Bold"/>
          <w:b/>
          <w:bCs w:val="0"/>
          <w:kern w:val="2"/>
          <w:sz w:val="20"/>
          <w:szCs w:val="20"/>
          <w:lang w:val="en-US" w:eastAsia="zh-CN"/>
        </w:rPr>
        <w:t xml:space="preserve">Supplementary Figure </w:t>
      </w:r>
      <w:r>
        <w:rPr>
          <w:rFonts w:hint="eastAsia" w:ascii="Times New Roman Bold" w:hAnsi="Times New Roman Bold" w:eastAsia="宋体" w:cs="Times New Roman Bold"/>
          <w:b/>
          <w:bCs w:val="0"/>
          <w:kern w:val="2"/>
          <w:sz w:val="20"/>
          <w:szCs w:val="20"/>
          <w:lang w:val="en-US" w:eastAsia="zh-CN"/>
        </w:rPr>
        <w:t>4</w:t>
      </w:r>
      <w:r>
        <w:rPr>
          <w:rFonts w:hint="default" w:ascii="Times New Roman Bold" w:hAnsi="Times New Roman Bold" w:eastAsia="宋体" w:cs="Times New Roman Bold"/>
          <w:b/>
          <w:bCs w:val="0"/>
          <w:kern w:val="2"/>
          <w:sz w:val="20"/>
          <w:szCs w:val="20"/>
          <w:lang w:val="en-US" w:eastAsia="zh-CN"/>
        </w:rPr>
        <w:t xml:space="preserve"> </w:t>
      </w:r>
      <w:r>
        <w:rPr>
          <w:rFonts w:hint="eastAsia" w:ascii="Times New Roman Bold" w:hAnsi="Times New Roman Bold" w:eastAsia="宋体" w:cs="Times New Roman Bold"/>
          <w:b/>
          <w:bCs w:val="0"/>
          <w:kern w:val="2"/>
          <w:sz w:val="20"/>
          <w:szCs w:val="20"/>
          <w:lang w:val="en-US" w:eastAsia="zh-CN"/>
        </w:rPr>
        <w:t xml:space="preserve"> </w:t>
      </w:r>
      <w:r>
        <w:rPr>
          <w:rFonts w:hint="default" w:ascii="Times New Roman" w:hAnsi="Times New Roman" w:eastAsia="宋体" w:cs="Times New Roman"/>
          <w:b w:val="0"/>
          <w:bCs/>
          <w:kern w:val="2"/>
          <w:sz w:val="20"/>
          <w:szCs w:val="20"/>
          <w:lang w:val="en-US" w:eastAsia="zh-CN"/>
        </w:rPr>
        <w:t>Forest plot of overall survival.</w:t>
      </w:r>
      <w:r>
        <w:rPr>
          <w:rFonts w:hint="default" w:ascii="Times New Roman" w:hAnsi="Times New Roman" w:eastAsia="宋体" w:cs="Times New Roman"/>
          <w:b w:val="0"/>
          <w:bCs/>
          <w:kern w:val="2"/>
          <w:sz w:val="20"/>
          <w:szCs w:val="20"/>
          <w:lang w:val="en-US" w:eastAsia="zh-CN"/>
        </w:rPr>
        <w:drawing>
          <wp:anchor distT="0" distB="0" distL="114300" distR="114300" simplePos="0" relativeHeight="251660288" behindDoc="0" locked="0" layoutInCell="1" allowOverlap="1">
            <wp:simplePos x="0" y="0"/>
            <wp:positionH relativeFrom="column">
              <wp:posOffset>-244475</wp:posOffset>
            </wp:positionH>
            <wp:positionV relativeFrom="paragraph">
              <wp:posOffset>69215</wp:posOffset>
            </wp:positionV>
            <wp:extent cx="5911215" cy="3178810"/>
            <wp:effectExtent l="0" t="0" r="6985" b="21590"/>
            <wp:wrapTopAndBottom/>
            <wp:docPr id="7" name="图片 7" descr="Supplementary Figure 4-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upplementary Figure 4-OS"/>
                    <pic:cNvPicPr>
                      <a:picLocks noChangeAspect="1"/>
                    </pic:cNvPicPr>
                  </pic:nvPicPr>
                  <pic:blipFill>
                    <a:blip r:embed="rId7"/>
                    <a:stretch>
                      <a:fillRect/>
                    </a:stretch>
                  </pic:blipFill>
                  <pic:spPr>
                    <a:xfrm>
                      <a:off x="0" y="0"/>
                      <a:ext cx="5911215" cy="3178810"/>
                    </a:xfrm>
                    <a:prstGeom prst="rect">
                      <a:avLst/>
                    </a:prstGeom>
                  </pic:spPr>
                </pic:pic>
              </a:graphicData>
            </a:graphic>
          </wp:anchor>
        </w:drawing>
      </w: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ind w:firstLine="200" w:firstLineChars="0"/>
        <w:jc w:val="left"/>
        <w:rPr>
          <w:rFonts w:hint="default"/>
          <w:lang w:val="en-US" w:eastAsia="zh-CN"/>
        </w:rPr>
      </w:pPr>
    </w:p>
    <w:p>
      <w:pPr>
        <w:bidi w:val="0"/>
        <w:rPr>
          <w:rFonts w:hint="default" w:asciiTheme="minorHAnsi" w:hAnsiTheme="minorHAnsi" w:eastAsiaTheme="minorEastAsia" w:cstheme="minorBidi"/>
          <w:kern w:val="2"/>
          <w:sz w:val="21"/>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jc w:val="left"/>
        <w:rPr>
          <w:rFonts w:hint="default"/>
          <w:lang w:val="en-US" w:eastAsia="zh-CN"/>
        </w:rPr>
        <w:sectPr>
          <w:pgSz w:w="11906" w:h="16838"/>
          <w:pgMar w:top="1440" w:right="1800" w:bottom="1440" w:left="1800" w:header="851" w:footer="992" w:gutter="0"/>
          <w:cols w:space="425" w:num="1"/>
          <w:docGrid w:type="lines" w:linePitch="312" w:charSpace="0"/>
        </w:sectPr>
      </w:pPr>
    </w:p>
    <w:tbl>
      <w:tblPr>
        <w:tblStyle w:val="2"/>
        <w:tblW w:w="1408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77"/>
        <w:gridCol w:w="2082"/>
        <w:gridCol w:w="2780"/>
        <w:gridCol w:w="1958"/>
        <w:gridCol w:w="2486"/>
      </w:tblGrid>
      <w:tr>
        <w:trPr>
          <w:trHeight w:val="437" w:hRule="atLeast"/>
        </w:trPr>
        <w:tc>
          <w:tcPr>
            <w:tcW w:w="14083" w:type="dxa"/>
            <w:gridSpan w:val="5"/>
            <w:tcBorders>
              <w:top w:val="nil"/>
              <w:left w:val="nil"/>
              <w:bottom w:val="single" w:color="000000" w:sz="4" w:space="0"/>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rPr>
            </w:pPr>
            <w:r>
              <w:rPr>
                <w:rFonts w:hint="default" w:ascii="Times New Roman Bold" w:hAnsi="Times New Roman Bold" w:eastAsia="宋体" w:cs="Times New Roman Bold"/>
                <w:b/>
                <w:bCs w:val="0"/>
                <w:kern w:val="2"/>
                <w:sz w:val="20"/>
                <w:szCs w:val="20"/>
                <w:lang w:val="en-US" w:eastAsia="zh-CN"/>
              </w:rPr>
              <w:t>Supplementary Table 1. Tumor responses</w:t>
            </w:r>
          </w:p>
        </w:tc>
      </w:tr>
      <w:tr>
        <w:trPr>
          <w:trHeight w:val="510" w:hRule="exact"/>
        </w:trPr>
        <w:tc>
          <w:tcPr>
            <w:tcW w:w="4777" w:type="dxa"/>
            <w:vMerge w:val="restart"/>
            <w:tcBorders>
              <w:top w:val="single" w:color="000000" w:sz="4" w:space="0"/>
              <w:left w:val="nil"/>
              <w:bottom w:val="single" w:color="000000" w:sz="4" w:space="0"/>
              <w:right w:val="nil"/>
            </w:tcBorders>
            <w:shd w:val="clear" w:color="auto" w:fill="E7E6E6"/>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rPr>
            </w:pPr>
            <w:r>
              <w:rPr>
                <w:rFonts w:hint="eastAsia" w:ascii="Times New Roman" w:hAnsi="Times New Roman" w:eastAsia="宋体" w:cs="Times New Roman"/>
                <w:b w:val="0"/>
                <w:bCs/>
                <w:kern w:val="2"/>
                <w:sz w:val="20"/>
                <w:szCs w:val="20"/>
                <w:lang w:val="en-US" w:eastAsia="zh-CN"/>
              </w:rPr>
              <w:t>Category</w:t>
            </w:r>
          </w:p>
        </w:tc>
        <w:tc>
          <w:tcPr>
            <w:tcW w:w="4862" w:type="dxa"/>
            <w:gridSpan w:val="2"/>
            <w:tcBorders>
              <w:top w:val="single" w:color="000000" w:sz="4" w:space="0"/>
              <w:left w:val="nil"/>
              <w:bottom w:val="single" w:color="000000" w:sz="4" w:space="0"/>
              <w:right w:val="nil"/>
            </w:tcBorders>
            <w:shd w:val="clear" w:color="auto" w:fill="E7E6E6"/>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rPr>
            </w:pPr>
            <w:r>
              <w:rPr>
                <w:rFonts w:hint="eastAsia" w:ascii="Times New Roman" w:hAnsi="Times New Roman" w:eastAsia="宋体" w:cs="Times New Roman"/>
                <w:b w:val="0"/>
                <w:bCs/>
                <w:kern w:val="2"/>
                <w:sz w:val="20"/>
                <w:szCs w:val="20"/>
                <w:lang w:val="en-US" w:eastAsia="zh-CN"/>
              </w:rPr>
              <w:t>Sintilimab +chemotherapy(N=35)</w:t>
            </w:r>
          </w:p>
        </w:tc>
        <w:tc>
          <w:tcPr>
            <w:tcW w:w="4444" w:type="dxa"/>
            <w:gridSpan w:val="2"/>
            <w:tcBorders>
              <w:top w:val="single" w:color="000000" w:sz="4" w:space="0"/>
              <w:left w:val="nil"/>
              <w:bottom w:val="single" w:color="000000" w:sz="4" w:space="0"/>
              <w:right w:val="nil"/>
            </w:tcBorders>
            <w:shd w:val="clear" w:color="auto" w:fill="E7E6E6"/>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rPr>
            </w:pPr>
            <w:r>
              <w:rPr>
                <w:rFonts w:hint="eastAsia" w:ascii="Times New Roman" w:hAnsi="Times New Roman" w:eastAsia="宋体" w:cs="Times New Roman"/>
                <w:b w:val="0"/>
                <w:bCs/>
                <w:kern w:val="2"/>
                <w:sz w:val="20"/>
                <w:szCs w:val="20"/>
                <w:lang w:val="en-US" w:eastAsia="zh-CN"/>
              </w:rPr>
              <w:t>Placebo+chemotherapy(N=19)</w:t>
            </w:r>
          </w:p>
        </w:tc>
      </w:tr>
      <w:tr>
        <w:trPr>
          <w:trHeight w:val="454" w:hRule="atLeast"/>
        </w:trPr>
        <w:tc>
          <w:tcPr>
            <w:tcW w:w="4777" w:type="dxa"/>
            <w:vMerge w:val="continue"/>
            <w:tcBorders>
              <w:top w:val="single" w:color="000000" w:sz="4" w:space="0"/>
              <w:left w:val="nil"/>
              <w:bottom w:val="single" w:color="000000" w:sz="4" w:space="0"/>
              <w:right w:val="nil"/>
            </w:tcBorders>
            <w:shd w:val="clear" w:color="auto" w:fill="E7E6E6"/>
            <w:noWrap/>
            <w:vAlign w:val="center"/>
          </w:tcPr>
          <w:p>
            <w:pPr>
              <w:jc w:val="center"/>
              <w:rPr>
                <w:rFonts w:hint="eastAsia" w:ascii="Times New Roman" w:hAnsi="Times New Roman" w:eastAsia="宋体" w:cs="Times New Roman"/>
                <w:b w:val="0"/>
                <w:bCs/>
                <w:kern w:val="2"/>
                <w:sz w:val="20"/>
                <w:szCs w:val="20"/>
                <w:lang w:val="en-US" w:eastAsia="zh-CN" w:bidi="ar-SA"/>
              </w:rPr>
            </w:pPr>
          </w:p>
        </w:tc>
        <w:tc>
          <w:tcPr>
            <w:tcW w:w="2082" w:type="dxa"/>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n</w:t>
            </w:r>
          </w:p>
        </w:tc>
        <w:tc>
          <w:tcPr>
            <w:tcW w:w="2780" w:type="dxa"/>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(95%CI)</w:t>
            </w:r>
          </w:p>
        </w:tc>
        <w:tc>
          <w:tcPr>
            <w:tcW w:w="1958" w:type="dxa"/>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n</w:t>
            </w:r>
          </w:p>
        </w:tc>
        <w:tc>
          <w:tcPr>
            <w:tcW w:w="2486" w:type="dxa"/>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default" w:ascii="Times New Roman" w:hAnsi="Times New Roman" w:eastAsia="宋体" w:cs="Times New Roman"/>
                <w:b w:val="0"/>
                <w:bCs/>
                <w:kern w:val="2"/>
                <w:sz w:val="20"/>
                <w:szCs w:val="20"/>
                <w:lang w:val="en-US" w:eastAsia="zh-CN" w:bidi="ar-SA"/>
              </w:rPr>
              <w:t>(95%CI)a</w:t>
            </w:r>
          </w:p>
        </w:tc>
      </w:tr>
      <w:tr>
        <w:trPr>
          <w:trHeight w:val="510" w:hRule="exact"/>
        </w:trPr>
        <w:tc>
          <w:tcPr>
            <w:tcW w:w="4777"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Objective response rate (CR + PR)</w:t>
            </w:r>
          </w:p>
        </w:tc>
        <w:tc>
          <w:tcPr>
            <w:tcW w:w="2082"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15(42.9%)</w:t>
            </w:r>
          </w:p>
        </w:tc>
        <w:tc>
          <w:tcPr>
            <w:tcW w:w="2780"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c>
          <w:tcPr>
            <w:tcW w:w="1958"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5(26.3%)</w:t>
            </w:r>
          </w:p>
        </w:tc>
        <w:tc>
          <w:tcPr>
            <w:tcW w:w="2486"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r>
      <w:tr>
        <w:trPr>
          <w:trHeight w:val="510" w:hRule="exact"/>
        </w:trPr>
        <w:tc>
          <w:tcPr>
            <w:tcW w:w="4777"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Disease control rate (CR + PR + SD)</w:t>
            </w:r>
          </w:p>
        </w:tc>
        <w:tc>
          <w:tcPr>
            <w:tcW w:w="2082"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31(88.6%)</w:t>
            </w:r>
          </w:p>
        </w:tc>
        <w:tc>
          <w:tcPr>
            <w:tcW w:w="2780"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c>
          <w:tcPr>
            <w:tcW w:w="1958"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15(78.9%)</w:t>
            </w:r>
          </w:p>
        </w:tc>
        <w:tc>
          <w:tcPr>
            <w:tcW w:w="2486"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r>
      <w:tr>
        <w:trPr>
          <w:trHeight w:val="510" w:hRule="exact"/>
        </w:trPr>
        <w:tc>
          <w:tcPr>
            <w:tcW w:w="14083" w:type="dxa"/>
            <w:gridSpan w:val="5"/>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Best overall response, n (%)</w:t>
            </w:r>
          </w:p>
        </w:tc>
      </w:tr>
      <w:tr>
        <w:trPr>
          <w:trHeight w:val="510" w:hRule="exact"/>
        </w:trPr>
        <w:tc>
          <w:tcPr>
            <w:tcW w:w="4777"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          Complete response (CR)</w:t>
            </w:r>
          </w:p>
        </w:tc>
        <w:tc>
          <w:tcPr>
            <w:tcW w:w="2082"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1(2.9%)</w:t>
            </w:r>
          </w:p>
        </w:tc>
        <w:tc>
          <w:tcPr>
            <w:tcW w:w="2780"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c>
          <w:tcPr>
            <w:tcW w:w="1958"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2486"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r>
      <w:tr>
        <w:trPr>
          <w:trHeight w:val="510" w:hRule="exact"/>
        </w:trPr>
        <w:tc>
          <w:tcPr>
            <w:tcW w:w="4777"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          Partial response (PR)</w:t>
            </w:r>
          </w:p>
        </w:tc>
        <w:tc>
          <w:tcPr>
            <w:tcW w:w="2082"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14(40.0%)</w:t>
            </w:r>
          </w:p>
        </w:tc>
        <w:tc>
          <w:tcPr>
            <w:tcW w:w="2780"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c>
          <w:tcPr>
            <w:tcW w:w="1958"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5(26.3%)</w:t>
            </w:r>
          </w:p>
        </w:tc>
        <w:tc>
          <w:tcPr>
            <w:tcW w:w="2486"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r>
      <w:tr>
        <w:trPr>
          <w:trHeight w:val="510" w:hRule="exact"/>
        </w:trPr>
        <w:tc>
          <w:tcPr>
            <w:tcW w:w="4777"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          Stable disease (SD)</w:t>
            </w:r>
          </w:p>
        </w:tc>
        <w:tc>
          <w:tcPr>
            <w:tcW w:w="2082"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16(45.7%)</w:t>
            </w:r>
          </w:p>
        </w:tc>
        <w:tc>
          <w:tcPr>
            <w:tcW w:w="2780"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c>
          <w:tcPr>
            <w:tcW w:w="1958"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10(52.6%)</w:t>
            </w:r>
          </w:p>
        </w:tc>
        <w:tc>
          <w:tcPr>
            <w:tcW w:w="2486"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r>
      <w:tr>
        <w:trPr>
          <w:trHeight w:val="510" w:hRule="exact"/>
        </w:trPr>
        <w:tc>
          <w:tcPr>
            <w:tcW w:w="4777"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          Progressive disease (PD)</w:t>
            </w:r>
          </w:p>
        </w:tc>
        <w:tc>
          <w:tcPr>
            <w:tcW w:w="2082"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2780"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c>
          <w:tcPr>
            <w:tcW w:w="1958"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2486"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r>
      <w:tr>
        <w:trPr>
          <w:trHeight w:val="510" w:hRule="exact"/>
        </w:trPr>
        <w:tc>
          <w:tcPr>
            <w:tcW w:w="4777"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          Not Avaliable (NA)</w:t>
            </w:r>
          </w:p>
        </w:tc>
        <w:tc>
          <w:tcPr>
            <w:tcW w:w="2082"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4(11.4%)</w:t>
            </w:r>
          </w:p>
        </w:tc>
        <w:tc>
          <w:tcPr>
            <w:tcW w:w="2780"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c>
          <w:tcPr>
            <w:tcW w:w="1958"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4(21.1%)</w:t>
            </w:r>
          </w:p>
        </w:tc>
        <w:tc>
          <w:tcPr>
            <w:tcW w:w="2486"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p>
        </w:tc>
      </w:tr>
      <w:tr>
        <w:trPr>
          <w:trHeight w:val="510" w:hRule="exact"/>
        </w:trPr>
        <w:tc>
          <w:tcPr>
            <w:tcW w:w="4777" w:type="dxa"/>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Progression-free survival, months, median</w:t>
            </w:r>
          </w:p>
        </w:tc>
        <w:tc>
          <w:tcPr>
            <w:tcW w:w="2082"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7.07</w:t>
            </w:r>
          </w:p>
        </w:tc>
        <w:tc>
          <w:tcPr>
            <w:tcW w:w="2780"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5.38-8.76</w:t>
            </w:r>
          </w:p>
        </w:tc>
        <w:tc>
          <w:tcPr>
            <w:tcW w:w="1958"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4.23</w:t>
            </w:r>
          </w:p>
        </w:tc>
        <w:tc>
          <w:tcPr>
            <w:tcW w:w="2486" w:type="dxa"/>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3.06-5.40</w:t>
            </w:r>
          </w:p>
        </w:tc>
      </w:tr>
      <w:tr>
        <w:trPr>
          <w:trHeight w:val="510" w:hRule="exact"/>
        </w:trPr>
        <w:tc>
          <w:tcPr>
            <w:tcW w:w="4777" w:type="dxa"/>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Overall survival, months, median</w:t>
            </w:r>
          </w:p>
        </w:tc>
        <w:tc>
          <w:tcPr>
            <w:tcW w:w="2082"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15.63</w:t>
            </w:r>
          </w:p>
        </w:tc>
        <w:tc>
          <w:tcPr>
            <w:tcW w:w="2780"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9.26-22.00</w:t>
            </w:r>
          </w:p>
        </w:tc>
        <w:tc>
          <w:tcPr>
            <w:tcW w:w="1958"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12.03</w:t>
            </w:r>
          </w:p>
        </w:tc>
        <w:tc>
          <w:tcPr>
            <w:tcW w:w="2486" w:type="dxa"/>
            <w:tcBorders>
              <w:top w:val="nil"/>
              <w:left w:val="nil"/>
              <w:bottom w:val="nil"/>
              <w:right w:val="nil"/>
            </w:tcBorders>
            <w:shd w:val="clear" w:color="auto" w:fill="F2F2F2"/>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4.92-19.14</w:t>
            </w:r>
          </w:p>
        </w:tc>
      </w:tr>
      <w:tr>
        <w:trPr>
          <w:trHeight w:val="960" w:hRule="atLeast"/>
        </w:trPr>
        <w:tc>
          <w:tcPr>
            <w:tcW w:w="14083" w:type="dxa"/>
            <w:gridSpan w:val="5"/>
            <w:tcBorders>
              <w:top w:val="single" w:color="000000" w:sz="4" w:space="0"/>
              <w:left w:val="nil"/>
              <w:bottom w:val="single" w:color="000000" w:sz="4" w:space="0"/>
              <w:right w:val="nil"/>
            </w:tcBorders>
            <w:shd w:val="clear" w:color="auto" w:fill="E7E6E6"/>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default" w:ascii="Times New Roman" w:hAnsi="Times New Roman" w:eastAsia="宋体" w:cs="Times New Roman"/>
                <w:b w:val="0"/>
                <w:bCs/>
                <w:kern w:val="2"/>
                <w:sz w:val="20"/>
                <w:szCs w:val="20"/>
                <w:lang w:val="en-US" w:eastAsia="zh-CN" w:bidi="ar-SA"/>
              </w:rPr>
              <w:t>aThe confidence intervals were estimated by the Clopper-Pearson exact method.</w:t>
            </w:r>
            <w:r>
              <w:rPr>
                <w:rFonts w:hint="default" w:ascii="Times New Roman" w:hAnsi="Times New Roman" w:eastAsia="宋体" w:cs="Times New Roman"/>
                <w:b w:val="0"/>
                <w:bCs/>
                <w:kern w:val="2"/>
                <w:sz w:val="20"/>
                <w:szCs w:val="20"/>
                <w:lang w:val="en-US" w:eastAsia="zh-CN" w:bidi="ar-SA"/>
              </w:rPr>
              <w:br w:type="textWrapping"/>
            </w:r>
            <w:r>
              <w:rPr>
                <w:rFonts w:hint="default" w:ascii="Times New Roman" w:hAnsi="Times New Roman" w:eastAsia="宋体" w:cs="Times New Roman"/>
                <w:b w:val="0"/>
                <w:bCs/>
                <w:kern w:val="2"/>
                <w:sz w:val="20"/>
                <w:szCs w:val="20"/>
                <w:lang w:val="en-US" w:eastAsia="zh-CN" w:bidi="ar-SA"/>
              </w:rPr>
              <w:t>Note: Data cut-off: July 20, 2020.</w:t>
            </w:r>
          </w:p>
        </w:tc>
      </w:tr>
    </w:tbl>
    <w:p>
      <w:pPr>
        <w:bidi w:val="0"/>
        <w:jc w:val="left"/>
        <w:rPr>
          <w:rFonts w:hint="default"/>
          <w:lang w:val="en-US" w:eastAsia="zh-CN"/>
        </w:rPr>
      </w:pPr>
    </w:p>
    <w:tbl>
      <w:tblPr>
        <w:tblStyle w:val="2"/>
        <w:tblW w:w="1504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21"/>
        <w:gridCol w:w="1951"/>
        <w:gridCol w:w="2022"/>
        <w:gridCol w:w="2134"/>
        <w:gridCol w:w="2022"/>
      </w:tblGrid>
      <w:tr>
        <w:trPr>
          <w:trHeight w:val="600" w:hRule="atLeast"/>
        </w:trPr>
        <w:tc>
          <w:tcPr>
            <w:tcW w:w="15050" w:type="dxa"/>
            <w:gridSpan w:val="5"/>
            <w:tcBorders>
              <w:top w:val="nil"/>
              <w:left w:val="nil"/>
              <w:bottom w:val="nil"/>
              <w:right w:val="nil"/>
            </w:tcBorders>
            <w:shd w:val="clear" w:color="auto" w:fill="auto"/>
            <w:noWrap/>
            <w:vAlign w:val="center"/>
          </w:tcPr>
          <w:p>
            <w:pPr>
              <w:widowControl/>
              <w:spacing w:line="480" w:lineRule="auto"/>
              <w:jc w:val="center"/>
              <w:rPr>
                <w:rFonts w:hint="eastAsia" w:ascii="Times New Roman" w:hAnsi="Times New Roman" w:eastAsia="宋体" w:cs="Times New Roman"/>
                <w:b w:val="0"/>
                <w:bCs/>
                <w:kern w:val="2"/>
                <w:sz w:val="20"/>
                <w:szCs w:val="20"/>
                <w:lang w:val="en-US" w:eastAsia="zh-CN" w:bidi="ar-SA"/>
              </w:rPr>
            </w:pPr>
            <w:r>
              <w:rPr>
                <w:rFonts w:hint="default" w:ascii="Times New Roman Bold" w:hAnsi="Times New Roman Bold" w:eastAsia="宋体" w:cs="Times New Roman Bold"/>
                <w:b/>
                <w:bCs w:val="0"/>
                <w:kern w:val="2"/>
                <w:sz w:val="20"/>
                <w:szCs w:val="20"/>
                <w:lang w:val="en-US" w:eastAsia="zh-CN" w:bidi="ar-SA"/>
              </w:rPr>
              <w:t>Supplementary Table 2. Summary of treatment-related adverse events in all patients</w:t>
            </w:r>
          </w:p>
        </w:tc>
      </w:tr>
      <w:tr>
        <w:trPr>
          <w:trHeight w:val="500" w:hRule="atLeast"/>
        </w:trPr>
        <w:tc>
          <w:tcPr>
            <w:tcW w:w="0" w:type="auto"/>
            <w:vMerge w:val="restart"/>
            <w:tcBorders>
              <w:top w:val="single" w:color="000000" w:sz="4" w:space="0"/>
              <w:left w:val="nil"/>
              <w:bottom w:val="single" w:color="000000" w:sz="4" w:space="0"/>
              <w:right w:val="nil"/>
            </w:tcBorders>
            <w:shd w:val="clear" w:color="auto" w:fill="E7E6E6"/>
            <w:noWrap/>
            <w:vAlign w:val="center"/>
          </w:tcPr>
          <w:p>
            <w:pPr>
              <w:jc w:val="center"/>
              <w:rPr>
                <w:rFonts w:hint="eastAsia" w:ascii="Times New Roman" w:hAnsi="Times New Roman" w:eastAsia="宋体" w:cs="Times New Roman"/>
                <w:b w:val="0"/>
                <w:bCs/>
                <w:kern w:val="2"/>
                <w:sz w:val="20"/>
                <w:szCs w:val="20"/>
                <w:lang w:val="en-US" w:eastAsia="zh-CN" w:bidi="ar-SA"/>
              </w:rPr>
            </w:pPr>
          </w:p>
        </w:tc>
        <w:tc>
          <w:tcPr>
            <w:tcW w:w="4766" w:type="dxa"/>
            <w:gridSpan w:val="2"/>
            <w:tcBorders>
              <w:top w:val="single" w:color="000000" w:sz="4" w:space="0"/>
              <w:left w:val="nil"/>
              <w:bottom w:val="single" w:color="000000" w:sz="4" w:space="0"/>
              <w:right w:val="nil"/>
            </w:tcBorders>
            <w:shd w:val="clear" w:color="auto" w:fill="E7E6E6"/>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Sintilimab +chemotherapy(N=35)</w:t>
            </w:r>
          </w:p>
        </w:tc>
        <w:tc>
          <w:tcPr>
            <w:tcW w:w="4768" w:type="dxa"/>
            <w:gridSpan w:val="2"/>
            <w:tcBorders>
              <w:top w:val="single" w:color="000000" w:sz="4" w:space="0"/>
              <w:left w:val="nil"/>
              <w:bottom w:val="single" w:color="000000" w:sz="4" w:space="0"/>
              <w:right w:val="nil"/>
            </w:tcBorders>
            <w:shd w:val="clear" w:color="auto" w:fill="E7E6E6"/>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Placebo+chemotherapy(N=19)</w:t>
            </w:r>
          </w:p>
        </w:tc>
      </w:tr>
      <w:tr>
        <w:trPr>
          <w:trHeight w:val="520" w:hRule="atLeast"/>
        </w:trPr>
        <w:tc>
          <w:tcPr>
            <w:tcW w:w="0" w:type="auto"/>
            <w:vMerge w:val="continue"/>
            <w:tcBorders>
              <w:top w:val="single" w:color="000000" w:sz="4" w:space="0"/>
              <w:left w:val="nil"/>
              <w:bottom w:val="single" w:color="000000" w:sz="4" w:space="0"/>
              <w:right w:val="nil"/>
            </w:tcBorders>
            <w:shd w:val="clear" w:color="auto" w:fill="E7E6E6"/>
            <w:noWrap/>
            <w:vAlign w:val="center"/>
          </w:tcPr>
          <w:p>
            <w:pPr>
              <w:jc w:val="center"/>
              <w:rPr>
                <w:rFonts w:hint="eastAsia" w:ascii="Times New Roman" w:hAnsi="Times New Roman" w:eastAsia="宋体" w:cs="Times New Roman"/>
                <w:b w:val="0"/>
                <w:bCs/>
                <w:kern w:val="2"/>
                <w:sz w:val="20"/>
                <w:szCs w:val="20"/>
                <w:lang w:val="en-US" w:eastAsia="zh-CN" w:bidi="ar-SA"/>
              </w:rPr>
            </w:pPr>
          </w:p>
        </w:tc>
        <w:tc>
          <w:tcPr>
            <w:tcW w:w="0" w:type="auto"/>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Any grade</w:t>
            </w:r>
          </w:p>
        </w:tc>
        <w:tc>
          <w:tcPr>
            <w:tcW w:w="0" w:type="auto"/>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Grade ≥3</w:t>
            </w:r>
          </w:p>
        </w:tc>
        <w:tc>
          <w:tcPr>
            <w:tcW w:w="0" w:type="auto"/>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Any grade</w:t>
            </w:r>
          </w:p>
        </w:tc>
        <w:tc>
          <w:tcPr>
            <w:tcW w:w="0" w:type="auto"/>
            <w:tcBorders>
              <w:top w:val="nil"/>
              <w:left w:val="nil"/>
              <w:bottom w:val="single" w:color="000000" w:sz="4" w:space="0"/>
              <w:right w:val="nil"/>
            </w:tcBorders>
            <w:shd w:val="clear" w:color="auto" w:fill="E7E6E6"/>
            <w:noWrap/>
            <w:vAlign w:val="center"/>
          </w:tcPr>
          <w:p>
            <w:pPr>
              <w:keepNext w:val="0"/>
              <w:keepLines w:val="0"/>
              <w:widowControl/>
              <w:suppressLineNumbers w:val="0"/>
              <w:jc w:val="center"/>
              <w:textAlignment w:val="center"/>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Grade ≥3</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All adverse eventsa</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34(97.1%)</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22(62.9%)</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19(100.0%)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12(63.2%)</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Serious events</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11(31.4%)</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6(17.1%)</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2(10.5%) </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2(10.5%) </w:t>
            </w:r>
          </w:p>
        </w:tc>
      </w:tr>
      <w:tr>
        <w:trPr>
          <w:trHeight w:val="510" w:hRule="exact"/>
        </w:trPr>
        <w:tc>
          <w:tcPr>
            <w:tcW w:w="0" w:type="auto"/>
            <w:gridSpan w:val="5"/>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Treatment-related adverse eventsb</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Neutrophil count decreased</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26(74.3%)</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8(22.9%)</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10(52.6%)</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4(21.1%)</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White blood cell count decreased</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26(74.3%)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4(11.4%)</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10(52.6%)</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2(10.5%)</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Platelet count decreased</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22(62.9%)</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9(25.7%)</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10(52.6%)</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8(42.1%)</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Vomiting</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19(54.3%)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10(52.6%)</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Anemia</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12(34.3%)</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6(17.1%)</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9(47.4%)</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4(21.1%)</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Diarrhea</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9(25.7%)</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o</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Abdominal pain</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7(20.0%)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4(21.1%)</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Weight decreased</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7(20.0%)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1(2.9%)</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2(10.5%)</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Fever</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6(17.1%)</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2(10.5%)</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Abdominal distension</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6(17.1%)</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2(10.5%)</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Rash</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6(17.1%)</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Nausea </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5(14.3%)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1(2.9%)</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2(10.5%)</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Palmar-plantar erythrodysesthesia syndrome</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6(17.1%)</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2(5.7%)</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Fatigue</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5(14.3%)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6(31.6%)</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Peripheral sensory neuropathy</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5(14.3%)</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Oedema peripheral</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5(14.3%)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Cough</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5(14.3%)</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Insomnia</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4(11.4%)</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Anaphylaxis</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4(11.4%)</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Hypokalemia</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4(11.4%)</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1(5.3%)</w:t>
            </w:r>
          </w:p>
        </w:tc>
        <w:tc>
          <w:tcPr>
            <w:tcW w:w="0" w:type="auto"/>
            <w:tcBorders>
              <w:top w:val="nil"/>
              <w:left w:val="nil"/>
              <w:bottom w:val="nil"/>
              <w:right w:val="nil"/>
            </w:tcBorders>
            <w:shd w:val="clear" w:color="auto" w:fill="auto"/>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510" w:hRule="exact"/>
        </w:trPr>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Lymphocyte count decreased</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4(11.4%)</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c>
          <w:tcPr>
            <w:tcW w:w="0" w:type="auto"/>
            <w:tcBorders>
              <w:top w:val="nil"/>
              <w:left w:val="nil"/>
              <w:bottom w:val="nil"/>
              <w:right w:val="nil"/>
            </w:tcBorders>
            <w:shd w:val="clear" w:color="auto" w:fill="F2F2F2"/>
            <w:noWrap/>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0(0.0%)</w:t>
            </w:r>
          </w:p>
        </w:tc>
      </w:tr>
      <w:tr>
        <w:trPr>
          <w:trHeight w:val="600" w:hRule="atLeast"/>
        </w:trPr>
        <w:tc>
          <w:tcPr>
            <w:tcW w:w="15050" w:type="dxa"/>
            <w:gridSpan w:val="5"/>
            <w:vMerge w:val="restart"/>
            <w:tcBorders>
              <w:top w:val="nil"/>
              <w:left w:val="nil"/>
              <w:bottom w:val="single" w:color="000000" w:sz="4" w:space="0"/>
              <w:right w:val="nil"/>
            </w:tcBorders>
            <w:shd w:val="clear" w:color="auto" w:fill="E7E6E6"/>
            <w:vAlign w:val="center"/>
          </w:tcPr>
          <w:p>
            <w:pPr>
              <w:widowControl/>
              <w:spacing w:line="480" w:lineRule="auto"/>
              <w:jc w:val="left"/>
              <w:rPr>
                <w:rFonts w:hint="eastAsia" w:ascii="Times New Roman" w:hAnsi="Times New Roman" w:eastAsia="宋体" w:cs="Times New Roman"/>
                <w:b w:val="0"/>
                <w:bCs/>
                <w:kern w:val="2"/>
                <w:sz w:val="20"/>
                <w:szCs w:val="20"/>
                <w:lang w:val="en-US" w:eastAsia="zh-CN" w:bidi="ar-SA"/>
              </w:rPr>
            </w:pPr>
            <w:r>
              <w:rPr>
                <w:rFonts w:hint="eastAsia" w:ascii="Times New Roman" w:hAnsi="Times New Roman" w:eastAsia="宋体" w:cs="Times New Roman"/>
                <w:b w:val="0"/>
                <w:bCs/>
                <w:kern w:val="2"/>
                <w:sz w:val="20"/>
                <w:szCs w:val="20"/>
                <w:lang w:val="en-US" w:eastAsia="zh-CN" w:bidi="ar-SA"/>
              </w:rPr>
              <w:t xml:space="preserve">Data are n (%). Events include those occurring from the first date of study treatment to the date of initiating the subsequent therapy or 28 days after the last dose of study treatment, whichever occurred first. </w:t>
            </w:r>
            <w:r>
              <w:rPr>
                <w:rFonts w:hint="eastAsia" w:ascii="Times New Roman" w:hAnsi="Times New Roman" w:eastAsia="宋体" w:cs="Times New Roman"/>
                <w:b w:val="0"/>
                <w:bCs/>
                <w:kern w:val="2"/>
                <w:sz w:val="20"/>
                <w:szCs w:val="20"/>
                <w:lang w:val="en-US" w:eastAsia="zh-CN" w:bidi="ar-SA"/>
              </w:rPr>
              <w:br w:type="textWrapping"/>
            </w:r>
            <w:r>
              <w:rPr>
                <w:rFonts w:hint="eastAsia" w:ascii="Times New Roman" w:hAnsi="Times New Roman" w:eastAsia="宋体" w:cs="Times New Roman"/>
                <w:b w:val="0"/>
                <w:bCs/>
                <w:kern w:val="2"/>
                <w:sz w:val="20"/>
                <w:szCs w:val="20"/>
                <w:lang w:val="en-US" w:eastAsia="zh-CN" w:bidi="ar-SA"/>
              </w:rPr>
              <w:t xml:space="preserve">aAdverse events were classified according to Medical Dictionary for Regulatory Activities and graded according to the National Cancer Institute Common Terminology Criteria for Adverse Events, version 5.0 (range, 1-5 [1, mild; 2, moderate; 3, severe; 4, life-threatening; and 5, death]). </w:t>
            </w:r>
            <w:r>
              <w:rPr>
                <w:rFonts w:hint="eastAsia" w:ascii="Times New Roman" w:hAnsi="Times New Roman" w:eastAsia="宋体" w:cs="Times New Roman"/>
                <w:b w:val="0"/>
                <w:bCs/>
                <w:kern w:val="2"/>
                <w:sz w:val="20"/>
                <w:szCs w:val="20"/>
                <w:lang w:val="en-US" w:eastAsia="zh-CN" w:bidi="ar-SA"/>
              </w:rPr>
              <w:br w:type="textWrapping"/>
            </w:r>
            <w:r>
              <w:rPr>
                <w:rFonts w:hint="eastAsia" w:ascii="Times New Roman" w:hAnsi="Times New Roman" w:eastAsia="宋体" w:cs="Times New Roman"/>
                <w:b w:val="0"/>
                <w:bCs/>
                <w:kern w:val="2"/>
                <w:sz w:val="20"/>
                <w:szCs w:val="20"/>
                <w:lang w:val="en-US" w:eastAsia="zh-CN" w:bidi="ar-SA"/>
              </w:rPr>
              <w:t xml:space="preserve">bThe all-grade events reported here occurred in ≥15% of patients in either treatment group. </w:t>
            </w:r>
          </w:p>
        </w:tc>
      </w:tr>
      <w:tr>
        <w:trPr>
          <w:trHeight w:val="336" w:hRule="atLeast"/>
        </w:trPr>
        <w:tc>
          <w:tcPr>
            <w:tcW w:w="15050" w:type="dxa"/>
            <w:gridSpan w:val="5"/>
            <w:vMerge w:val="continue"/>
            <w:tcBorders>
              <w:top w:val="nil"/>
              <w:left w:val="nil"/>
              <w:bottom w:val="single" w:color="000000" w:sz="4" w:space="0"/>
              <w:right w:val="nil"/>
            </w:tcBorders>
            <w:shd w:val="clear" w:color="auto" w:fill="E7E6E6"/>
            <w:vAlign w:val="center"/>
          </w:tcPr>
          <w:p>
            <w:pPr>
              <w:jc w:val="both"/>
              <w:rPr>
                <w:rFonts w:hint="eastAsia" w:ascii="宋体" w:hAnsi="宋体" w:eastAsia="宋体" w:cs="宋体"/>
                <w:i w:val="0"/>
                <w:iCs w:val="0"/>
                <w:color w:val="000000"/>
                <w:sz w:val="28"/>
                <w:szCs w:val="28"/>
                <w:u w:val="none"/>
              </w:rPr>
            </w:pPr>
          </w:p>
        </w:tc>
      </w:tr>
      <w:tr>
        <w:trPr>
          <w:trHeight w:val="336" w:hRule="atLeast"/>
        </w:trPr>
        <w:tc>
          <w:tcPr>
            <w:tcW w:w="15050" w:type="dxa"/>
            <w:gridSpan w:val="5"/>
            <w:vMerge w:val="continue"/>
            <w:tcBorders>
              <w:top w:val="nil"/>
              <w:left w:val="nil"/>
              <w:bottom w:val="single" w:color="000000" w:sz="4" w:space="0"/>
              <w:right w:val="nil"/>
            </w:tcBorders>
            <w:shd w:val="clear" w:color="auto" w:fill="E7E6E6"/>
            <w:vAlign w:val="center"/>
          </w:tcPr>
          <w:p>
            <w:pPr>
              <w:jc w:val="both"/>
              <w:rPr>
                <w:rFonts w:hint="eastAsia" w:ascii="宋体" w:hAnsi="宋体" w:eastAsia="宋体" w:cs="宋体"/>
                <w:i w:val="0"/>
                <w:iCs w:val="0"/>
                <w:color w:val="000000"/>
                <w:sz w:val="28"/>
                <w:szCs w:val="28"/>
                <w:u w:val="none"/>
              </w:rPr>
            </w:pPr>
          </w:p>
        </w:tc>
      </w:tr>
      <w:tr>
        <w:trPr>
          <w:trHeight w:val="336" w:hRule="atLeast"/>
        </w:trPr>
        <w:tc>
          <w:tcPr>
            <w:tcW w:w="15050" w:type="dxa"/>
            <w:gridSpan w:val="5"/>
            <w:vMerge w:val="continue"/>
            <w:tcBorders>
              <w:top w:val="nil"/>
              <w:left w:val="nil"/>
              <w:bottom w:val="single" w:color="000000" w:sz="4" w:space="0"/>
              <w:right w:val="nil"/>
            </w:tcBorders>
            <w:shd w:val="clear" w:color="auto" w:fill="E7E6E6"/>
            <w:vAlign w:val="center"/>
          </w:tcPr>
          <w:p>
            <w:pPr>
              <w:jc w:val="both"/>
              <w:rPr>
                <w:rFonts w:hint="eastAsia" w:ascii="宋体" w:hAnsi="宋体" w:eastAsia="宋体" w:cs="宋体"/>
                <w:i w:val="0"/>
                <w:iCs w:val="0"/>
                <w:color w:val="000000"/>
                <w:sz w:val="28"/>
                <w:szCs w:val="28"/>
                <w:u w:val="none"/>
              </w:rPr>
            </w:pPr>
          </w:p>
        </w:tc>
      </w:tr>
      <w:tr>
        <w:trPr>
          <w:trHeight w:val="336" w:hRule="atLeast"/>
        </w:trPr>
        <w:tc>
          <w:tcPr>
            <w:tcW w:w="15050" w:type="dxa"/>
            <w:gridSpan w:val="5"/>
            <w:vMerge w:val="continue"/>
            <w:tcBorders>
              <w:top w:val="nil"/>
              <w:left w:val="nil"/>
              <w:bottom w:val="single" w:color="000000" w:sz="4" w:space="0"/>
              <w:right w:val="nil"/>
            </w:tcBorders>
            <w:shd w:val="clear" w:color="auto" w:fill="E7E6E6"/>
            <w:vAlign w:val="center"/>
          </w:tcPr>
          <w:p>
            <w:pPr>
              <w:jc w:val="both"/>
              <w:rPr>
                <w:rFonts w:hint="eastAsia" w:ascii="宋体" w:hAnsi="宋体" w:eastAsia="宋体" w:cs="宋体"/>
                <w:i w:val="0"/>
                <w:iCs w:val="0"/>
                <w:color w:val="000000"/>
                <w:sz w:val="28"/>
                <w:szCs w:val="28"/>
                <w:u w:val="none"/>
              </w:rPr>
            </w:pPr>
          </w:p>
        </w:tc>
      </w:tr>
      <w:tr>
        <w:trPr>
          <w:trHeight w:val="336" w:hRule="atLeast"/>
        </w:trPr>
        <w:tc>
          <w:tcPr>
            <w:tcW w:w="15050" w:type="dxa"/>
            <w:gridSpan w:val="5"/>
            <w:vMerge w:val="continue"/>
            <w:tcBorders>
              <w:top w:val="nil"/>
              <w:left w:val="nil"/>
              <w:bottom w:val="single" w:color="000000" w:sz="4" w:space="0"/>
              <w:right w:val="nil"/>
            </w:tcBorders>
            <w:shd w:val="clear" w:color="auto" w:fill="E7E6E6"/>
            <w:vAlign w:val="center"/>
          </w:tcPr>
          <w:p>
            <w:pPr>
              <w:jc w:val="both"/>
              <w:rPr>
                <w:rFonts w:hint="eastAsia" w:ascii="宋体" w:hAnsi="宋体" w:eastAsia="宋体" w:cs="宋体"/>
                <w:i w:val="0"/>
                <w:iCs w:val="0"/>
                <w:color w:val="000000"/>
                <w:sz w:val="28"/>
                <w:szCs w:val="28"/>
                <w:u w:val="none"/>
              </w:rPr>
            </w:pPr>
          </w:p>
        </w:tc>
      </w:tr>
      <w:tr>
        <w:trPr>
          <w:trHeight w:val="580" w:hRule="atLeast"/>
        </w:trPr>
        <w:tc>
          <w:tcPr>
            <w:tcW w:w="15050" w:type="dxa"/>
            <w:gridSpan w:val="5"/>
            <w:vMerge w:val="continue"/>
            <w:tcBorders>
              <w:top w:val="nil"/>
              <w:left w:val="nil"/>
              <w:bottom w:val="single" w:color="000000" w:sz="4" w:space="0"/>
              <w:right w:val="nil"/>
            </w:tcBorders>
            <w:shd w:val="clear" w:color="auto" w:fill="E7E6E6"/>
            <w:vAlign w:val="center"/>
          </w:tcPr>
          <w:p>
            <w:pPr>
              <w:jc w:val="both"/>
              <w:rPr>
                <w:rFonts w:hint="eastAsia" w:ascii="宋体" w:hAnsi="宋体" w:eastAsia="宋体" w:cs="宋体"/>
                <w:i w:val="0"/>
                <w:iCs w:val="0"/>
                <w:color w:val="000000"/>
                <w:sz w:val="28"/>
                <w:szCs w:val="28"/>
                <w:u w:val="none"/>
              </w:rPr>
            </w:pPr>
          </w:p>
        </w:tc>
      </w:tr>
    </w:tbl>
    <w:p>
      <w:pPr>
        <w:bidi w:val="0"/>
        <w:jc w:val="left"/>
        <w:rPr>
          <w:rFonts w:hint="default"/>
          <w:lang w:val="en-US" w:eastAsia="zh-CN"/>
        </w:rPr>
      </w:pPr>
    </w:p>
    <w:p>
      <w:pPr>
        <w:bidi w:val="0"/>
        <w:jc w:val="left"/>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503050405090304"/>
    <w:charset w:val="00"/>
    <w:family w:val="auto"/>
    <w:pitch w:val="default"/>
    <w:sig w:usb0="E0000AFF" w:usb1="00007843" w:usb2="00000001" w:usb3="00000000" w:csb0="400001BF" w:csb1="DFF70000"/>
  </w:font>
  <w:font w:name="Arial Hebrew Regular">
    <w:panose1 w:val="00000000000000000000"/>
    <w:charset w:val="00"/>
    <w:family w:val="auto"/>
    <w:pitch w:val="default"/>
    <w:sig w:usb0="80000843" w:usb1="40000002"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儷宋 Pro">
    <w:panose1 w:val="02020300000000000000"/>
    <w:charset w:val="88"/>
    <w:family w:val="auto"/>
    <w:pitch w:val="default"/>
    <w:sig w:usb0="80000001" w:usb1="28091800" w:usb2="00000016" w:usb3="00000000" w:csb0="001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F8B2A9"/>
    <w:rsid w:val="6F6F7E39"/>
    <w:rsid w:val="7AF77BA3"/>
    <w:rsid w:val="7FFDED60"/>
    <w:rsid w:val="BFEBE5A8"/>
    <w:rsid w:val="EFFDB049"/>
    <w:rsid w:val="F7DBDA82"/>
    <w:rsid w:val="FBF8B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21"/>
    <w:basedOn w:val="3"/>
    <w:uiPriority w:val="0"/>
    <w:rPr>
      <w:rFonts w:hint="eastAsia" w:ascii="宋体" w:hAnsi="宋体" w:eastAsia="宋体" w:cs="宋体"/>
      <w:color w:val="000000"/>
      <w:sz w:val="28"/>
      <w:szCs w:val="28"/>
      <w:u w:val="none"/>
    </w:rPr>
  </w:style>
  <w:style w:type="character" w:customStyle="1" w:styleId="5">
    <w:name w:val="font31"/>
    <w:basedOn w:val="3"/>
    <w:uiPriority w:val="0"/>
    <w:rPr>
      <w:rFonts w:hint="eastAsia" w:ascii="宋体" w:hAnsi="宋体" w:eastAsia="宋体" w:cs="宋体"/>
      <w:color w:val="000000"/>
      <w:sz w:val="28"/>
      <w:szCs w:val="28"/>
      <w:u w:val="none"/>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2024-07-22T04:18:00Z</dcterms:created>
  <dc:creator>HuiWu</dc:creator>
  <cp:lastModifiedBy>HuiWu</cp:lastModifiedBy>
  <dcterms:modified xsi:type="dcterms:W3CDTF">2024-08-07T12:56:55Z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66F039F09054F87B0BAB9B660F3AE711_41</vt:lpwstr>
  </property>
</Properties>
</file>