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883" w:rsidRPr="00EF6883" w:rsidRDefault="00EF6883" w:rsidP="00EF6883">
      <w:pPr>
        <w:spacing w:line="480" w:lineRule="auto"/>
        <w:rPr>
          <w:rFonts w:ascii="Arial" w:hAnsi="Arial" w:cs="Arial"/>
          <w:b/>
          <w:sz w:val="22"/>
          <w:szCs w:val="22"/>
        </w:rPr>
      </w:pPr>
      <w:bookmarkStart w:id="0" w:name="_GoBack"/>
      <w:r w:rsidRPr="00EF6883">
        <w:rPr>
          <w:rFonts w:ascii="Arial" w:hAnsi="Arial" w:cs="Arial"/>
          <w:b/>
          <w:sz w:val="22"/>
          <w:szCs w:val="22"/>
        </w:rPr>
        <w:t>Footnotes for Study Calendar</w:t>
      </w:r>
    </w:p>
    <w:bookmarkEnd w:id="0"/>
    <w:p w:rsidR="00EF6883" w:rsidRPr="00EF6883" w:rsidRDefault="00EF6883" w:rsidP="00EF6883">
      <w:pPr>
        <w:spacing w:line="480" w:lineRule="auto"/>
        <w:rPr>
          <w:rFonts w:ascii="Arial" w:hAnsi="Arial" w:cs="Arial"/>
          <w:sz w:val="22"/>
          <w:szCs w:val="22"/>
        </w:rPr>
      </w:pPr>
      <w:r w:rsidRPr="00EF6883">
        <w:rPr>
          <w:rFonts w:ascii="Arial" w:hAnsi="Arial" w:cs="Arial"/>
          <w:sz w:val="22"/>
          <w:szCs w:val="22"/>
          <w:vertAlign w:val="superscript"/>
        </w:rPr>
        <w:t>1</w:t>
      </w:r>
      <w:r w:rsidRPr="00EF6883">
        <w:rPr>
          <w:rFonts w:ascii="Arial" w:hAnsi="Arial" w:cs="Arial"/>
          <w:sz w:val="22"/>
          <w:szCs w:val="22"/>
        </w:rPr>
        <w:t xml:space="preserve">In primary diagnosis cases, pathologic confirmation is required. In recurrent and/or metastatic diagnosis cases, pathologic confirmation is not required if not beneficial to the patient as standard of care, and diagnosis </w:t>
      </w:r>
      <w:proofErr w:type="gramStart"/>
      <w:r w:rsidRPr="00EF6883">
        <w:rPr>
          <w:rFonts w:ascii="Arial" w:hAnsi="Arial" w:cs="Arial"/>
          <w:sz w:val="22"/>
          <w:szCs w:val="22"/>
        </w:rPr>
        <w:t>can be assumed</w:t>
      </w:r>
      <w:proofErr w:type="gramEnd"/>
      <w:r w:rsidRPr="00EF6883">
        <w:rPr>
          <w:rFonts w:ascii="Arial" w:hAnsi="Arial" w:cs="Arial"/>
          <w:sz w:val="22"/>
          <w:szCs w:val="22"/>
        </w:rPr>
        <w:t xml:space="preserve"> based on clinical and/or radiographic evidence. If available, Human Papillomavirus and/or p16 status </w:t>
      </w:r>
      <w:proofErr w:type="gramStart"/>
      <w:r w:rsidRPr="00EF6883">
        <w:rPr>
          <w:rFonts w:ascii="Arial" w:hAnsi="Arial" w:cs="Arial"/>
          <w:sz w:val="22"/>
          <w:szCs w:val="22"/>
        </w:rPr>
        <w:t>will be collected and reviewed</w:t>
      </w:r>
      <w:proofErr w:type="gramEnd"/>
      <w:r w:rsidRPr="00EF6883">
        <w:rPr>
          <w:rFonts w:ascii="Arial" w:hAnsi="Arial" w:cs="Arial"/>
          <w:sz w:val="22"/>
          <w:szCs w:val="22"/>
        </w:rPr>
        <w:t>.</w:t>
      </w:r>
    </w:p>
    <w:p w:rsidR="00EF6883" w:rsidRPr="00EF6883" w:rsidRDefault="00EF6883" w:rsidP="00EF6883">
      <w:pPr>
        <w:spacing w:line="480" w:lineRule="auto"/>
        <w:rPr>
          <w:rFonts w:ascii="Arial" w:hAnsi="Arial" w:cs="Arial"/>
          <w:sz w:val="22"/>
          <w:szCs w:val="22"/>
        </w:rPr>
      </w:pPr>
      <w:r w:rsidRPr="00EF6883">
        <w:rPr>
          <w:rFonts w:ascii="Arial" w:hAnsi="Arial" w:cs="Arial"/>
          <w:sz w:val="22"/>
          <w:szCs w:val="22"/>
          <w:vertAlign w:val="superscript"/>
        </w:rPr>
        <w:t>2</w:t>
      </w:r>
      <w:r w:rsidRPr="00EF6883">
        <w:rPr>
          <w:rFonts w:ascii="Arial" w:hAnsi="Arial" w:cs="Arial"/>
          <w:sz w:val="22"/>
          <w:szCs w:val="22"/>
        </w:rPr>
        <w:t>Within 60 days of CT simulation.</w:t>
      </w:r>
    </w:p>
    <w:p w:rsidR="00EF6883" w:rsidRPr="00EF6883" w:rsidRDefault="00EF6883" w:rsidP="00EF6883">
      <w:pPr>
        <w:spacing w:line="480" w:lineRule="auto"/>
        <w:rPr>
          <w:rFonts w:ascii="Arial" w:hAnsi="Arial" w:cs="Arial"/>
          <w:sz w:val="22"/>
          <w:szCs w:val="22"/>
        </w:rPr>
      </w:pPr>
      <w:r w:rsidRPr="00EF6883">
        <w:rPr>
          <w:rFonts w:ascii="Arial" w:hAnsi="Arial" w:cs="Arial"/>
          <w:sz w:val="22"/>
          <w:szCs w:val="22"/>
          <w:vertAlign w:val="superscript"/>
        </w:rPr>
        <w:t>3</w:t>
      </w:r>
      <w:r w:rsidRPr="00EF6883">
        <w:rPr>
          <w:rFonts w:ascii="Arial" w:hAnsi="Arial" w:cs="Arial"/>
          <w:sz w:val="22"/>
          <w:szCs w:val="22"/>
        </w:rPr>
        <w:t xml:space="preserve">Questionnaires </w:t>
      </w:r>
      <w:proofErr w:type="gramStart"/>
      <w:r w:rsidRPr="00EF6883">
        <w:rPr>
          <w:rFonts w:ascii="Arial" w:hAnsi="Arial" w:cs="Arial"/>
          <w:sz w:val="22"/>
          <w:szCs w:val="22"/>
        </w:rPr>
        <w:t>may be administered</w:t>
      </w:r>
      <w:proofErr w:type="gramEnd"/>
      <w:r w:rsidRPr="00EF6883">
        <w:rPr>
          <w:rFonts w:ascii="Arial" w:hAnsi="Arial" w:cs="Arial"/>
          <w:sz w:val="22"/>
          <w:szCs w:val="22"/>
        </w:rPr>
        <w:t xml:space="preserve"> by telephone or electronically.</w:t>
      </w:r>
    </w:p>
    <w:p w:rsidR="00EF6883" w:rsidRPr="00EF6883" w:rsidRDefault="00EF6883" w:rsidP="00EF6883">
      <w:pPr>
        <w:spacing w:line="480" w:lineRule="auto"/>
        <w:rPr>
          <w:rFonts w:ascii="Arial" w:hAnsi="Arial" w:cs="Arial"/>
          <w:sz w:val="22"/>
          <w:szCs w:val="22"/>
        </w:rPr>
      </w:pPr>
      <w:proofErr w:type="gramStart"/>
      <w:r w:rsidRPr="00EF6883">
        <w:rPr>
          <w:rFonts w:ascii="Arial" w:hAnsi="Arial" w:cs="Arial"/>
          <w:sz w:val="22"/>
          <w:szCs w:val="22"/>
          <w:vertAlign w:val="superscript"/>
        </w:rPr>
        <w:t>4</w:t>
      </w:r>
      <w:r w:rsidRPr="00EF6883">
        <w:rPr>
          <w:rFonts w:ascii="Arial" w:hAnsi="Arial" w:cs="Arial"/>
          <w:sz w:val="22"/>
          <w:szCs w:val="22"/>
        </w:rPr>
        <w:t>May be repeated</w:t>
      </w:r>
      <w:proofErr w:type="gramEnd"/>
      <w:r w:rsidRPr="00EF6883">
        <w:rPr>
          <w:rFonts w:ascii="Arial" w:hAnsi="Arial" w:cs="Arial"/>
          <w:sz w:val="22"/>
          <w:szCs w:val="22"/>
        </w:rPr>
        <w:t xml:space="preserve"> in between PULSAR fractions per treating physician’s discretion, as per section 6.5.</w:t>
      </w:r>
    </w:p>
    <w:p w:rsidR="00EF6883" w:rsidRPr="00EF6883" w:rsidRDefault="00EF6883" w:rsidP="00EF6883">
      <w:pPr>
        <w:spacing w:line="480" w:lineRule="auto"/>
        <w:rPr>
          <w:rFonts w:ascii="Arial" w:hAnsi="Arial" w:cs="Arial"/>
          <w:sz w:val="22"/>
          <w:szCs w:val="22"/>
        </w:rPr>
      </w:pPr>
      <w:r w:rsidRPr="00EF6883">
        <w:rPr>
          <w:rFonts w:ascii="Arial" w:hAnsi="Arial" w:cs="Arial"/>
          <w:sz w:val="22"/>
          <w:szCs w:val="22"/>
          <w:vertAlign w:val="superscript"/>
        </w:rPr>
        <w:t>5</w:t>
      </w:r>
      <w:r w:rsidRPr="00EF6883">
        <w:rPr>
          <w:rFonts w:ascii="Arial" w:hAnsi="Arial" w:cs="Arial"/>
          <w:sz w:val="22"/>
          <w:szCs w:val="22"/>
        </w:rPr>
        <w:t>During PULSAR course, toxicity assessments will occur within 7 days of each radiation fraction and may occur via telemedicine.</w:t>
      </w:r>
    </w:p>
    <w:p w:rsidR="00EF6883" w:rsidRPr="00EF6883" w:rsidRDefault="00EF6883" w:rsidP="00EF6883">
      <w:pPr>
        <w:spacing w:line="480" w:lineRule="auto"/>
        <w:rPr>
          <w:rFonts w:ascii="Arial" w:hAnsi="Arial" w:cs="Arial"/>
          <w:sz w:val="22"/>
          <w:szCs w:val="22"/>
        </w:rPr>
      </w:pPr>
      <w:r w:rsidRPr="00EF6883">
        <w:rPr>
          <w:rFonts w:ascii="Arial" w:hAnsi="Arial" w:cs="Arial"/>
          <w:sz w:val="22"/>
          <w:szCs w:val="22"/>
          <w:vertAlign w:val="superscript"/>
        </w:rPr>
        <w:t>6</w:t>
      </w:r>
      <w:r w:rsidRPr="00EF6883">
        <w:rPr>
          <w:rFonts w:ascii="Arial" w:hAnsi="Arial" w:cs="Arial"/>
          <w:sz w:val="22"/>
          <w:szCs w:val="22"/>
        </w:rPr>
        <w:t>May occur via telemedicine.</w:t>
      </w:r>
    </w:p>
    <w:p w:rsidR="00EF6883" w:rsidRPr="00EF6883" w:rsidRDefault="00EF6883" w:rsidP="00EF6883">
      <w:pPr>
        <w:spacing w:line="480" w:lineRule="auto"/>
        <w:rPr>
          <w:rFonts w:ascii="Arial" w:hAnsi="Arial" w:cs="Arial"/>
          <w:sz w:val="22"/>
          <w:szCs w:val="22"/>
        </w:rPr>
      </w:pPr>
      <w:r w:rsidRPr="00EF6883">
        <w:rPr>
          <w:rFonts w:ascii="Arial" w:hAnsi="Arial" w:cs="Arial"/>
          <w:sz w:val="22"/>
          <w:szCs w:val="22"/>
          <w:vertAlign w:val="superscript"/>
        </w:rPr>
        <w:t>7</w:t>
      </w:r>
      <w:r w:rsidRPr="00EF6883">
        <w:rPr>
          <w:rFonts w:ascii="Arial" w:hAnsi="Arial" w:cs="Arial"/>
          <w:sz w:val="22"/>
          <w:szCs w:val="22"/>
        </w:rPr>
        <w:t xml:space="preserve">For patients who undergo re-simulation and re-planning, an extended window of 14 +21/-10 days from most recent radiation therapy fraction to receive the next radiation therapy fraction to accommodate re-simulation scheduling and re-planning time.  </w:t>
      </w:r>
    </w:p>
    <w:p w:rsidR="00EF6883" w:rsidRPr="00EF6883" w:rsidRDefault="00EF6883" w:rsidP="00EF6883">
      <w:pPr>
        <w:spacing w:line="480" w:lineRule="auto"/>
        <w:rPr>
          <w:rFonts w:ascii="Arial" w:hAnsi="Arial" w:cs="Arial"/>
          <w:sz w:val="22"/>
          <w:szCs w:val="22"/>
        </w:rPr>
      </w:pPr>
      <w:r w:rsidRPr="00EF6883">
        <w:rPr>
          <w:rFonts w:ascii="Arial" w:hAnsi="Arial" w:cs="Arial"/>
          <w:sz w:val="22"/>
          <w:szCs w:val="22"/>
          <w:vertAlign w:val="superscript"/>
        </w:rPr>
        <w:t>8</w:t>
      </w:r>
      <w:r w:rsidRPr="00EF6883">
        <w:rPr>
          <w:rFonts w:ascii="Arial" w:hAnsi="Arial" w:cs="Arial"/>
          <w:sz w:val="22"/>
          <w:szCs w:val="22"/>
        </w:rPr>
        <w:t>This will be the last follow-up for the safety lead-in portion, estimated to be at 12 months after trial opening. If proceeding to the phase II portion, the 15 patients in the safety lead-in portion will continue follow-up as per the study calendar, and all subsequently enrolled patients will follow the study calendar timeline and procedures.</w:t>
      </w:r>
    </w:p>
    <w:p w:rsidR="00EF6883" w:rsidRPr="00EF6883" w:rsidRDefault="00EF6883" w:rsidP="00EF6883">
      <w:pPr>
        <w:spacing w:line="480" w:lineRule="auto"/>
        <w:rPr>
          <w:rFonts w:ascii="Arial" w:hAnsi="Arial" w:cs="Arial"/>
          <w:sz w:val="22"/>
          <w:szCs w:val="22"/>
        </w:rPr>
      </w:pPr>
      <w:r w:rsidRPr="00EF6883">
        <w:rPr>
          <w:rFonts w:ascii="Arial" w:hAnsi="Arial" w:cs="Arial"/>
          <w:sz w:val="22"/>
          <w:szCs w:val="22"/>
          <w:vertAlign w:val="superscript"/>
        </w:rPr>
        <w:t>†</w:t>
      </w:r>
      <w:r w:rsidRPr="00EF6883">
        <w:rPr>
          <w:rFonts w:ascii="Arial" w:hAnsi="Arial" w:cs="Arial"/>
          <w:sz w:val="22"/>
          <w:szCs w:val="22"/>
        </w:rPr>
        <w:t xml:space="preserve"> Upon confirmation of eligibility and enrollment in the study, the following </w:t>
      </w:r>
      <w:proofErr w:type="gramStart"/>
      <w:r w:rsidRPr="00EF6883">
        <w:rPr>
          <w:rFonts w:ascii="Arial" w:hAnsi="Arial" w:cs="Arial"/>
          <w:sz w:val="22"/>
          <w:szCs w:val="22"/>
        </w:rPr>
        <w:t>will be obtained</w:t>
      </w:r>
      <w:proofErr w:type="gramEnd"/>
      <w:r w:rsidRPr="00EF6883">
        <w:rPr>
          <w:rFonts w:ascii="Arial" w:hAnsi="Arial" w:cs="Arial"/>
          <w:sz w:val="22"/>
          <w:szCs w:val="22"/>
        </w:rPr>
        <w:t xml:space="preserve"> prior to treatment (if not already performed).</w:t>
      </w:r>
    </w:p>
    <w:p w:rsidR="000E6AAF" w:rsidRPr="00EF6883" w:rsidRDefault="000E6AAF" w:rsidP="00EF6883">
      <w:pPr>
        <w:spacing w:line="480" w:lineRule="auto"/>
        <w:rPr>
          <w:sz w:val="22"/>
          <w:szCs w:val="22"/>
        </w:rPr>
      </w:pPr>
    </w:p>
    <w:sectPr w:rsidR="000E6AAF" w:rsidRPr="00EF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883"/>
    <w:rsid w:val="000E6AAF"/>
    <w:rsid w:val="00EF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67C85"/>
  <w15:chartTrackingRefBased/>
  <w15:docId w15:val="{66FB8C7D-3D49-4748-91BE-B6264B896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68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 Health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Courtney, Travis MD</dc:creator>
  <cp:keywords/>
  <dc:description/>
  <cp:lastModifiedBy>Courtney, Travis MD</cp:lastModifiedBy>
  <cp:revision>1</cp:revision>
  <dcterms:created xsi:type="dcterms:W3CDTF">2024-08-15T19:56:00Z</dcterms:created>
  <dcterms:modified xsi:type="dcterms:W3CDTF">2024-08-15T19:57:00Z</dcterms:modified>
</cp:coreProperties>
</file>