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FA344" w14:textId="77777777" w:rsidR="002E6E34" w:rsidRPr="00ED7E86" w:rsidRDefault="002E6E34" w:rsidP="002E6E34">
      <w:pPr>
        <w:spacing w:after="160" w:line="360" w:lineRule="auto"/>
        <w:rPr>
          <w:rFonts w:ascii="Times New Roman" w:hAnsi="Times New Roman" w:cs="Times New Roman"/>
          <w:b/>
          <w:bCs/>
          <w:color w:val="222222"/>
          <w:szCs w:val="21"/>
          <w:shd w:val="clear" w:color="auto" w:fill="FFFFFF"/>
        </w:rPr>
      </w:pPr>
      <w:r w:rsidRPr="00ED7E86">
        <w:rPr>
          <w:rFonts w:ascii="Times New Roman" w:hAnsi="Times New Roman" w:cs="Times New Roman"/>
          <w:b/>
          <w:bCs/>
          <w:color w:val="222222"/>
          <w:szCs w:val="21"/>
          <w:shd w:val="clear" w:color="auto" w:fill="FFFFFF"/>
        </w:rPr>
        <w:t>Supplement Figure 1. Radiographic parameters.</w:t>
      </w:r>
    </w:p>
    <w:p w14:paraId="04774A76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B2156C">
        <w:rPr>
          <w:rFonts w:ascii="Times New Roman" w:hAnsi="Times New Roman" w:cs="Times New Roman"/>
          <w:noProof/>
          <w:color w:val="222222"/>
          <w:szCs w:val="21"/>
          <w:shd w:val="clear" w:color="auto" w:fill="FFFFFF"/>
        </w:rPr>
        <w:drawing>
          <wp:inline distT="0" distB="0" distL="0" distR="0" wp14:anchorId="785BB7D8" wp14:editId="71A8CDFB">
            <wp:extent cx="5400040" cy="3626485"/>
            <wp:effectExtent l="0" t="0" r="0" b="0"/>
            <wp:docPr id="1772576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5766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53C7" w14:textId="77777777" w:rsidR="002E6E34" w:rsidRPr="005A0620" w:rsidRDefault="002E6E34" w:rsidP="002E6E34">
      <w:pPr>
        <w:spacing w:after="160" w:line="360" w:lineRule="auto"/>
        <w:rPr>
          <w:rFonts w:ascii="Times New Roman" w:hAnsi="Times New Roman" w:cs="Times New Roman"/>
          <w:color w:val="222222"/>
          <w:szCs w:val="21"/>
          <w:shd w:val="clear" w:color="auto" w:fill="FFFFFF"/>
        </w:rPr>
      </w:pPr>
      <w:r w:rsidRPr="00A55D69">
        <w:rPr>
          <w:rFonts w:ascii="Times New Roman" w:hAnsi="Times New Roman" w:cs="Times New Roman"/>
          <w:noProof/>
          <w:color w:val="222222"/>
          <w:szCs w:val="21"/>
          <w:shd w:val="clear" w:color="auto" w:fill="FFFFFF"/>
        </w:rPr>
        <w:drawing>
          <wp:inline distT="0" distB="0" distL="0" distR="0" wp14:anchorId="73F30167" wp14:editId="4C89C9EC">
            <wp:extent cx="5400040" cy="3930015"/>
            <wp:effectExtent l="0" t="0" r="0" b="0"/>
            <wp:docPr id="2033613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134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ADB00" w14:textId="77777777" w:rsidR="002E6E34" w:rsidRPr="000230AD" w:rsidRDefault="002E6E34" w:rsidP="002E6E34">
      <w:pPr>
        <w:spacing w:after="160" w:line="360" w:lineRule="auto"/>
        <w:rPr>
          <w:rFonts w:ascii="Times New Roman" w:hAnsi="Times New Roman" w:cs="Times New Roman"/>
          <w:b/>
          <w:bCs/>
        </w:rPr>
      </w:pPr>
      <w:r w:rsidRPr="000230AD">
        <w:rPr>
          <w:rFonts w:ascii="Times New Roman" w:hAnsi="Times New Roman" w:cs="Times New Roman" w:hint="eastAsia"/>
          <w:b/>
          <w:bCs/>
        </w:rPr>
        <w:lastRenderedPageBreak/>
        <w:t>Supplement</w:t>
      </w:r>
      <w:r w:rsidRPr="000230AD">
        <w:rPr>
          <w:rFonts w:ascii="Times New Roman" w:hAnsi="Times New Roman" w:cs="Times New Roman"/>
          <w:b/>
          <w:bCs/>
        </w:rPr>
        <w:t xml:space="preserve"> Figure2</w:t>
      </w:r>
    </w:p>
    <w:p w14:paraId="29C06372" w14:textId="77777777" w:rsidR="002E6E34" w:rsidRPr="00426009" w:rsidRDefault="002E6E34" w:rsidP="002E6E3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426009">
        <w:rPr>
          <w:rFonts w:ascii="Times New Roman" w:hAnsi="Times New Roman" w:cs="Times New Roman"/>
          <w:b/>
          <w:bCs/>
        </w:rPr>
        <w:t>Longitudinal change in C27SVA, Cervical LL, and T1slope between farmers and non-farmers over study period in a propensity score matched cohort.</w:t>
      </w:r>
    </w:p>
    <w:p w14:paraId="54B3DB16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14462A" wp14:editId="6DD49485">
            <wp:extent cx="5400040" cy="2700020"/>
            <wp:effectExtent l="0" t="0" r="0" b="5080"/>
            <wp:docPr id="8190431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43121" name="Picture 8190431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D08F" w14:textId="77777777" w:rsidR="002E6E34" w:rsidRPr="000230AD" w:rsidRDefault="002E6E34" w:rsidP="002E6E3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Age and sex were balanced </w:t>
      </w:r>
      <w:r w:rsidRPr="005A0620">
        <w:rPr>
          <w:rFonts w:ascii="Times New Roman" w:hAnsi="Times New Roman" w:cs="Times New Roman"/>
          <w:color w:val="000000"/>
        </w:rPr>
        <w:t>by a 1:1 propensity score matching.</w:t>
      </w:r>
      <w:r w:rsidRPr="006F00EC"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The variables are explained as follows: C27SVA; C2-7 Sagittal Vertical Axis, Cervical</w:t>
      </w:r>
      <w:r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LL; Cervical Lordosis, and T1slope; T1 Slope.</w:t>
      </w:r>
    </w:p>
    <w:p w14:paraId="0895B134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</w:p>
    <w:p w14:paraId="71BBD4A8" w14:textId="77777777" w:rsidR="002E6E34" w:rsidRPr="00426009" w:rsidRDefault="002E6E34" w:rsidP="002E6E3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426009">
        <w:rPr>
          <w:rFonts w:ascii="Times New Roman" w:hAnsi="Times New Roman" w:cs="Times New Roman"/>
          <w:b/>
          <w:bCs/>
        </w:rPr>
        <w:t xml:space="preserve">Longitudinal change in SVA, </w:t>
      </w:r>
      <w:r>
        <w:rPr>
          <w:rFonts w:ascii="Times New Roman" w:hAnsi="Times New Roman" w:cs="Times New Roman"/>
          <w:b/>
          <w:bCs/>
        </w:rPr>
        <w:t>TK</w:t>
      </w:r>
      <w:r w:rsidRPr="00426009">
        <w:rPr>
          <w:rFonts w:ascii="Times New Roman" w:hAnsi="Times New Roman" w:cs="Times New Roman"/>
          <w:b/>
          <w:bCs/>
        </w:rPr>
        <w:t xml:space="preserve">, and </w:t>
      </w:r>
      <w:r>
        <w:rPr>
          <w:rFonts w:ascii="Times New Roman" w:hAnsi="Times New Roman" w:cs="Times New Roman"/>
          <w:b/>
          <w:bCs/>
        </w:rPr>
        <w:t xml:space="preserve">LL </w:t>
      </w:r>
      <w:r w:rsidRPr="00426009">
        <w:rPr>
          <w:rFonts w:ascii="Times New Roman" w:hAnsi="Times New Roman" w:cs="Times New Roman"/>
          <w:b/>
          <w:bCs/>
        </w:rPr>
        <w:t xml:space="preserve"> between farmers and non-farmers over study period in a propensity score matched cohort.</w:t>
      </w:r>
    </w:p>
    <w:p w14:paraId="4DDA16C9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52954D" wp14:editId="6E365C7F">
            <wp:extent cx="5400040" cy="2700020"/>
            <wp:effectExtent l="0" t="0" r="0" b="5080"/>
            <wp:docPr id="720218810" name="Picture 4" descr="A graph of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18810" name="Picture 4" descr="A graph of different types of number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EA45" w14:textId="77777777" w:rsidR="002E6E34" w:rsidRDefault="002E6E34" w:rsidP="002E6E34">
      <w:pPr>
        <w:spacing w:after="240" w:line="360" w:lineRule="auto"/>
        <w:rPr>
          <w:rFonts w:ascii="Times New Roman" w:eastAsia="MS PGothic" w:hAnsi="Times New Roman" w:cs="Times New Roman"/>
          <w:sz w:val="22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Age and sex were balanced </w:t>
      </w:r>
      <w:r w:rsidRPr="005A0620">
        <w:rPr>
          <w:rFonts w:ascii="Times New Roman" w:hAnsi="Times New Roman" w:cs="Times New Roman"/>
          <w:color w:val="000000"/>
        </w:rPr>
        <w:t>by a 1:1 propensity score matching.</w:t>
      </w:r>
      <w:r w:rsidRPr="006F00EC"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 xml:space="preserve">The variables are explained as follows: </w:t>
      </w:r>
      <w:r w:rsidRPr="006F00EC"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SVA; Sagittal Vertical Axis, TK; Thoracic Kyphosis,</w:t>
      </w:r>
      <w:r w:rsidRPr="000230AD"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LL; Lumbar Lordosis</w:t>
      </w:r>
    </w:p>
    <w:p w14:paraId="65303D52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</w:p>
    <w:p w14:paraId="06AD4DFB" w14:textId="77777777" w:rsidR="002E6E34" w:rsidRDefault="002E6E34" w:rsidP="002E6E34">
      <w:pPr>
        <w:widowControl/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954BD5" w14:textId="77777777" w:rsidR="002E6E34" w:rsidRPr="00426009" w:rsidRDefault="002E6E34" w:rsidP="002E6E3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426009">
        <w:rPr>
          <w:rFonts w:ascii="Times New Roman" w:hAnsi="Times New Roman" w:cs="Times New Roman"/>
          <w:b/>
          <w:bCs/>
        </w:rPr>
        <w:lastRenderedPageBreak/>
        <w:t xml:space="preserve">Longitudinal change in </w:t>
      </w:r>
      <w:r>
        <w:rPr>
          <w:rFonts w:ascii="Times New Roman" w:hAnsi="Times New Roman" w:cs="Times New Roman"/>
          <w:b/>
          <w:bCs/>
        </w:rPr>
        <w:t>SS</w:t>
      </w:r>
      <w:r w:rsidRPr="00426009">
        <w:rPr>
          <w:rFonts w:ascii="Times New Roman" w:hAnsi="Times New Roman" w:cs="Times New Roman"/>
          <w:b/>
          <w:bCs/>
        </w:rPr>
        <w:t xml:space="preserve">, and </w:t>
      </w:r>
      <w:r>
        <w:rPr>
          <w:rFonts w:ascii="Times New Roman" w:hAnsi="Times New Roman" w:cs="Times New Roman"/>
          <w:b/>
          <w:bCs/>
        </w:rPr>
        <w:t>PT</w:t>
      </w:r>
      <w:r w:rsidRPr="00426009">
        <w:rPr>
          <w:rFonts w:ascii="Times New Roman" w:hAnsi="Times New Roman" w:cs="Times New Roman"/>
          <w:b/>
          <w:bCs/>
        </w:rPr>
        <w:t xml:space="preserve"> between farmers and non-farmers over study period in a propensity score matched cohort.</w:t>
      </w:r>
    </w:p>
    <w:p w14:paraId="178B0652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8776D0" wp14:editId="05E5DB03">
            <wp:extent cx="5400040" cy="2700020"/>
            <wp:effectExtent l="0" t="0" r="0" b="5080"/>
            <wp:docPr id="1370824599" name="Picture 5" descr="A diagram of a diagram showing the number of ye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24599" name="Picture 5" descr="A diagram of a diagram showing the number of year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E2665" w14:textId="77777777" w:rsidR="002E6E34" w:rsidRDefault="002E6E34" w:rsidP="002E6E34">
      <w:pPr>
        <w:spacing w:after="240" w:line="360" w:lineRule="auto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Age and sex were balanced </w:t>
      </w:r>
      <w:r w:rsidRPr="005A0620">
        <w:rPr>
          <w:rFonts w:ascii="Times New Roman" w:hAnsi="Times New Roman" w:cs="Times New Roman"/>
          <w:color w:val="000000"/>
        </w:rPr>
        <w:t>by a 1:1 propensity score matching.</w:t>
      </w:r>
      <w:r w:rsidRPr="006F00EC"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 xml:space="preserve">The variables are explained as follows: </w:t>
      </w:r>
      <w:r w:rsidRPr="006F00EC"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SS; Sacral Slope, PT; Pelvic Tilt</w:t>
      </w:r>
    </w:p>
    <w:p w14:paraId="4193C9C8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</w:p>
    <w:p w14:paraId="5DB0D65F" w14:textId="77777777" w:rsidR="002E6E34" w:rsidRPr="00426009" w:rsidRDefault="002E6E34" w:rsidP="002E6E3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426009">
        <w:rPr>
          <w:rFonts w:ascii="Times New Roman" w:hAnsi="Times New Roman" w:cs="Times New Roman"/>
          <w:b/>
          <w:bCs/>
        </w:rPr>
        <w:t xml:space="preserve">Longitudinal change in </w:t>
      </w:r>
      <w:r>
        <w:rPr>
          <w:rFonts w:ascii="Times New Roman" w:hAnsi="Times New Roman" w:cs="Times New Roman"/>
          <w:b/>
          <w:bCs/>
        </w:rPr>
        <w:t>EQ5D, ODI, and NDI</w:t>
      </w:r>
      <w:r w:rsidRPr="00426009">
        <w:rPr>
          <w:rFonts w:ascii="Times New Roman" w:hAnsi="Times New Roman" w:cs="Times New Roman"/>
          <w:b/>
          <w:bCs/>
        </w:rPr>
        <w:t xml:space="preserve"> between farmers and non-farmers over study period in a propensity score matched cohort.</w:t>
      </w:r>
    </w:p>
    <w:p w14:paraId="641CD6BF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</w:p>
    <w:p w14:paraId="41674E3B" w14:textId="77777777" w:rsidR="002E6E34" w:rsidRDefault="002E6E34" w:rsidP="002E6E34">
      <w:p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0FC693" wp14:editId="1E41CFFE">
            <wp:extent cx="5400040" cy="2700020"/>
            <wp:effectExtent l="0" t="0" r="0" b="5080"/>
            <wp:docPr id="1763717661" name="Picture 2" descr="A graph of different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17661" name="Picture 2" descr="A graph of different numbers and a number of object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F60A" w14:textId="77777777" w:rsidR="002E6E34" w:rsidRDefault="002E6E34" w:rsidP="002E6E34">
      <w:pPr>
        <w:widowControl/>
        <w:spacing w:after="160" w:line="360" w:lineRule="auto"/>
        <w:jc w:val="left"/>
        <w:rPr>
          <w:rFonts w:ascii="Times New Roman" w:eastAsia="MS PGothic" w:hAnsi="Times New Roman" w:cs="Times New Roman"/>
          <w:sz w:val="22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Age and sex were balanced </w:t>
      </w:r>
      <w:r w:rsidRPr="005A0620">
        <w:rPr>
          <w:rFonts w:ascii="Times New Roman" w:hAnsi="Times New Roman" w:cs="Times New Roman"/>
          <w:color w:val="000000"/>
        </w:rPr>
        <w:t xml:space="preserve">by a 1:1 propensity score matching. </w:t>
      </w:r>
      <w:r w:rsidRPr="005A0620">
        <w:rPr>
          <w:rFonts w:ascii="Times New Roman" w:hAnsi="Times New Roman" w:cs="Times New Roman"/>
        </w:rPr>
        <w:t xml:space="preserve">The variables are explained as follows: </w:t>
      </w:r>
      <w:r>
        <w:rPr>
          <w:rFonts w:ascii="Times New Roman" w:hAnsi="Times New Roman" w:cs="Times New Roman"/>
        </w:rPr>
        <w:t>EQ5D</w:t>
      </w:r>
      <w:r w:rsidRPr="005A0620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7F4A10">
        <w:rPr>
          <w:rFonts w:ascii="Times New Roman" w:hAnsi="Times New Roman" w:cs="Times New Roman"/>
        </w:rPr>
        <w:t>Euro</w:t>
      </w:r>
      <w:r>
        <w:rPr>
          <w:rFonts w:ascii="Times New Roman" w:hAnsi="Times New Roman" w:cs="Times New Roman"/>
        </w:rPr>
        <w:t xml:space="preserve"> </w:t>
      </w:r>
      <w:r w:rsidRPr="007F4A10">
        <w:rPr>
          <w:rFonts w:ascii="Times New Roman" w:hAnsi="Times New Roman" w:cs="Times New Roman"/>
        </w:rPr>
        <w:t>Qol 5 Dimensions 3-Level</w:t>
      </w:r>
      <w:r>
        <w:rPr>
          <w:rFonts w:ascii="Times New Roman" w:hAnsi="Times New Roman" w:cs="Times New Roman"/>
        </w:rPr>
        <w:t xml:space="preserve">, NDI; </w:t>
      </w:r>
      <w:r w:rsidRPr="007F4A10">
        <w:rPr>
          <w:rFonts w:ascii="Times New Roman" w:hAnsi="Times New Roman" w:cs="Times New Roman"/>
        </w:rPr>
        <w:t xml:space="preserve">Neck Disability Index, </w:t>
      </w:r>
      <w:r>
        <w:rPr>
          <w:rFonts w:ascii="Times New Roman" w:hAnsi="Times New Roman" w:cs="Times New Roman"/>
        </w:rPr>
        <w:t xml:space="preserve">ODI; </w:t>
      </w:r>
      <w:r w:rsidRPr="007F4A10">
        <w:rPr>
          <w:rFonts w:ascii="Times New Roman" w:hAnsi="Times New Roman" w:cs="Times New Roman"/>
        </w:rPr>
        <w:t>Oswestry Disability Index</w:t>
      </w:r>
    </w:p>
    <w:p w14:paraId="486932FD" w14:textId="77777777" w:rsidR="002E6E34" w:rsidRDefault="002E6E34"/>
    <w:sectPr w:rsidR="002E6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34"/>
    <w:rsid w:val="0006689D"/>
    <w:rsid w:val="002E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A08F6"/>
  <w15:chartTrackingRefBased/>
  <w15:docId w15:val="{113355E5-1985-4136-8659-E16ECC57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E34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E3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E3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E3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E3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E3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E3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E3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E3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E3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E3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6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E3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6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E3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6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E3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6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E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2024-09-27T14:33:00Z</dcterms:created>
  <dcterms:modified xsi:type="dcterms:W3CDTF">2024-09-27T14:33:00Z</dcterms:modified>
</cp:coreProperties>
</file>