
<file path=[Content_Types].xml><?xml version="1.0" encoding="utf-8"?>
<Types xmlns="http://schemas.openxmlformats.org/package/2006/content-types">
  <Default Extension="jpeg" ContentType="image/jpeg"/>
  <Default Extension="JPG" ContentType="image/.jp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F83B3">
      <w:pPr>
        <w:spacing w:line="48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Supporting Information</w:t>
      </w:r>
    </w:p>
    <w:p w14:paraId="149750B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Synthesis of MnO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b/>
          <w:sz w:val="24"/>
          <w:szCs w:val="24"/>
        </w:rPr>
        <w:t>@</w:t>
      </w:r>
      <w:r>
        <w:rPr>
          <w:rFonts w:ascii="Times New Roman" w:hAnsi="Times New Roman" w:cs="Times New Roman"/>
          <w:b/>
          <w:sz w:val="24"/>
          <w:szCs w:val="24"/>
        </w:rPr>
        <w:t>TiO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composite electrodes via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hydrolysis and calcination for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 high stability zinc ions batteries</w:t>
      </w:r>
    </w:p>
    <w:p w14:paraId="6FCC608D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  <w14:ligatures w14:val="standardContextual"/>
        </w:rPr>
        <w:t xml:space="preserve">Jun Zhu </w:t>
      </w:r>
      <w:r>
        <w:rPr>
          <w:rStyle w:val="8"/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  <w14:ligatures w14:val="standardContextual"/>
        </w:rPr>
        <w:footnoteReference w:id="0" w:customMarkFollows="1"/>
        <w:sym w:font="Symbol" w:char="002A"/>
      </w: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  <w14:ligatures w14:val="standardContextual"/>
        </w:rPr>
        <w:t>, Hongwei Shi, Chengcheng Liu, Wenzhu Ouyang, Yuling Liu, Xiaoling Li</w:t>
      </w:r>
    </w:p>
    <w:p w14:paraId="58231E77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</w:pP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  <w14:ligatures w14:val="standardContextual"/>
        </w:rPr>
        <w:t>Key Laboratory of Spin Electron and Nanomaterials of Anhui Higher Education Institutes, Suzhou University, Educational Park No. 1769 Xuefu Avenue, Suzhou 234000, P. R. China</w:t>
      </w:r>
      <w:bookmarkStart w:id="3" w:name="_GoBack"/>
      <w:bookmarkEnd w:id="3"/>
    </w:p>
    <w:p w14:paraId="0893C66F">
      <w:pPr>
        <w:spacing w:line="480" w:lineRule="auto"/>
      </w:pPr>
    </w:p>
    <w:p w14:paraId="1A716267">
      <w:pPr>
        <w:spacing w:line="480" w:lineRule="auto"/>
      </w:pPr>
    </w:p>
    <w:p w14:paraId="3C73B995">
      <w:pPr>
        <w:spacing w:line="480" w:lineRule="auto"/>
        <w:jc w:val="center"/>
      </w:pPr>
      <w:r>
        <w:rPr>
          <w:rFonts w:hint="eastAsia"/>
        </w:rPr>
        <w:drawing>
          <wp:inline distT="0" distB="0" distL="0" distR="0">
            <wp:extent cx="5003800" cy="3401060"/>
            <wp:effectExtent l="0" t="0" r="6350" b="8890"/>
            <wp:docPr id="92848844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488441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4000" cy="340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971D9"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宋体"/>
          <w:b/>
          <w:bCs/>
          <w:sz w:val="24"/>
          <w:szCs w:val="24"/>
        </w:rPr>
        <w:t xml:space="preserve">1. </w:t>
      </w:r>
      <w:r>
        <w:rPr>
          <w:rFonts w:ascii="Times New Roman" w:hAnsi="Times New Roman" w:eastAsia="宋体"/>
          <w:sz w:val="24"/>
          <w:szCs w:val="24"/>
        </w:rPr>
        <w:t>SEM image</w:t>
      </w:r>
      <w:r>
        <w:rPr>
          <w:rFonts w:hint="eastAsia" w:ascii="Times New Roman" w:hAnsi="Times New Roman" w:eastAsia="宋体"/>
          <w:sz w:val="24"/>
          <w:szCs w:val="24"/>
        </w:rPr>
        <w:t>s</w:t>
      </w:r>
      <w:r>
        <w:rPr>
          <w:rFonts w:ascii="Times New Roman" w:hAnsi="Times New Roman" w:eastAsia="宋体"/>
          <w:sz w:val="24"/>
          <w:szCs w:val="24"/>
        </w:rPr>
        <w:t xml:space="preserve"> of </w:t>
      </w:r>
      <w:r>
        <w:rPr>
          <w:rFonts w:hint="eastAsia" w:ascii="Times New Roman" w:hAnsi="Times New Roman" w:eastAsia="宋体"/>
          <w:sz w:val="24"/>
          <w:szCs w:val="24"/>
        </w:rPr>
        <w:t xml:space="preserve">(a, b) </w:t>
      </w:r>
      <w:r>
        <w:rPr>
          <w:rFonts w:ascii="Times New Roman" w:hAnsi="Times New Roman" w:eastAsia="宋体"/>
          <w:sz w:val="24"/>
          <w:szCs w:val="24"/>
        </w:rPr>
        <w:t>MnO</w:t>
      </w:r>
      <w:r>
        <w:rPr>
          <w:rFonts w:ascii="Times New Roman" w:hAnsi="Times New Roman" w:eastAsia="宋体"/>
          <w:sz w:val="24"/>
          <w:szCs w:val="24"/>
          <w:vertAlign w:val="subscript"/>
        </w:rPr>
        <w:t>2</w:t>
      </w:r>
      <w:r>
        <w:rPr>
          <w:rFonts w:ascii="Times New Roman" w:hAnsi="Times New Roman" w:eastAsia="宋体"/>
          <w:sz w:val="24"/>
          <w:szCs w:val="24"/>
        </w:rPr>
        <w:t>@TiO</w:t>
      </w:r>
      <w:r>
        <w:rPr>
          <w:rFonts w:ascii="Times New Roman" w:hAnsi="Times New Roman" w:eastAsia="宋体"/>
          <w:sz w:val="24"/>
          <w:szCs w:val="24"/>
          <w:vertAlign w:val="subscript"/>
        </w:rPr>
        <w:t>2</w:t>
      </w:r>
      <w:r>
        <w:rPr>
          <w:rFonts w:ascii="Times New Roman" w:hAnsi="Times New Roman" w:eastAsia="宋体"/>
          <w:sz w:val="24"/>
          <w:szCs w:val="24"/>
        </w:rPr>
        <w:t>-1</w:t>
      </w:r>
      <w:r>
        <w:rPr>
          <w:rFonts w:hint="eastAsia" w:ascii="Times New Roman" w:hAnsi="Times New Roman" w:eastAsia="宋体"/>
          <w:sz w:val="24"/>
          <w:szCs w:val="24"/>
        </w:rPr>
        <w:t xml:space="preserve"> and </w:t>
      </w:r>
      <w:r>
        <w:rPr>
          <w:rFonts w:ascii="Times New Roman" w:hAnsi="Times New Roman" w:eastAsia="宋体"/>
          <w:sz w:val="24"/>
          <w:szCs w:val="24"/>
        </w:rPr>
        <w:t>(</w:t>
      </w:r>
      <w:r>
        <w:rPr>
          <w:rFonts w:hint="eastAsia" w:ascii="Times New Roman" w:hAnsi="Times New Roman" w:eastAsia="宋体"/>
          <w:sz w:val="24"/>
          <w:szCs w:val="24"/>
        </w:rPr>
        <w:t>c, d</w:t>
      </w:r>
      <w:r>
        <w:rPr>
          <w:rFonts w:ascii="Times New Roman" w:hAnsi="Times New Roman" w:eastAsia="宋体"/>
          <w:sz w:val="24"/>
          <w:szCs w:val="24"/>
        </w:rPr>
        <w:t xml:space="preserve">) </w:t>
      </w:r>
      <w:bookmarkStart w:id="0" w:name="_Hlk174192334"/>
      <w:r>
        <w:rPr>
          <w:rFonts w:ascii="Times New Roman" w:hAnsi="Times New Roman" w:eastAsia="宋体"/>
          <w:sz w:val="24"/>
          <w:szCs w:val="24"/>
        </w:rPr>
        <w:t>MnO</w:t>
      </w:r>
      <w:r>
        <w:rPr>
          <w:rFonts w:ascii="Times New Roman" w:hAnsi="Times New Roman" w:eastAsia="宋体"/>
          <w:sz w:val="24"/>
          <w:szCs w:val="24"/>
          <w:vertAlign w:val="subscript"/>
        </w:rPr>
        <w:t>2</w:t>
      </w:r>
      <w:r>
        <w:rPr>
          <w:rFonts w:ascii="Times New Roman" w:hAnsi="Times New Roman" w:eastAsia="宋体"/>
          <w:sz w:val="24"/>
          <w:szCs w:val="24"/>
        </w:rPr>
        <w:t>@TiO</w:t>
      </w:r>
      <w:r>
        <w:rPr>
          <w:rFonts w:ascii="Times New Roman" w:hAnsi="Times New Roman" w:eastAsia="宋体"/>
          <w:sz w:val="24"/>
          <w:szCs w:val="24"/>
          <w:vertAlign w:val="subscript"/>
        </w:rPr>
        <w:t>2</w:t>
      </w:r>
      <w:r>
        <w:rPr>
          <w:rFonts w:ascii="Times New Roman" w:hAnsi="Times New Roman" w:eastAsia="宋体"/>
          <w:sz w:val="24"/>
          <w:szCs w:val="24"/>
        </w:rPr>
        <w:t>-3</w:t>
      </w:r>
      <w:bookmarkEnd w:id="0"/>
      <w:r>
        <w:rPr>
          <w:rFonts w:hint="eastAsia" w:ascii="Times New Roman" w:hAnsi="Times New Roman" w:eastAsia="宋体"/>
          <w:sz w:val="24"/>
          <w:szCs w:val="24"/>
        </w:rPr>
        <w:t>.</w:t>
      </w:r>
    </w:p>
    <w:p w14:paraId="7A99B800">
      <w:pPr>
        <w:spacing w:line="480" w:lineRule="auto"/>
        <w:jc w:val="left"/>
        <w:rPr>
          <w:rFonts w:ascii="Times New Roman" w:hAnsi="Times New Roman" w:eastAsia="宋体"/>
          <w:b/>
          <w:bCs/>
          <w:sz w:val="24"/>
          <w:szCs w:val="24"/>
        </w:rPr>
      </w:pPr>
      <w:bookmarkStart w:id="1" w:name="_Hlk172392823"/>
    </w:p>
    <w:p w14:paraId="6168D677">
      <w:pPr>
        <w:spacing w:line="480" w:lineRule="auto"/>
        <w:jc w:val="left"/>
        <w:rPr>
          <w:rFonts w:ascii="Times New Roman" w:hAnsi="Times New Roman" w:eastAsia="宋体"/>
          <w:b/>
          <w:bCs/>
          <w:sz w:val="24"/>
          <w:szCs w:val="24"/>
        </w:rPr>
      </w:pPr>
    </w:p>
    <w:p w14:paraId="10BC0359">
      <w:pPr>
        <w:spacing w:line="480" w:lineRule="auto"/>
        <w:jc w:val="left"/>
        <w:rPr>
          <w:rFonts w:ascii="Times New Roman" w:hAnsi="Times New Roman" w:eastAsia="宋体"/>
          <w:b/>
          <w:bCs/>
          <w:sz w:val="24"/>
          <w:szCs w:val="24"/>
        </w:rPr>
      </w:pPr>
    </w:p>
    <w:p w14:paraId="02B21582">
      <w:pPr>
        <w:spacing w:line="480" w:lineRule="auto"/>
        <w:jc w:val="left"/>
        <w:rPr>
          <w:rFonts w:ascii="Times New Roman" w:hAnsi="Times New Roman" w:eastAsia="宋体"/>
          <w:b/>
          <w:bCs/>
          <w:sz w:val="24"/>
          <w:szCs w:val="24"/>
        </w:rPr>
      </w:pPr>
    </w:p>
    <w:p w14:paraId="00926BF7">
      <w:pPr>
        <w:spacing w:line="480" w:lineRule="auto"/>
        <w:jc w:val="left"/>
        <w:rPr>
          <w:rFonts w:ascii="Times New Roman" w:hAnsi="Times New Roman" w:eastAsia="宋体"/>
          <w:b/>
          <w:bCs/>
          <w:sz w:val="24"/>
          <w:szCs w:val="24"/>
        </w:rPr>
      </w:pPr>
    </w:p>
    <w:p w14:paraId="3BAAE2D1">
      <w:pPr>
        <w:spacing w:line="480" w:lineRule="auto"/>
        <w:jc w:val="left"/>
        <w:rPr>
          <w:rFonts w:ascii="Times New Roman" w:hAnsi="Times New Roman" w:eastAsia="宋体"/>
          <w:b/>
          <w:bCs/>
          <w:sz w:val="24"/>
          <w:szCs w:val="24"/>
        </w:rPr>
      </w:pPr>
    </w:p>
    <w:p w14:paraId="29FFE5EE">
      <w:pPr>
        <w:spacing w:line="480" w:lineRule="auto"/>
        <w:jc w:val="left"/>
        <w:rPr>
          <w:rFonts w:ascii="Times New Roman" w:hAnsi="Times New Roman" w:eastAsia="宋体"/>
          <w:b/>
          <w:bCs/>
          <w:sz w:val="24"/>
          <w:szCs w:val="24"/>
        </w:rPr>
      </w:pPr>
    </w:p>
    <w:p w14:paraId="4911576D"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sz w:val="24"/>
          <w:szCs w:val="24"/>
        </w:rPr>
        <w:t>Table S1</w:t>
      </w:r>
      <w:bookmarkEnd w:id="1"/>
      <w:r>
        <w:rPr>
          <w:rFonts w:hint="eastAsia" w:ascii="Times New Roman" w:hAnsi="Times New Roman" w:eastAsia="宋体"/>
          <w:b/>
          <w:bCs/>
          <w:sz w:val="24"/>
          <w:szCs w:val="24"/>
        </w:rPr>
        <w:t>.</w:t>
      </w:r>
      <w:r>
        <w:rPr>
          <w:rFonts w:hint="eastAsia" w:ascii="Times New Roman" w:hAnsi="Times New Roman" w:eastAsia="宋体"/>
          <w:sz w:val="24"/>
          <w:szCs w:val="24"/>
        </w:rPr>
        <w:t xml:space="preserve"> Comparison of electrochemical performance of MnO</w:t>
      </w:r>
      <w:r>
        <w:rPr>
          <w:rFonts w:hint="eastAsia" w:ascii="Times New Roman" w:hAnsi="Times New Roman" w:eastAsia="宋体"/>
          <w:sz w:val="24"/>
          <w:szCs w:val="24"/>
          <w:vertAlign w:val="subscript"/>
        </w:rPr>
        <w:t>2</w:t>
      </w:r>
      <w:r>
        <w:rPr>
          <w:rFonts w:hint="eastAsia" w:ascii="Times New Roman" w:hAnsi="Times New Roman" w:eastAsia="宋体"/>
          <w:sz w:val="24"/>
          <w:szCs w:val="24"/>
        </w:rPr>
        <w:t>@TiO</w:t>
      </w:r>
      <w:r>
        <w:rPr>
          <w:rFonts w:hint="eastAsia" w:ascii="Times New Roman" w:hAnsi="Times New Roman" w:eastAsia="宋体"/>
          <w:sz w:val="24"/>
          <w:szCs w:val="24"/>
          <w:vertAlign w:val="subscript"/>
        </w:rPr>
        <w:t>2</w:t>
      </w:r>
      <w:r>
        <w:rPr>
          <w:rFonts w:hint="eastAsia" w:ascii="Times New Roman" w:hAnsi="Times New Roman" w:eastAsia="宋体"/>
          <w:sz w:val="24"/>
          <w:szCs w:val="24"/>
        </w:rPr>
        <w:t>-2 anode with different manganese oxide anodes in recent years</w:t>
      </w:r>
    </w:p>
    <w:tbl>
      <w:tblPr>
        <w:tblStyle w:val="6"/>
        <w:tblW w:w="835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701"/>
        <w:gridCol w:w="1701"/>
        <w:gridCol w:w="1276"/>
        <w:gridCol w:w="1701"/>
      </w:tblGrid>
      <w:tr w14:paraId="05C1175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tcBorders>
              <w:top w:val="single" w:color="auto" w:sz="4" w:space="0"/>
              <w:bottom w:val="single" w:color="auto" w:sz="4" w:space="0"/>
            </w:tcBorders>
          </w:tcPr>
          <w:p w14:paraId="2EB2A087"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bookmarkStart w:id="2" w:name="_Hlk172218284"/>
            <w:r>
              <w:rPr>
                <w:rFonts w:hint="eastAsia" w:ascii="Times New Roman" w:hAnsi="Times New Roman" w:eastAsia="宋体"/>
                <w:sz w:val="24"/>
                <w:szCs w:val="24"/>
              </w:rPr>
              <w:t>Cathode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49D83048"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electric current (A g</w:t>
            </w:r>
            <w:r>
              <w:rPr>
                <w:rFonts w:hint="eastAsia" w:ascii="Times New Roman" w:hAnsi="Times New Roman" w:eastAsia="宋体"/>
                <w:sz w:val="24"/>
                <w:szCs w:val="24"/>
                <w:vertAlign w:val="superscript"/>
              </w:rPr>
              <w:t>-1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55887B8C"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Capacity</w:t>
            </w:r>
          </w:p>
          <w:p w14:paraId="3A5B708C"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(mAh g</w:t>
            </w:r>
            <w:r>
              <w:rPr>
                <w:rFonts w:hint="eastAsia" w:ascii="Times New Roman" w:hAnsi="Times New Roman" w:eastAsia="宋体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eastAsia="宋体"/>
                <w:sz w:val="24"/>
                <w:szCs w:val="24"/>
                <w:vertAlign w:val="superscript"/>
              </w:rPr>
              <w:t>1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</w:tcPr>
          <w:p w14:paraId="4A785191"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Retention/Cycles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</w:tcPr>
          <w:p w14:paraId="502340B6"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Ref.</w:t>
            </w:r>
          </w:p>
        </w:tc>
      </w:tr>
      <w:tr w14:paraId="13A7167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tcBorders>
              <w:top w:val="single" w:color="auto" w:sz="4" w:space="0"/>
            </w:tcBorders>
          </w:tcPr>
          <w:p w14:paraId="5BAA497D"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MnO</w:t>
            </w:r>
            <w:r>
              <w:rPr>
                <w:rFonts w:hint="eastAsia" w:ascii="Times New Roman" w:hAnsi="Times New Roman" w:eastAsia="宋体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@TiO</w:t>
            </w:r>
            <w:r>
              <w:rPr>
                <w:rFonts w:hint="eastAsia" w:ascii="Times New Roman" w:hAnsi="Times New Roman" w:eastAsia="宋体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-2</w:t>
            </w:r>
          </w:p>
        </w:tc>
        <w:tc>
          <w:tcPr>
            <w:tcW w:w="1701" w:type="dxa"/>
            <w:tcBorders>
              <w:top w:val="single" w:color="auto" w:sz="4" w:space="0"/>
            </w:tcBorders>
          </w:tcPr>
          <w:p w14:paraId="4E28F0B4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</w:tcBorders>
          </w:tcPr>
          <w:p w14:paraId="5C98D8E6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93.35</w:t>
            </w:r>
          </w:p>
        </w:tc>
        <w:tc>
          <w:tcPr>
            <w:tcW w:w="1276" w:type="dxa"/>
            <w:tcBorders>
              <w:top w:val="single" w:color="auto" w:sz="4" w:space="0"/>
            </w:tcBorders>
          </w:tcPr>
          <w:p w14:paraId="530FA09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97.47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/1500</w:t>
            </w:r>
          </w:p>
        </w:tc>
        <w:tc>
          <w:tcPr>
            <w:tcW w:w="1701" w:type="dxa"/>
            <w:tcBorders>
              <w:top w:val="single" w:color="auto" w:sz="4" w:space="0"/>
            </w:tcBorders>
          </w:tcPr>
          <w:p w14:paraId="1FC4C63F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This work</w:t>
            </w:r>
          </w:p>
        </w:tc>
      </w:tr>
      <w:tr w14:paraId="1252E4B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0C167EDF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MnO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@V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701" w:type="dxa"/>
          </w:tcPr>
          <w:p w14:paraId="7033E7DC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3907A89C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77.45</w:t>
            </w:r>
          </w:p>
        </w:tc>
        <w:tc>
          <w:tcPr>
            <w:tcW w:w="1276" w:type="dxa"/>
          </w:tcPr>
          <w:p w14:paraId="518A4391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73 %/3000</w:t>
            </w:r>
          </w:p>
        </w:tc>
        <w:tc>
          <w:tcPr>
            <w:tcW w:w="1701" w:type="dxa"/>
          </w:tcPr>
          <w:p w14:paraId="2FE8ABE7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instrText xml:space="preserve"> ADDIN EN.CITE &lt;EndNote&gt;&lt;Cite&gt;&lt;Author&gt;Shang&lt;/Author&gt;&lt;Year&gt;2021&lt;/Year&gt;&lt;RecNum&gt;23&lt;/RecNum&gt;&lt;DisplayText&gt;&lt;style face="superscript"&gt;1&lt;/style&gt;&lt;/DisplayText&gt;&lt;record&gt;&lt;rec-number&gt;23&lt;/rec-number&gt;&lt;foreign-keys&gt;&lt;key app="EN" db-id="ffppzs9wsas2xqe9f0ovt9ejd2wer5252fsd" timestamp="0"&gt;23&lt;/key&gt;&lt;/foreign-keys&gt;&lt;ref-type name="Journal Article"&gt;17&lt;/ref-type&gt;&lt;contributors&gt;&lt;authors&gt;&lt;author&gt;Shang, Hongjing&lt;/author&gt;&lt;author&gt;Zhang, Zining&lt;/author&gt;&lt;author&gt;Liu, Chang&lt;/author&gt;&lt;author&gt;Zhang, Xiaole&lt;/author&gt;&lt;author&gt;Li, Song&lt;/author&gt;&lt;author&gt;Wen, Zhongsheng&lt;/author&gt;&lt;author&gt;Ji, Shijun&lt;/author&gt;&lt;author&gt;Sun, Juncai&lt;/author&gt;&lt;/authors&gt;&lt;/contributors&gt;&lt;titles&gt;&lt;title&gt;MnO2@ V2O5 microspheres as cathode materials for high performance aqueous rechargeable Zn-ion battery&lt;/title&gt;&lt;secondary-title&gt;Journal of Electroanalytical Chemistry&lt;/secondary-title&gt;&lt;/titles&gt;&lt;periodical&gt;&lt;full-title&gt;Journal of electroanalytical chemistry&lt;/full-title&gt;&lt;/periodical&gt;&lt;pages&gt;115253&lt;/pages&gt;&lt;volume&gt;890&lt;/volume&gt;&lt;dates&gt;&lt;year&gt;2021&lt;/year&gt;&lt;/dates&gt;&lt;isbn&gt;1572-6657&lt;/isbn&gt;&lt;urls&gt;&lt;/urls&gt;&lt;/record&gt;&lt;/Cite&gt;&lt;/EndNote&gt;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end"/>
            </w:r>
          </w:p>
        </w:tc>
      </w:tr>
      <w:tr w14:paraId="6E93469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111C7196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ε-MnO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@C</w:t>
            </w:r>
          </w:p>
        </w:tc>
        <w:tc>
          <w:tcPr>
            <w:tcW w:w="1701" w:type="dxa"/>
          </w:tcPr>
          <w:p w14:paraId="6BDF3F7B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1B050EE4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172</w:t>
            </w:r>
          </w:p>
        </w:tc>
        <w:tc>
          <w:tcPr>
            <w:tcW w:w="1276" w:type="dxa"/>
          </w:tcPr>
          <w:p w14:paraId="2CF62C6A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91 %/1700</w:t>
            </w:r>
          </w:p>
        </w:tc>
        <w:tc>
          <w:tcPr>
            <w:tcW w:w="1701" w:type="dxa"/>
          </w:tcPr>
          <w:p w14:paraId="7EB7B0E3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instrText xml:space="preserve"> ADDIN EN.CITE &lt;EndNote&gt;&lt;Cite&gt;&lt;Author&gt;Zhao&lt;/Author&gt;&lt;Year&gt;2022&lt;/Year&gt;&lt;RecNum&gt;116&lt;/RecNum&gt;&lt;DisplayText&gt;&lt;style face="superscript"&gt;2&lt;/style&gt;&lt;/DisplayText&gt;&lt;record&gt;&lt;rec-number&gt;116&lt;/rec-number&gt;&lt;foreign-keys&gt;&lt;key app="EN" db-id="ffppzs9wsas2xqe9f0ovt9ejd2wer5252fsd" timestamp="1722841601"&gt;116&lt;/key&gt;&lt;/foreign-keys&gt;&lt;ref-type name="Journal Article"&gt;17&lt;/ref-type&gt;&lt;contributors&gt;&lt;authors&gt;&lt;author&gt;Zhao, Wenyu&lt;/author&gt;&lt;author&gt;Kong, Qingquan&lt;/author&gt;&lt;author&gt;Wu, Xiaoqiang&lt;/author&gt;&lt;author&gt;An, Xuguang&lt;/author&gt;&lt;author&gt;Zhang, Jing&lt;/author&gt;&lt;author&gt;Liu, Xiaonan&lt;/author&gt;&lt;author&gt;Yao, Weitang&lt;/author&gt;&lt;/authors&gt;&lt;/contributors&gt;&lt;titles&gt;&lt;title&gt;ε-MnO2@ C cathode with high stability for aqueous zinc-ion batteries&lt;/title&gt;&lt;secondary-title&gt;Applied Surface Science&lt;/secondary-title&gt;&lt;/titles&gt;&lt;periodical&gt;&lt;full-title&gt;Applied Surface Science&lt;/full-title&gt;&lt;/periodical&gt;&lt;pages&gt;154685&lt;/pages&gt;&lt;volume&gt;605&lt;/volume&gt;&lt;dates&gt;&lt;year&gt;2022&lt;/year&gt;&lt;/dates&gt;&lt;isbn&gt;0169-4332&lt;/isbn&gt;&lt;urls&gt;&lt;/urls&gt;&lt;/record&gt;&lt;/Cite&gt;&lt;/EndNote&gt;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end"/>
            </w:r>
          </w:p>
        </w:tc>
      </w:tr>
      <w:tr w14:paraId="27D3DF3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230736AB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α-MnO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@LMO</w:t>
            </w:r>
          </w:p>
        </w:tc>
        <w:tc>
          <w:tcPr>
            <w:tcW w:w="1701" w:type="dxa"/>
          </w:tcPr>
          <w:p w14:paraId="471FBE49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53EE2B2E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115</w:t>
            </w:r>
          </w:p>
        </w:tc>
        <w:tc>
          <w:tcPr>
            <w:tcW w:w="1276" w:type="dxa"/>
          </w:tcPr>
          <w:p w14:paraId="14E70628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90 %/1500</w:t>
            </w:r>
          </w:p>
        </w:tc>
        <w:tc>
          <w:tcPr>
            <w:tcW w:w="1701" w:type="dxa"/>
          </w:tcPr>
          <w:p w14:paraId="62550659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instrText xml:space="preserve"> ADDIN EN.CITE &lt;EndNote&gt;&lt;Cite&gt;&lt;Author&gt;Li&lt;/Author&gt;&lt;Year&gt;2024&lt;/Year&gt;&lt;RecNum&gt;118&lt;/RecNum&gt;&lt;DisplayText&gt;&lt;style face="superscript"&gt;3&lt;/style&gt;&lt;/DisplayText&gt;&lt;record&gt;&lt;rec-number&gt;118&lt;/rec-number&gt;&lt;foreign-keys&gt;&lt;key app="EN" db-id="ffppzs9wsas2xqe9f0ovt9ejd2wer5252fsd" timestamp="1723277653"&gt;118&lt;/key&gt;&lt;/foreign-keys&gt;&lt;ref-type name="Journal Article"&gt;17&lt;/ref-type&gt;&lt;contributors&gt;&lt;authors&gt;&lt;author&gt;Li, Huangmin&lt;/author&gt;&lt;author&gt;Zhou, Xiaoliang&lt;/author&gt;&lt;author&gt;Liu, Limin&lt;/author&gt;&lt;author&gt;Huang, Di&lt;/author&gt;&lt;author&gt;Zhang, Wanxing&lt;/author&gt;&lt;author&gt;Zhang, Shuo&lt;/author&gt;&lt;/authors&gt;&lt;/contributors&gt;&lt;titles&gt;&lt;title&gt;Hierarchical α-MnO2@ LaxMn1-xO2-δ core–shell nanostructure cathode for high-performance aqueous Zn-ion batteries&lt;/title&gt;&lt;secondary-title&gt;Ionics&lt;/secondary-title&gt;&lt;/titles&gt;&lt;periodical&gt;&lt;full-title&gt;Ionics&lt;/full-title&gt;&lt;/periodical&gt;&lt;pages&gt;1-11&lt;/pages&gt;&lt;dates&gt;&lt;year&gt;2024&lt;/year&gt;&lt;/dates&gt;&lt;isbn&gt;0947-7047&lt;/isbn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end"/>
            </w:r>
          </w:p>
        </w:tc>
      </w:tr>
      <w:tr w14:paraId="5BBFA5F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7BC822EA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KMO</w:t>
            </w:r>
          </w:p>
        </w:tc>
        <w:tc>
          <w:tcPr>
            <w:tcW w:w="1701" w:type="dxa"/>
          </w:tcPr>
          <w:p w14:paraId="47F05A5A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6AC70589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99.6</w:t>
            </w:r>
          </w:p>
        </w:tc>
        <w:tc>
          <w:tcPr>
            <w:tcW w:w="1276" w:type="dxa"/>
          </w:tcPr>
          <w:p w14:paraId="702C469D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50.74 % /1400</w:t>
            </w:r>
          </w:p>
        </w:tc>
        <w:tc>
          <w:tcPr>
            <w:tcW w:w="1701" w:type="dxa"/>
          </w:tcPr>
          <w:p w14:paraId="6D9DD9F6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instrText xml:space="preserve"> ADDIN EN.CITE &lt;EndNote&gt;&lt;Cite&gt;&lt;Author&gt;Yang&lt;/Author&gt;&lt;Year&gt;2023&lt;/Year&gt;&lt;RecNum&gt;33&lt;/RecNum&gt;&lt;DisplayText&gt;&lt;style face="superscript"&gt;4&lt;/style&gt;&lt;/DisplayText&gt;&lt;record&gt;&lt;rec-number&gt;33&lt;/rec-number&gt;&lt;foreign-keys&gt;&lt;key app="EN" db-id="ffppzs9wsas2xqe9f0ovt9ejd2wer5252fsd" timestamp="0"&gt;33&lt;/key&gt;&lt;/foreign-keys&gt;&lt;ref-type name="Journal Article"&gt;17&lt;/ref-type&gt;&lt;contributors&gt;&lt;authors&gt;&lt;author&gt;Yang, Qiaoling&lt;/author&gt;&lt;author&gt;Chen, Yaopeng&lt;/author&gt;&lt;author&gt;Yang, Yao&lt;/author&gt;&lt;author&gt;Xu, Tianxing&lt;/author&gt;&lt;author&gt;Lin, Yin&lt;/author&gt;&lt;author&gt;Zhang, Xueliang&lt;/author&gt;&lt;author&gt;Wang, Jue&lt;/author&gt;&lt;author&gt;Liu, You-Nian&lt;/author&gt;&lt;author&gt;Li, Yajuan&lt;/author&gt;&lt;/authors&gt;&lt;/contributors&gt;&lt;titles&gt;&lt;title&gt;Batch Synthesis of K-Doped α-MnO2 Nanorods as Cathode Materials for Aqueous Zinc-Ion Battery&lt;/title&gt;&lt;secondary-title&gt;Industrial &amp;amp; Engineering Chemistry Research&lt;/secondary-title&gt;&lt;/titles&gt;&lt;pages&gt;16757-16765&lt;/pages&gt;&lt;volume&gt;62&lt;/volume&gt;&lt;number&gt;41&lt;/number&gt;&lt;dates&gt;&lt;year&gt;2023&lt;/year&gt;&lt;/dates&gt;&lt;isbn&gt;0888-5885&lt;/isbn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4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end"/>
            </w:r>
          </w:p>
        </w:tc>
      </w:tr>
      <w:tr w14:paraId="39519A6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03444177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Ag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bscript"/>
              </w:rPr>
              <w:t>0.4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Mn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bscript"/>
              </w:rPr>
              <w:t>8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1701" w:type="dxa"/>
          </w:tcPr>
          <w:p w14:paraId="6C902674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71202122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110</w:t>
            </w:r>
          </w:p>
        </w:tc>
        <w:tc>
          <w:tcPr>
            <w:tcW w:w="1276" w:type="dxa"/>
          </w:tcPr>
          <w:p w14:paraId="78A402F8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50 %/800</w:t>
            </w:r>
          </w:p>
        </w:tc>
        <w:tc>
          <w:tcPr>
            <w:tcW w:w="1701" w:type="dxa"/>
          </w:tcPr>
          <w:p w14:paraId="4712DA68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instrText xml:space="preserve"> ADDIN EN.CITE &lt;EndNote&gt;&lt;Cite&gt;&lt;Author&gt;Fenta&lt;/Author&gt;&lt;Year&gt;2022&lt;/Year&gt;&lt;RecNum&gt;70&lt;/RecNum&gt;&lt;DisplayText&gt;&lt;style face="superscript"&gt;5&lt;/style&gt;&lt;/DisplayText&gt;&lt;record&gt;&lt;rec-number&gt;70&lt;/rec-number&gt;&lt;foreign-keys&gt;&lt;key app="EN" db-id="ffppzs9wsas2xqe9f0ovt9ejd2wer5252fsd" timestamp="0"&gt;70&lt;/key&gt;&lt;/foreign-keys&gt;&lt;ref-type name="Journal Article"&gt;17&lt;/ref-type&gt;&lt;contributors&gt;&lt;authors&gt;&lt;author&gt;Fenta, Fekadu Wubatu&lt;/author&gt;&lt;author&gt;Olbasa, Bizualem Wakuma&lt;/author&gt;&lt;author&gt;Tsai, Meng-Che&lt;/author&gt;&lt;author&gt;Temesgen, Nigusu Tiruneh&lt;/author&gt;&lt;author&gt;Huang, Wei-Hsiang&lt;/author&gt;&lt;author&gt;Tekaligne, Teshager Mekonnen&lt;/author&gt;&lt;author&gt;Nikodimos, Yosef&lt;/author&gt;&lt;author&gt;Wu, She-huang&lt;/author&gt;&lt;author&gt;Su, Wei-Nien&lt;/author&gt;&lt;author&gt;Dai, Hongjie&lt;/author&gt;&lt;/authors&gt;&lt;/contributors&gt;&lt;titles&gt;&lt;title&gt;Structural engineering of α-MnO2 cathode by Ag+ incorporation for high capacity aqueous zinc-ion batteries&lt;/title&gt;&lt;secondary-title&gt;Journal of Power Sources&lt;/secondary-title&gt;&lt;/titles&gt;&lt;pages&gt;232010&lt;/pages&gt;&lt;volume&gt;548&lt;/volume&gt;&lt;dates&gt;&lt;year&gt;2022&lt;/year&gt;&lt;/dates&gt;&lt;isbn&gt;0378-7753&lt;/isbn&gt;&lt;urls&gt;&lt;/urls&gt;&lt;/record&gt;&lt;/Cite&gt;&lt;/EndNote&gt;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end"/>
            </w:r>
          </w:p>
        </w:tc>
      </w:tr>
      <w:tr w14:paraId="2B44653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1BEFF1F3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α-MnO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/super-P</w:t>
            </w:r>
          </w:p>
        </w:tc>
        <w:tc>
          <w:tcPr>
            <w:tcW w:w="1701" w:type="dxa"/>
          </w:tcPr>
          <w:p w14:paraId="5F21A7E7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293344B4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84.6</w:t>
            </w:r>
          </w:p>
        </w:tc>
        <w:tc>
          <w:tcPr>
            <w:tcW w:w="1276" w:type="dxa"/>
          </w:tcPr>
          <w:p w14:paraId="2EDF6391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47 %/1000</w:t>
            </w:r>
          </w:p>
        </w:tc>
        <w:tc>
          <w:tcPr>
            <w:tcW w:w="1701" w:type="dxa"/>
          </w:tcPr>
          <w:p w14:paraId="4AFB71AA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instrText xml:space="preserve"> ADDIN EN.CITE &lt;EndNote&gt;&lt;Cite&gt;&lt;Author&gt;Yang&lt;/Author&gt;&lt;Year&gt;2021&lt;/Year&gt;&lt;RecNum&gt;119&lt;/RecNum&gt;&lt;DisplayText&gt;&lt;style face="superscript"&gt;6&lt;/style&gt;&lt;/DisplayText&gt;&lt;record&gt;&lt;rec-number&gt;119&lt;/rec-number&gt;&lt;foreign-keys&gt;&lt;key app="EN" db-id="ffppzs9wsas2xqe9f0ovt9ejd2wer5252fsd" timestamp="1723279606"&gt;119&lt;/key&gt;&lt;/foreign-keys&gt;&lt;ref-type name="Journal Article"&gt;17&lt;/ref-type&gt;&lt;contributors&gt;&lt;authors&gt;&lt;author&gt;Yang, Chao&lt;/author&gt;&lt;author&gt;Wu, Qiong&lt;/author&gt;&lt;author&gt;Cao, Yong&lt;/author&gt;&lt;author&gt;Gao, Yuanyuan&lt;/author&gt;&lt;author&gt;Li, Anran&lt;/author&gt;&lt;author&gt;Liu, Xinjie&lt;/author&gt;&lt;author&gt;Zhang, Xinlong&lt;/author&gt;&lt;author&gt;Tian, Zhongliang&lt;/author&gt;&lt;author&gt;Liu, Rongmei&lt;/author&gt;&lt;/authors&gt;&lt;/contributors&gt;&lt;titles&gt;&lt;title&gt;α-MnO2/super-P with conductive carbon network for rechargeable aqueous Zinc ion batteries&lt;/title&gt;&lt;secondary-title&gt;Materials Letters&lt;/secondary-title&gt;&lt;/titles&gt;&lt;periodical&gt;&lt;full-title&gt;Materials Letters&lt;/full-title&gt;&lt;/periodical&gt;&lt;pages&gt;130419&lt;/pages&gt;&lt;volume&gt;302&lt;/volume&gt;&lt;dates&gt;&lt;year&gt;2021&lt;/year&gt;&lt;/dates&gt;&lt;isbn&gt;0167-577X&lt;/isbn&gt;&lt;urls&gt;&lt;/urls&gt;&lt;/record&gt;&lt;/Cite&gt;&lt;/EndNote&gt;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6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end"/>
            </w:r>
          </w:p>
        </w:tc>
      </w:tr>
      <w:tr w14:paraId="4759243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61CCA0F7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α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MnO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@DCDA</w:t>
            </w:r>
          </w:p>
        </w:tc>
        <w:tc>
          <w:tcPr>
            <w:tcW w:w="1701" w:type="dxa"/>
          </w:tcPr>
          <w:p w14:paraId="02480990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20A38705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102.6</w:t>
            </w:r>
          </w:p>
        </w:tc>
        <w:tc>
          <w:tcPr>
            <w:tcW w:w="1276" w:type="dxa"/>
          </w:tcPr>
          <w:p w14:paraId="3C7F9D04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62 %/1500</w:t>
            </w:r>
          </w:p>
        </w:tc>
        <w:tc>
          <w:tcPr>
            <w:tcW w:w="1701" w:type="dxa"/>
          </w:tcPr>
          <w:p w14:paraId="06B776E7"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instrText xml:space="preserve"> ADDIN EN.CITE &lt;EndNote&gt;&lt;Cite&gt;&lt;Author&gt;Lu&lt;/Author&gt;&lt;Year&gt;2024&lt;/Year&gt;&lt;RecNum&gt;120&lt;/RecNum&gt;&lt;DisplayText&gt;&lt;style face="superscript"&gt;7&lt;/style&gt;&lt;/DisplayText&gt;&lt;record&gt;&lt;rec-number&gt;120&lt;/rec-number&gt;&lt;foreign-keys&gt;&lt;key app="EN" db-id="ffppzs9wsas2xqe9f0ovt9ejd2wer5252fsd" timestamp="1723279833"&gt;120&lt;/key&gt;&lt;/foreign-keys&gt;&lt;ref-type name="Journal Article"&gt;17&lt;/ref-type&gt;&lt;contributors&gt;&lt;authors&gt;&lt;author&gt;Lu, Cui-hong&lt;/author&gt;&lt;author&gt;Du, Dan&lt;/author&gt;&lt;/authors&gt;&lt;/contributors&gt;&lt;titles&gt;&lt;title&gt;Construction of dicyandiamide-coated manganese dioxide composite and its mechanism for improving zinc storage performance&lt;/title&gt;&lt;secondary-title&gt;Journal of Central South University&lt;/secondary-title&gt;&lt;/titles&gt;&lt;periodical&gt;&lt;full-title&gt;Journal of Central South University&lt;/full-title&gt;&lt;/periodical&gt;&lt;pages&gt;1443-1460&lt;/pages&gt;&lt;volume&gt;31&lt;/volume&gt;&lt;number&gt;5&lt;/number&gt;&lt;dates&gt;&lt;year&gt;2024&lt;/year&gt;&lt;/dates&gt;&lt;isbn&gt;2095-2899&lt;/isbn&gt;&lt;urls&gt;&lt;/urls&gt;&lt;/record&gt;&lt;/Cite&gt;&lt;/EndNote&gt;</w:instrTex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7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end"/>
            </w:r>
          </w:p>
        </w:tc>
      </w:tr>
      <w:bookmarkEnd w:id="2"/>
    </w:tbl>
    <w:p w14:paraId="52650A6D"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</w:p>
    <w:p w14:paraId="5E9B3B95">
      <w:pPr>
        <w:spacing w:line="480" w:lineRule="auto"/>
        <w:jc w:val="right"/>
      </w:pPr>
      <w:r>
        <w:rPr>
          <w:rFonts w:hint="eastAsia"/>
        </w:rPr>
        <w:drawing>
          <wp:inline distT="0" distB="0" distL="0" distR="0">
            <wp:extent cx="4967605" cy="4091305"/>
            <wp:effectExtent l="0" t="0" r="4445" b="4445"/>
            <wp:docPr id="18215513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55130" name="图片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8000" cy="4091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4C51C"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宋体"/>
          <w:b/>
          <w:bCs/>
          <w:sz w:val="24"/>
          <w:szCs w:val="24"/>
        </w:rPr>
        <w:t xml:space="preserve">2. </w:t>
      </w:r>
      <w:r>
        <w:rPr>
          <w:rFonts w:hint="eastAsia" w:ascii="Times New Roman" w:hAnsi="Times New Roman" w:eastAsia="宋体"/>
          <w:sz w:val="24"/>
          <w:szCs w:val="24"/>
        </w:rPr>
        <w:t>(a)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宋体"/>
          <w:sz w:val="24"/>
          <w:szCs w:val="24"/>
        </w:rPr>
        <w:t>Coin cell battery successfully lights up the electronic watch, (b)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宋体"/>
          <w:sz w:val="24"/>
          <w:szCs w:val="24"/>
        </w:rPr>
        <w:t>CV curves of MnO</w:t>
      </w:r>
      <w:r>
        <w:rPr>
          <w:rFonts w:hint="eastAsia" w:ascii="Times New Roman" w:hAnsi="Times New Roman" w:eastAsia="宋体"/>
          <w:sz w:val="24"/>
          <w:szCs w:val="24"/>
          <w:vertAlign w:val="subscript"/>
        </w:rPr>
        <w:t>2</w:t>
      </w:r>
      <w:r>
        <w:rPr>
          <w:rFonts w:hint="eastAsia" w:ascii="Times New Roman" w:hAnsi="Times New Roman" w:eastAsia="宋体"/>
          <w:sz w:val="24"/>
          <w:szCs w:val="24"/>
        </w:rPr>
        <w:t xml:space="preserve"> at different scan rates, (c) Linear logarithmic plot between scan rate and peak current response value for MnO</w:t>
      </w:r>
      <w:r>
        <w:rPr>
          <w:rFonts w:hint="eastAsia" w:ascii="Times New Roman" w:hAnsi="Times New Roman" w:eastAsia="宋体"/>
          <w:sz w:val="24"/>
          <w:szCs w:val="24"/>
          <w:vertAlign w:val="subscript"/>
        </w:rPr>
        <w:t>2</w:t>
      </w:r>
      <w:r>
        <w:rPr>
          <w:rFonts w:hint="eastAsia" w:ascii="Times New Roman" w:hAnsi="Times New Roman" w:eastAsia="宋体"/>
          <w:sz w:val="24"/>
          <w:szCs w:val="24"/>
        </w:rPr>
        <w:t>, (c) Contributions of capacitance control and diffusion control at different scan rates for MnO</w:t>
      </w:r>
      <w:r>
        <w:rPr>
          <w:rFonts w:hint="eastAsia" w:ascii="Times New Roman" w:hAnsi="Times New Roman" w:eastAsia="宋体"/>
          <w:sz w:val="24"/>
          <w:szCs w:val="24"/>
          <w:vertAlign w:val="subscript"/>
        </w:rPr>
        <w:t>2</w:t>
      </w:r>
      <w:r>
        <w:rPr>
          <w:rFonts w:hint="eastAsia" w:ascii="Times New Roman" w:hAnsi="Times New Roman" w:eastAsia="宋体"/>
          <w:sz w:val="24"/>
          <w:szCs w:val="24"/>
        </w:rPr>
        <w:t>.</w:t>
      </w:r>
    </w:p>
    <w:p w14:paraId="5F9E818C"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</w:p>
    <w:p w14:paraId="54A281B1"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</w:p>
    <w:p w14:paraId="7ED5C454"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</w:p>
    <w:p w14:paraId="6484B81B"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</w:p>
    <w:p w14:paraId="231F71CC"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</w:p>
    <w:p w14:paraId="0149DE3E"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</w:p>
    <w:p w14:paraId="644CFE0A"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</w:p>
    <w:p w14:paraId="2FFB27AD">
      <w:pPr>
        <w:spacing w:line="480" w:lineRule="auto"/>
        <w:jc w:val="left"/>
        <w:rPr>
          <w:rFonts w:ascii="Times New Roman" w:hAnsi="Times New Roman" w:eastAsia="宋体"/>
          <w:sz w:val="24"/>
          <w:szCs w:val="24"/>
        </w:rPr>
      </w:pPr>
    </w:p>
    <w:p w14:paraId="661ACEBA">
      <w:pPr>
        <w:spacing w:line="48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REFERENCES</w:t>
      </w:r>
    </w:p>
    <w:p w14:paraId="0DC4121E">
      <w:pPr>
        <w:pStyle w:val="13"/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ADDIN EN.REFLIST </w:instrText>
      </w:r>
      <w:r>
        <w:rPr>
          <w:rFonts w:hint="eastAsia"/>
        </w:rPr>
        <w:fldChar w:fldCharType="separate"/>
      </w:r>
      <w:r>
        <w:rPr>
          <w:rFonts w:hint="eastAsia"/>
        </w:rPr>
        <w:t>(1)</w:t>
      </w:r>
      <w:r>
        <w:rPr>
          <w:rFonts w:hint="eastAsia"/>
        </w:rPr>
        <w:tab/>
      </w:r>
      <w:r>
        <w:rPr>
          <w:rFonts w:hint="eastAsia"/>
        </w:rPr>
        <w:t xml:space="preserve">Shang, H.;  Zhang, Z.;  Liu, C.;  Zhang, X.;  Li, S.;  Wen, Z.;  Ji, S.; Sun, J., MnO2@ V2O5 microspheres as cathode materials for high performance aqueous rechargeable Zn-ion battery. </w:t>
      </w:r>
      <w:r>
        <w:rPr>
          <w:rFonts w:hint="eastAsia"/>
          <w:i/>
        </w:rPr>
        <w:t xml:space="preserve">Journal of Electroanalytical Chemistry </w:t>
      </w:r>
      <w:r>
        <w:rPr>
          <w:rFonts w:hint="eastAsia"/>
          <w:b/>
        </w:rPr>
        <w:t>2021,</w:t>
      </w:r>
      <w:r>
        <w:rPr>
          <w:rFonts w:hint="eastAsia"/>
        </w:rPr>
        <w:t xml:space="preserve"> </w:t>
      </w:r>
      <w:r>
        <w:rPr>
          <w:rFonts w:hint="eastAsia"/>
          <w:i/>
        </w:rPr>
        <w:t>890</w:t>
      </w:r>
      <w:r>
        <w:rPr>
          <w:rFonts w:hint="eastAsia"/>
        </w:rPr>
        <w:t>, 115253.</w:t>
      </w:r>
    </w:p>
    <w:p w14:paraId="02A0FA97">
      <w:pPr>
        <w:pStyle w:val="13"/>
      </w:pPr>
      <w:r>
        <w:rPr>
          <w:rFonts w:hint="eastAsia"/>
        </w:rPr>
        <w:t>(2)</w:t>
      </w:r>
      <w:r>
        <w:rPr>
          <w:rFonts w:hint="eastAsia"/>
        </w:rPr>
        <w:tab/>
      </w:r>
      <w:r>
        <w:rPr>
          <w:rFonts w:hint="eastAsia"/>
        </w:rPr>
        <w:t xml:space="preserve">Zhao, W.;  Kong, Q.;  Wu, X.;  An, X.;  Zhang, J.;  Liu, X.; Yao, W., ε-MnO2@ C cathode with high stability for aqueous zinc-ion batteries. </w:t>
      </w:r>
      <w:r>
        <w:rPr>
          <w:rFonts w:hint="eastAsia"/>
          <w:i/>
        </w:rPr>
        <w:t xml:space="preserve">Applied Surface Science </w:t>
      </w:r>
      <w:r>
        <w:rPr>
          <w:rFonts w:hint="eastAsia"/>
          <w:b/>
        </w:rPr>
        <w:t>2022,</w:t>
      </w:r>
      <w:r>
        <w:rPr>
          <w:rFonts w:hint="eastAsia"/>
        </w:rPr>
        <w:t xml:space="preserve"> </w:t>
      </w:r>
      <w:r>
        <w:rPr>
          <w:rFonts w:hint="eastAsia"/>
          <w:i/>
        </w:rPr>
        <w:t>605</w:t>
      </w:r>
      <w:r>
        <w:rPr>
          <w:rFonts w:hint="eastAsia"/>
        </w:rPr>
        <w:t>, 154685.</w:t>
      </w:r>
    </w:p>
    <w:p w14:paraId="14E8E412">
      <w:pPr>
        <w:pStyle w:val="13"/>
      </w:pPr>
      <w:r>
        <w:rPr>
          <w:rFonts w:hint="eastAsia"/>
        </w:rPr>
        <w:t>(3)</w:t>
      </w:r>
      <w:r>
        <w:rPr>
          <w:rFonts w:hint="eastAsia"/>
        </w:rPr>
        <w:tab/>
      </w:r>
      <w:r>
        <w:rPr>
          <w:rFonts w:hint="eastAsia"/>
        </w:rPr>
        <w:t xml:space="preserve">Li, H.;  Zhou, X.;  Liu, L.;  Huang, D.;  Zhang, W.; Zhang, S., Hierarchical α-MnO2@ LaxMn1-xO2-δ core–shell nanostructure cathode for high-performance aqueous Zn-ion batteries. </w:t>
      </w:r>
      <w:r>
        <w:rPr>
          <w:rFonts w:hint="eastAsia"/>
          <w:i/>
        </w:rPr>
        <w:t xml:space="preserve">Ionics </w:t>
      </w:r>
      <w:r>
        <w:rPr>
          <w:rFonts w:hint="eastAsia"/>
          <w:b/>
        </w:rPr>
        <w:t>2024</w:t>
      </w:r>
      <w:r>
        <w:rPr>
          <w:rFonts w:hint="eastAsia"/>
        </w:rPr>
        <w:t>, 1-11.</w:t>
      </w:r>
    </w:p>
    <w:p w14:paraId="1F955BEB">
      <w:pPr>
        <w:pStyle w:val="13"/>
      </w:pPr>
      <w:r>
        <w:rPr>
          <w:rFonts w:hint="eastAsia"/>
        </w:rPr>
        <w:t>(4)</w:t>
      </w:r>
      <w:r>
        <w:rPr>
          <w:rFonts w:hint="eastAsia"/>
        </w:rPr>
        <w:tab/>
      </w:r>
      <w:r>
        <w:rPr>
          <w:rFonts w:hint="eastAsia"/>
        </w:rPr>
        <w:t xml:space="preserve">Yang, Q.;  Chen, Y.;  Yang, Y.;  Xu, T.;  Lin, Y.;  Zhang, X.;  Wang, J.;  Liu, Y.-N.; Li, Y., Batch Synthesis of K-Doped α-MnO2 Nanorods as Cathode Materials for Aqueous Zinc-Ion Battery. </w:t>
      </w:r>
      <w:r>
        <w:rPr>
          <w:rFonts w:hint="eastAsia"/>
          <w:i/>
        </w:rPr>
        <w:t xml:space="preserve">Industrial &amp; Engineering Chemistry Research </w:t>
      </w:r>
      <w:r>
        <w:rPr>
          <w:rFonts w:hint="eastAsia"/>
          <w:b/>
        </w:rPr>
        <w:t>2023,</w:t>
      </w:r>
      <w:r>
        <w:rPr>
          <w:rFonts w:hint="eastAsia"/>
        </w:rPr>
        <w:t xml:space="preserve"> </w:t>
      </w:r>
      <w:r>
        <w:rPr>
          <w:rFonts w:hint="eastAsia"/>
          <w:i/>
        </w:rPr>
        <w:t>62</w:t>
      </w:r>
      <w:r>
        <w:rPr>
          <w:rFonts w:hint="eastAsia"/>
        </w:rPr>
        <w:t xml:space="preserve"> (41), 16757-16765.</w:t>
      </w:r>
    </w:p>
    <w:p w14:paraId="7AE7C5A9">
      <w:pPr>
        <w:pStyle w:val="13"/>
      </w:pPr>
      <w:r>
        <w:rPr>
          <w:rFonts w:hint="eastAsia"/>
        </w:rPr>
        <w:t>(5)</w:t>
      </w:r>
      <w:r>
        <w:rPr>
          <w:rFonts w:hint="eastAsia"/>
        </w:rPr>
        <w:tab/>
      </w:r>
      <w:r>
        <w:rPr>
          <w:rFonts w:hint="eastAsia"/>
        </w:rPr>
        <w:t xml:space="preserve">Fenta, F. W.;  Olbasa, B. W.;  Tsai, M.-C.;  Temesgen, N. T.;  Huang, W.-H.;  Tekaligne, T. M.;  Nikodimos, Y.;  Wu, S.-h.;  Su, W.-N.; Dai, H., Structural engineering of α-MnO2 cathode by Ag+ incorporation for high capacity aqueous zinc-ion batteries. </w:t>
      </w:r>
      <w:r>
        <w:rPr>
          <w:rFonts w:hint="eastAsia"/>
          <w:i/>
        </w:rPr>
        <w:t xml:space="preserve">Journal of Power Sources </w:t>
      </w:r>
      <w:r>
        <w:rPr>
          <w:rFonts w:hint="eastAsia"/>
          <w:b/>
        </w:rPr>
        <w:t>2022,</w:t>
      </w:r>
      <w:r>
        <w:rPr>
          <w:rFonts w:hint="eastAsia"/>
        </w:rPr>
        <w:t xml:space="preserve"> </w:t>
      </w:r>
      <w:r>
        <w:rPr>
          <w:rFonts w:hint="eastAsia"/>
          <w:i/>
        </w:rPr>
        <w:t>548</w:t>
      </w:r>
      <w:r>
        <w:rPr>
          <w:rFonts w:hint="eastAsia"/>
        </w:rPr>
        <w:t>, 232010.</w:t>
      </w:r>
    </w:p>
    <w:p w14:paraId="229112BA">
      <w:pPr>
        <w:pStyle w:val="13"/>
      </w:pPr>
      <w:r>
        <w:rPr>
          <w:rFonts w:hint="eastAsia"/>
        </w:rPr>
        <w:t>(6)</w:t>
      </w:r>
      <w:r>
        <w:rPr>
          <w:rFonts w:hint="eastAsia"/>
        </w:rPr>
        <w:tab/>
      </w:r>
      <w:r>
        <w:rPr>
          <w:rFonts w:hint="eastAsia"/>
        </w:rPr>
        <w:t xml:space="preserve">Yang, C.;  Wu, Q.;  Cao, Y.;  Gao, Y.;  Li, A.;  Liu, X.;  Zhang, X.;  Tian, Z.; Liu, R., α-MnO2/super-P with conductive carbon network for rechargeable aqueous Zinc ion batteries. </w:t>
      </w:r>
      <w:r>
        <w:rPr>
          <w:rFonts w:hint="eastAsia"/>
          <w:i/>
        </w:rPr>
        <w:t xml:space="preserve">Materials Letters </w:t>
      </w:r>
      <w:r>
        <w:rPr>
          <w:rFonts w:hint="eastAsia"/>
          <w:b/>
        </w:rPr>
        <w:t>2021,</w:t>
      </w:r>
      <w:r>
        <w:rPr>
          <w:rFonts w:hint="eastAsia"/>
        </w:rPr>
        <w:t xml:space="preserve"> </w:t>
      </w:r>
      <w:r>
        <w:rPr>
          <w:rFonts w:hint="eastAsia"/>
          <w:i/>
        </w:rPr>
        <w:t>302</w:t>
      </w:r>
      <w:r>
        <w:rPr>
          <w:rFonts w:hint="eastAsia"/>
        </w:rPr>
        <w:t>, 130419.</w:t>
      </w:r>
    </w:p>
    <w:p w14:paraId="4873D334">
      <w:pPr>
        <w:pStyle w:val="13"/>
      </w:pPr>
      <w:r>
        <w:rPr>
          <w:rFonts w:hint="eastAsia"/>
        </w:rPr>
        <w:t>(7)</w:t>
      </w:r>
      <w:r>
        <w:rPr>
          <w:rFonts w:hint="eastAsia"/>
        </w:rPr>
        <w:tab/>
      </w:r>
      <w:r>
        <w:rPr>
          <w:rFonts w:hint="eastAsia"/>
        </w:rPr>
        <w:t xml:space="preserve">Lu, C.-h.; Du, D., Construction of dicyandiamide-coated manganese dioxide composite and its mechanism for improving zinc storage performance. </w:t>
      </w:r>
      <w:r>
        <w:rPr>
          <w:rFonts w:hint="eastAsia"/>
          <w:i/>
        </w:rPr>
        <w:t xml:space="preserve">Journal of Central South University </w:t>
      </w:r>
      <w:r>
        <w:rPr>
          <w:rFonts w:hint="eastAsia"/>
          <w:b/>
        </w:rPr>
        <w:t>2024,</w:t>
      </w:r>
      <w:r>
        <w:rPr>
          <w:rFonts w:hint="eastAsia"/>
        </w:rPr>
        <w:t xml:space="preserve"> </w:t>
      </w:r>
      <w:r>
        <w:rPr>
          <w:rFonts w:hint="eastAsia"/>
          <w:i/>
        </w:rPr>
        <w:t>31</w:t>
      </w:r>
      <w:r>
        <w:rPr>
          <w:rFonts w:hint="eastAsia"/>
        </w:rPr>
        <w:t xml:space="preserve"> (5), 1443-1460.</w:t>
      </w:r>
    </w:p>
    <w:p w14:paraId="7FBD4C42">
      <w:pPr>
        <w:spacing w:line="480" w:lineRule="auto"/>
        <w:jc w:val="left"/>
      </w:pPr>
      <w:r>
        <w:rPr>
          <w:rFonts w:hint="eastAsia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4DA8FB35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Style w:val="8"/>
          <w:rFonts w:hint="default" w:ascii="等线" w:hAnsi="等线" w:eastAsia="等线" w:cs="Symbol"/>
          <w:kern w:val="2"/>
          <w:sz w:val="21"/>
          <w:szCs w:val="22"/>
          <w:lang w:val="en-US" w:eastAsia="zh-CN" w:bidi="ar"/>
          <w14:ligatures w14:val="standardContextual"/>
        </w:rPr>
        <w:sym w:font="Symbol" w:char="002A"/>
      </w: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  <w14:ligatures w14:val="standardContextual"/>
        </w:rPr>
        <w:t xml:space="preserve"> Corresponding author: </w:t>
      </w: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  <w14:ligatures w14:val="standardContextual"/>
        </w:rPr>
        <w:t>szxyhsxyzj@163.com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iZjc1ZGFhZWFhZTY5NjEwMjhhZWE3Mzg2OTY0NmE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Applied Materials Interface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fppzs9wsas2xqe9f0ovt9ejd2wer5252fsd&quot;&gt;Untitled&lt;record-ids&gt;&lt;item&gt;23&lt;/item&gt;&lt;item&gt;33&lt;/item&gt;&lt;item&gt;70&lt;/item&gt;&lt;item&gt;116&lt;/item&gt;&lt;item&gt;118&lt;/item&gt;&lt;item&gt;119&lt;/item&gt;&lt;item&gt;120&lt;/item&gt;&lt;/record-ids&gt;&lt;/item&gt;&lt;/Libraries&gt;"/>
  </w:docVars>
  <w:rsids>
    <w:rsidRoot w:val="00414C01"/>
    <w:rsid w:val="00035897"/>
    <w:rsid w:val="00167E7A"/>
    <w:rsid w:val="001A4945"/>
    <w:rsid w:val="00266A7E"/>
    <w:rsid w:val="003E47E9"/>
    <w:rsid w:val="00414C01"/>
    <w:rsid w:val="00531EA2"/>
    <w:rsid w:val="0092494C"/>
    <w:rsid w:val="009B21EB"/>
    <w:rsid w:val="00A765E3"/>
    <w:rsid w:val="00A94A9D"/>
    <w:rsid w:val="00AD574B"/>
    <w:rsid w:val="00B843B0"/>
    <w:rsid w:val="00BA1AEE"/>
    <w:rsid w:val="00D90064"/>
    <w:rsid w:val="00DB5C3C"/>
    <w:rsid w:val="00E85F08"/>
    <w:rsid w:val="2883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otnote reference"/>
    <w:basedOn w:val="7"/>
    <w:semiHidden/>
    <w:unhideWhenUsed/>
    <w:uiPriority w:val="99"/>
    <w:rPr>
      <w:vertAlign w:val="superscript"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paragraph" w:customStyle="1" w:styleId="11">
    <w:name w:val="EndNote Bibliography Title"/>
    <w:basedOn w:val="1"/>
    <w:link w:val="12"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12">
    <w:name w:val="EndNote Bibliography Title 字符"/>
    <w:basedOn w:val="7"/>
    <w:link w:val="11"/>
    <w:uiPriority w:val="0"/>
    <w:rPr>
      <w:rFonts w:ascii="等线" w:hAnsi="等线" w:eastAsia="等线"/>
      <w:sz w:val="20"/>
    </w:rPr>
  </w:style>
  <w:style w:type="paragraph" w:customStyle="1" w:styleId="13">
    <w:name w:val="EndNote Bibliography"/>
    <w:basedOn w:val="1"/>
    <w:link w:val="14"/>
    <w:qFormat/>
    <w:uiPriority w:val="0"/>
    <w:pPr>
      <w:jc w:val="left"/>
    </w:pPr>
    <w:rPr>
      <w:rFonts w:ascii="等线" w:hAnsi="等线" w:eastAsia="等线"/>
      <w:sz w:val="20"/>
    </w:rPr>
  </w:style>
  <w:style w:type="character" w:customStyle="1" w:styleId="14">
    <w:name w:val="EndNote Bibliography 字符"/>
    <w:basedOn w:val="7"/>
    <w:link w:val="13"/>
    <w:uiPriority w:val="0"/>
    <w:rPr>
      <w:rFonts w:ascii="等线" w:hAnsi="等线" w:eastAsia="等线"/>
      <w:sz w:val="20"/>
    </w:rPr>
  </w:style>
  <w:style w:type="character" w:customStyle="1" w:styleId="15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tiff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404</Words>
  <Characters>2170</Characters>
  <Lines>68</Lines>
  <Paragraphs>19</Paragraphs>
  <TotalTime>1</TotalTime>
  <ScaleCrop>false</ScaleCrop>
  <LinksUpToDate>false</LinksUpToDate>
  <CharactersWithSpaces>2550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2024-08-16T02:35:00Z</dcterms:created>
  <dc:creator>宇 龙</dc:creator>
  <cp:lastModifiedBy>xjzhang</cp:lastModifiedBy>
  <dcterms:modified xsi:type="dcterms:W3CDTF">2024-08-27T03:47:20Z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D6244F3697F7419DABDA5039E712E407_12</vt:lpwstr>
  </property>
</Properties>
</file>