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0FABD7" w14:textId="77777777" w:rsidR="00F87367" w:rsidRPr="00644CCA" w:rsidRDefault="00F87367" w:rsidP="000C2BDF">
      <w:pPr>
        <w:tabs>
          <w:tab w:val="left" w:pos="3285"/>
        </w:tabs>
        <w:jc w:val="both"/>
        <w:rPr>
          <w:rFonts w:ascii="Times New Roman" w:eastAsia="Times New Roman" w:hAnsi="Times New Roman" w:cs="Times New Roman"/>
          <w:b/>
          <w:bCs/>
          <w:sz w:val="20"/>
          <w:szCs w:val="20"/>
        </w:rPr>
      </w:pPr>
    </w:p>
    <w:p w14:paraId="4E66C3D1" w14:textId="52336DFF" w:rsidR="000C2BDF" w:rsidRPr="00644CCA" w:rsidRDefault="000C2BDF" w:rsidP="000C2BDF">
      <w:pPr>
        <w:tabs>
          <w:tab w:val="left" w:pos="3285"/>
        </w:tabs>
        <w:jc w:val="both"/>
        <w:rPr>
          <w:rFonts w:ascii="Times New Roman" w:eastAsia="Times New Roman" w:hAnsi="Times New Roman" w:cs="Times New Roman"/>
          <w:sz w:val="20"/>
          <w:szCs w:val="20"/>
        </w:rPr>
      </w:pPr>
      <w:r w:rsidRPr="00644CCA">
        <w:rPr>
          <w:rFonts w:ascii="Times New Roman" w:eastAsia="Times New Roman" w:hAnsi="Times New Roman" w:cs="Times New Roman"/>
          <w:b/>
          <w:bCs/>
          <w:sz w:val="20"/>
          <w:szCs w:val="20"/>
        </w:rPr>
        <w:t>Table 1</w:t>
      </w:r>
      <w:r w:rsidRPr="00644CCA">
        <w:rPr>
          <w:rFonts w:ascii="Times New Roman" w:eastAsia="Times New Roman" w:hAnsi="Times New Roman" w:cs="Times New Roman"/>
          <w:sz w:val="20"/>
          <w:szCs w:val="20"/>
        </w:rPr>
        <w:t xml:space="preserve"> List of review papers (in chronological order) (</w:t>
      </w:r>
      <w:r w:rsidRPr="00644CCA">
        <w:rPr>
          <w:rFonts w:ascii="Times New Roman" w:eastAsia="Times New Roman" w:hAnsi="Times New Roman" w:cs="Times New Roman"/>
          <w:i/>
          <w:iCs/>
          <w:sz w:val="20"/>
          <w:szCs w:val="20"/>
        </w:rPr>
        <w:t>Source</w:t>
      </w:r>
      <w:r w:rsidRPr="00644CCA">
        <w:rPr>
          <w:rFonts w:ascii="Times New Roman" w:eastAsia="Times New Roman" w:hAnsi="Times New Roman" w:cs="Times New Roman"/>
          <w:sz w:val="20"/>
          <w:szCs w:val="20"/>
        </w:rPr>
        <w:t xml:space="preserve">: </w:t>
      </w:r>
      <w:r w:rsidRPr="00644CCA">
        <w:rPr>
          <w:rFonts w:ascii="Times New Roman" w:eastAsia="Times New Roman" w:hAnsi="Times New Roman" w:cs="Times New Roman"/>
          <w:i/>
          <w:iCs/>
          <w:sz w:val="20"/>
          <w:szCs w:val="20"/>
        </w:rPr>
        <w:t>Compiled by the authors</w:t>
      </w:r>
      <w:r w:rsidRPr="00644CCA">
        <w:rPr>
          <w:rFonts w:ascii="Times New Roman" w:eastAsia="Times New Roman" w:hAnsi="Times New Roman" w:cs="Times New Roman"/>
          <w:sz w:val="20"/>
          <w:szCs w:val="20"/>
        </w:rPr>
        <w:t>)</w:t>
      </w:r>
    </w:p>
    <w:tbl>
      <w:tblPr>
        <w:tblStyle w:val="TableGrid"/>
        <w:tblW w:w="9216" w:type="dxa"/>
        <w:tblLayout w:type="fixed"/>
        <w:tblLook w:val="04A0" w:firstRow="1" w:lastRow="0" w:firstColumn="1" w:lastColumn="0" w:noHBand="0" w:noVBand="1"/>
      </w:tblPr>
      <w:tblGrid>
        <w:gridCol w:w="1668"/>
        <w:gridCol w:w="2268"/>
        <w:gridCol w:w="1275"/>
        <w:gridCol w:w="1276"/>
        <w:gridCol w:w="1559"/>
        <w:gridCol w:w="1170"/>
      </w:tblGrid>
      <w:tr w:rsidR="000C2BDF" w:rsidRPr="00644CCA" w14:paraId="42E18E17" w14:textId="77777777" w:rsidTr="00621097">
        <w:trPr>
          <w:trHeight w:val="696"/>
        </w:trPr>
        <w:tc>
          <w:tcPr>
            <w:tcW w:w="1668" w:type="dxa"/>
          </w:tcPr>
          <w:p w14:paraId="57731A4B" w14:textId="77777777" w:rsidR="000C2BDF" w:rsidRPr="00644CCA" w:rsidRDefault="000C2BDF" w:rsidP="00621097">
            <w:pPr>
              <w:jc w:val="center"/>
              <w:rPr>
                <w:rFonts w:ascii="Times New Roman" w:eastAsia="Times New Roman" w:hAnsi="Times New Roman" w:cs="Times New Roman"/>
                <w:b/>
                <w:bCs/>
                <w:color w:val="000000"/>
                <w:sz w:val="20"/>
                <w:szCs w:val="20"/>
              </w:rPr>
            </w:pPr>
            <w:r w:rsidRPr="00644CCA">
              <w:rPr>
                <w:rFonts w:ascii="Times New Roman" w:hAnsi="Times New Roman" w:cs="Times New Roman"/>
                <w:b/>
                <w:bCs/>
                <w:sz w:val="20"/>
                <w:szCs w:val="20"/>
              </w:rPr>
              <w:t>Author</w:t>
            </w:r>
          </w:p>
        </w:tc>
        <w:tc>
          <w:tcPr>
            <w:tcW w:w="2268" w:type="dxa"/>
          </w:tcPr>
          <w:p w14:paraId="75C48244" w14:textId="77777777" w:rsidR="000C2BDF" w:rsidRPr="00644CCA" w:rsidRDefault="000C2BDF" w:rsidP="00621097">
            <w:pPr>
              <w:rPr>
                <w:rFonts w:ascii="Times New Roman" w:eastAsia="Times New Roman" w:hAnsi="Times New Roman" w:cs="Times New Roman"/>
                <w:b/>
                <w:bCs/>
                <w:color w:val="000000"/>
                <w:sz w:val="20"/>
                <w:szCs w:val="20"/>
              </w:rPr>
            </w:pPr>
            <w:r w:rsidRPr="00644CCA">
              <w:rPr>
                <w:rFonts w:ascii="Times New Roman" w:hAnsi="Times New Roman" w:cs="Times New Roman"/>
                <w:b/>
                <w:bCs/>
                <w:sz w:val="20"/>
                <w:szCs w:val="20"/>
              </w:rPr>
              <w:t>Focus Area</w:t>
            </w:r>
          </w:p>
        </w:tc>
        <w:tc>
          <w:tcPr>
            <w:tcW w:w="1275" w:type="dxa"/>
          </w:tcPr>
          <w:p w14:paraId="0EC64E70" w14:textId="7D4AC094" w:rsidR="000C2BDF" w:rsidRPr="00644CCA" w:rsidRDefault="006B04B2" w:rsidP="00621097">
            <w:pPr>
              <w:rPr>
                <w:rFonts w:ascii="Times New Roman" w:eastAsia="Times New Roman" w:hAnsi="Times New Roman" w:cs="Times New Roman"/>
                <w:b/>
                <w:bCs/>
                <w:color w:val="000000"/>
                <w:sz w:val="20"/>
                <w:szCs w:val="20"/>
              </w:rPr>
            </w:pPr>
            <w:r w:rsidRPr="00644CCA">
              <w:rPr>
                <w:rFonts w:ascii="Times New Roman" w:hAnsi="Times New Roman" w:cs="Times New Roman"/>
                <w:b/>
                <w:bCs/>
                <w:sz w:val="20"/>
                <w:szCs w:val="20"/>
              </w:rPr>
              <w:t>Period</w:t>
            </w:r>
          </w:p>
        </w:tc>
        <w:tc>
          <w:tcPr>
            <w:tcW w:w="1276" w:type="dxa"/>
          </w:tcPr>
          <w:p w14:paraId="68BBC92B" w14:textId="77777777" w:rsidR="000C2BDF" w:rsidRPr="00644CCA" w:rsidRDefault="000C2BDF" w:rsidP="00621097">
            <w:pPr>
              <w:rPr>
                <w:rFonts w:ascii="Times New Roman" w:eastAsia="Times New Roman" w:hAnsi="Times New Roman" w:cs="Times New Roman"/>
                <w:b/>
                <w:bCs/>
                <w:color w:val="000000"/>
                <w:sz w:val="20"/>
                <w:szCs w:val="20"/>
              </w:rPr>
            </w:pPr>
            <w:r w:rsidRPr="00644CCA">
              <w:rPr>
                <w:rFonts w:ascii="Times New Roman" w:hAnsi="Times New Roman" w:cs="Times New Roman"/>
                <w:b/>
                <w:bCs/>
                <w:sz w:val="20"/>
                <w:szCs w:val="20"/>
              </w:rPr>
              <w:t>Protocol</w:t>
            </w:r>
          </w:p>
        </w:tc>
        <w:tc>
          <w:tcPr>
            <w:tcW w:w="1559" w:type="dxa"/>
          </w:tcPr>
          <w:p w14:paraId="07217674" w14:textId="77777777" w:rsidR="000C2BDF" w:rsidRPr="00644CCA" w:rsidRDefault="000C2BDF" w:rsidP="00621097">
            <w:pPr>
              <w:rPr>
                <w:rFonts w:ascii="Times New Roman" w:eastAsia="Times New Roman" w:hAnsi="Times New Roman" w:cs="Times New Roman"/>
                <w:b/>
                <w:bCs/>
                <w:color w:val="000000"/>
                <w:sz w:val="20"/>
                <w:szCs w:val="20"/>
              </w:rPr>
            </w:pPr>
            <w:r w:rsidRPr="00644CCA">
              <w:rPr>
                <w:rFonts w:ascii="Times New Roman" w:hAnsi="Times New Roman" w:cs="Times New Roman"/>
                <w:b/>
                <w:bCs/>
                <w:sz w:val="20"/>
                <w:szCs w:val="20"/>
              </w:rPr>
              <w:t>Search Databases</w:t>
            </w:r>
          </w:p>
        </w:tc>
        <w:tc>
          <w:tcPr>
            <w:tcW w:w="1170" w:type="dxa"/>
          </w:tcPr>
          <w:p w14:paraId="29C9EEF9" w14:textId="77777777" w:rsidR="000C2BDF" w:rsidRPr="00644CCA" w:rsidRDefault="000C2BDF" w:rsidP="00621097">
            <w:pPr>
              <w:rPr>
                <w:rFonts w:ascii="Times New Roman" w:eastAsia="Times New Roman" w:hAnsi="Times New Roman" w:cs="Times New Roman"/>
                <w:b/>
                <w:bCs/>
                <w:color w:val="000000"/>
                <w:sz w:val="20"/>
                <w:szCs w:val="20"/>
              </w:rPr>
            </w:pPr>
            <w:r w:rsidRPr="00644CCA">
              <w:rPr>
                <w:rFonts w:ascii="Times New Roman" w:hAnsi="Times New Roman" w:cs="Times New Roman"/>
                <w:b/>
                <w:bCs/>
                <w:sz w:val="20"/>
                <w:szCs w:val="20"/>
              </w:rPr>
              <w:t>Study</w:t>
            </w:r>
          </w:p>
        </w:tc>
      </w:tr>
      <w:tr w:rsidR="000C2BDF" w:rsidRPr="00644CCA" w14:paraId="0908A355" w14:textId="77777777" w:rsidTr="00621AF6">
        <w:trPr>
          <w:trHeight w:val="1124"/>
        </w:trPr>
        <w:tc>
          <w:tcPr>
            <w:tcW w:w="1668" w:type="dxa"/>
            <w:hideMark/>
          </w:tcPr>
          <w:p w14:paraId="6214D4B5" w14:textId="056F13E5"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Ali et al. (2023)</w:t>
            </w:r>
          </w:p>
        </w:tc>
        <w:tc>
          <w:tcPr>
            <w:tcW w:w="2268" w:type="dxa"/>
            <w:hideMark/>
          </w:tcPr>
          <w:p w14:paraId="5431011D" w14:textId="372DBBF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Application of AI in </w:t>
            </w:r>
            <w:r w:rsidR="006B04B2"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healthcare sector</w:t>
            </w:r>
          </w:p>
        </w:tc>
        <w:tc>
          <w:tcPr>
            <w:tcW w:w="1275" w:type="dxa"/>
            <w:hideMark/>
          </w:tcPr>
          <w:p w14:paraId="77049BCF"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2010-2021</w:t>
            </w:r>
          </w:p>
        </w:tc>
        <w:tc>
          <w:tcPr>
            <w:tcW w:w="1276" w:type="dxa"/>
            <w:hideMark/>
          </w:tcPr>
          <w:p w14:paraId="06DA5215"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None</w:t>
            </w:r>
          </w:p>
        </w:tc>
        <w:tc>
          <w:tcPr>
            <w:tcW w:w="1559" w:type="dxa"/>
            <w:hideMark/>
          </w:tcPr>
          <w:p w14:paraId="008BA91A"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IEEE, Emerald, IS Web of Knowledge, and Scopus.</w:t>
            </w:r>
          </w:p>
        </w:tc>
        <w:tc>
          <w:tcPr>
            <w:tcW w:w="1170" w:type="dxa"/>
            <w:hideMark/>
          </w:tcPr>
          <w:p w14:paraId="08E30A23"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SLR</w:t>
            </w:r>
          </w:p>
        </w:tc>
      </w:tr>
      <w:tr w:rsidR="000C2BDF" w:rsidRPr="00644CCA" w14:paraId="7488F67F" w14:textId="77777777" w:rsidTr="00621AF6">
        <w:trPr>
          <w:trHeight w:val="800"/>
        </w:trPr>
        <w:tc>
          <w:tcPr>
            <w:tcW w:w="1668" w:type="dxa"/>
            <w:hideMark/>
          </w:tcPr>
          <w:p w14:paraId="2B6E9EDA"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He and Zhang (2023)</w:t>
            </w:r>
          </w:p>
        </w:tc>
        <w:tc>
          <w:tcPr>
            <w:tcW w:w="2268" w:type="dxa"/>
            <w:hideMark/>
          </w:tcPr>
          <w:p w14:paraId="4DD0DE69" w14:textId="2480F84D" w:rsidR="000C2BDF" w:rsidRPr="00644CCA" w:rsidRDefault="00750048"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Consumer</w:t>
            </w:r>
            <w:r w:rsidR="000C2BDF" w:rsidRPr="00644CCA">
              <w:rPr>
                <w:rFonts w:ascii="Times New Roman" w:eastAsia="Times New Roman" w:hAnsi="Times New Roman" w:cs="Times New Roman"/>
                <w:color w:val="000000"/>
                <w:sz w:val="20"/>
                <w:szCs w:val="20"/>
              </w:rPr>
              <w:t>–AI interaction using the customer journey framework</w:t>
            </w:r>
          </w:p>
        </w:tc>
        <w:tc>
          <w:tcPr>
            <w:tcW w:w="1275" w:type="dxa"/>
            <w:hideMark/>
          </w:tcPr>
          <w:p w14:paraId="60F12FBB"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2007-2021</w:t>
            </w:r>
          </w:p>
        </w:tc>
        <w:tc>
          <w:tcPr>
            <w:tcW w:w="1276" w:type="dxa"/>
            <w:hideMark/>
          </w:tcPr>
          <w:p w14:paraId="1FC10954"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PRISMA</w:t>
            </w:r>
          </w:p>
        </w:tc>
        <w:tc>
          <w:tcPr>
            <w:tcW w:w="1559" w:type="dxa"/>
            <w:hideMark/>
          </w:tcPr>
          <w:p w14:paraId="4B8FA0AD"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Web of Science (WoS)</w:t>
            </w:r>
          </w:p>
        </w:tc>
        <w:tc>
          <w:tcPr>
            <w:tcW w:w="1170" w:type="dxa"/>
            <w:hideMark/>
          </w:tcPr>
          <w:p w14:paraId="6013D96C"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Domain-based SLR</w:t>
            </w:r>
          </w:p>
        </w:tc>
      </w:tr>
      <w:tr w:rsidR="000C2BDF" w:rsidRPr="00644CCA" w14:paraId="502876E5" w14:textId="77777777" w:rsidTr="00621AF6">
        <w:trPr>
          <w:trHeight w:val="1430"/>
        </w:trPr>
        <w:tc>
          <w:tcPr>
            <w:tcW w:w="1668" w:type="dxa"/>
            <w:hideMark/>
          </w:tcPr>
          <w:p w14:paraId="4565666A" w14:textId="24554E06"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Kelly et al. (2023)</w:t>
            </w:r>
          </w:p>
        </w:tc>
        <w:tc>
          <w:tcPr>
            <w:tcW w:w="2268" w:type="dxa"/>
            <w:hideMark/>
          </w:tcPr>
          <w:p w14:paraId="5E16C925"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User acceptance of AI technology</w:t>
            </w:r>
          </w:p>
        </w:tc>
        <w:tc>
          <w:tcPr>
            <w:tcW w:w="1275" w:type="dxa"/>
            <w:hideMark/>
          </w:tcPr>
          <w:p w14:paraId="2B2F8C13"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Till September 2021</w:t>
            </w:r>
          </w:p>
        </w:tc>
        <w:tc>
          <w:tcPr>
            <w:tcW w:w="1276" w:type="dxa"/>
            <w:hideMark/>
          </w:tcPr>
          <w:p w14:paraId="5A1D8380"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PRISMA 2009</w:t>
            </w:r>
          </w:p>
        </w:tc>
        <w:tc>
          <w:tcPr>
            <w:tcW w:w="1559" w:type="dxa"/>
            <w:hideMark/>
          </w:tcPr>
          <w:p w14:paraId="394AB418"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EBSCO host, Embase, Inspec (Engineering Village host), Scopus, and WoS</w:t>
            </w:r>
          </w:p>
        </w:tc>
        <w:tc>
          <w:tcPr>
            <w:tcW w:w="1170" w:type="dxa"/>
            <w:hideMark/>
          </w:tcPr>
          <w:p w14:paraId="01EBDA75"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w:t>
            </w:r>
          </w:p>
        </w:tc>
      </w:tr>
      <w:tr w:rsidR="000C2BDF" w:rsidRPr="00644CCA" w14:paraId="17C92875" w14:textId="77777777" w:rsidTr="00621AF6">
        <w:trPr>
          <w:trHeight w:val="1241"/>
        </w:trPr>
        <w:tc>
          <w:tcPr>
            <w:tcW w:w="1668" w:type="dxa"/>
            <w:hideMark/>
          </w:tcPr>
          <w:p w14:paraId="742AB2BB"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Mariani, Machado, and Nambisan et al. (2023)</w:t>
            </w:r>
          </w:p>
        </w:tc>
        <w:tc>
          <w:tcPr>
            <w:tcW w:w="2268" w:type="dxa"/>
            <w:hideMark/>
          </w:tcPr>
          <w:p w14:paraId="2517A3C6"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Key antecedents and consequences of AI in the context of innovation</w:t>
            </w:r>
          </w:p>
        </w:tc>
        <w:tc>
          <w:tcPr>
            <w:tcW w:w="1275" w:type="dxa"/>
            <w:hideMark/>
          </w:tcPr>
          <w:p w14:paraId="16F2B5E1"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Until 2021</w:t>
            </w:r>
          </w:p>
        </w:tc>
        <w:tc>
          <w:tcPr>
            <w:tcW w:w="1276" w:type="dxa"/>
            <w:hideMark/>
          </w:tcPr>
          <w:p w14:paraId="78382F22"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systematic quantitative literature review (SQLR)</w:t>
            </w:r>
          </w:p>
        </w:tc>
        <w:tc>
          <w:tcPr>
            <w:tcW w:w="1559" w:type="dxa"/>
            <w:hideMark/>
          </w:tcPr>
          <w:p w14:paraId="1E75269C"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WoS &amp; Scopus</w:t>
            </w:r>
          </w:p>
        </w:tc>
        <w:tc>
          <w:tcPr>
            <w:tcW w:w="1170" w:type="dxa"/>
            <w:hideMark/>
          </w:tcPr>
          <w:p w14:paraId="0F5700DF"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Hybrid Review</w:t>
            </w:r>
          </w:p>
        </w:tc>
      </w:tr>
      <w:tr w:rsidR="000C2BDF" w:rsidRPr="00644CCA" w14:paraId="23C967A3" w14:textId="77777777" w:rsidTr="00621AF6">
        <w:trPr>
          <w:trHeight w:val="809"/>
        </w:trPr>
        <w:tc>
          <w:tcPr>
            <w:tcW w:w="1668" w:type="dxa"/>
            <w:hideMark/>
          </w:tcPr>
          <w:p w14:paraId="1B21C1E2"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Vishwakarma et al. (2023)</w:t>
            </w:r>
          </w:p>
        </w:tc>
        <w:tc>
          <w:tcPr>
            <w:tcW w:w="2268" w:type="dxa"/>
            <w:hideMark/>
          </w:tcPr>
          <w:p w14:paraId="7917C979" w14:textId="5999D4D3"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Contribution of AI </w:t>
            </w:r>
            <w:r w:rsidR="00AA22CF" w:rsidRPr="00644CCA">
              <w:rPr>
                <w:rFonts w:ascii="Times New Roman" w:eastAsia="Times New Roman" w:hAnsi="Times New Roman" w:cs="Times New Roman"/>
                <w:color w:val="000000"/>
                <w:sz w:val="20"/>
                <w:szCs w:val="20"/>
              </w:rPr>
              <w:t>toward</w:t>
            </w:r>
            <w:r w:rsidRPr="00644CCA">
              <w:rPr>
                <w:rFonts w:ascii="Times New Roman" w:eastAsia="Times New Roman" w:hAnsi="Times New Roman" w:cs="Times New Roman"/>
                <w:color w:val="000000"/>
                <w:sz w:val="20"/>
                <w:szCs w:val="20"/>
              </w:rPr>
              <w:t xml:space="preserve"> building resilient healthcare systems</w:t>
            </w:r>
          </w:p>
        </w:tc>
        <w:tc>
          <w:tcPr>
            <w:tcW w:w="1275" w:type="dxa"/>
            <w:hideMark/>
          </w:tcPr>
          <w:p w14:paraId="20992703"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Till 26 September 2022</w:t>
            </w:r>
          </w:p>
        </w:tc>
        <w:tc>
          <w:tcPr>
            <w:tcW w:w="1276" w:type="dxa"/>
            <w:hideMark/>
          </w:tcPr>
          <w:p w14:paraId="2E7A61E7"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None</w:t>
            </w:r>
          </w:p>
        </w:tc>
        <w:tc>
          <w:tcPr>
            <w:tcW w:w="1559" w:type="dxa"/>
            <w:hideMark/>
          </w:tcPr>
          <w:p w14:paraId="280A9D28"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Scopus, WoS</w:t>
            </w:r>
          </w:p>
        </w:tc>
        <w:tc>
          <w:tcPr>
            <w:tcW w:w="1170" w:type="dxa"/>
            <w:hideMark/>
          </w:tcPr>
          <w:p w14:paraId="3A3BD0E3"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SLR – TCM</w:t>
            </w:r>
          </w:p>
        </w:tc>
      </w:tr>
      <w:tr w:rsidR="000C2BDF" w:rsidRPr="00644CCA" w14:paraId="022C0FD5" w14:textId="77777777" w:rsidTr="00621AF6">
        <w:trPr>
          <w:trHeight w:val="971"/>
        </w:trPr>
        <w:tc>
          <w:tcPr>
            <w:tcW w:w="1668" w:type="dxa"/>
            <w:hideMark/>
          </w:tcPr>
          <w:p w14:paraId="0099A386"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Zahlan et al. (2023)</w:t>
            </w:r>
          </w:p>
        </w:tc>
        <w:tc>
          <w:tcPr>
            <w:tcW w:w="2268" w:type="dxa"/>
            <w:hideMark/>
          </w:tcPr>
          <w:p w14:paraId="2122EDD9"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AI healthcare applications, challenges, examine student adoption</w:t>
            </w:r>
          </w:p>
        </w:tc>
        <w:tc>
          <w:tcPr>
            <w:tcW w:w="1275" w:type="dxa"/>
            <w:hideMark/>
          </w:tcPr>
          <w:p w14:paraId="540B7114"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Till 2022</w:t>
            </w:r>
          </w:p>
        </w:tc>
        <w:tc>
          <w:tcPr>
            <w:tcW w:w="1276" w:type="dxa"/>
            <w:hideMark/>
          </w:tcPr>
          <w:p w14:paraId="55FDEA0A"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PRISMA</w:t>
            </w:r>
          </w:p>
        </w:tc>
        <w:tc>
          <w:tcPr>
            <w:tcW w:w="1559" w:type="dxa"/>
            <w:hideMark/>
          </w:tcPr>
          <w:p w14:paraId="090854A8"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PubMed, Scopus, Google Scholar</w:t>
            </w:r>
          </w:p>
        </w:tc>
        <w:tc>
          <w:tcPr>
            <w:tcW w:w="1170" w:type="dxa"/>
            <w:hideMark/>
          </w:tcPr>
          <w:p w14:paraId="1FA46E66"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SLR</w:t>
            </w:r>
          </w:p>
        </w:tc>
      </w:tr>
      <w:tr w:rsidR="000C2BDF" w:rsidRPr="00644CCA" w14:paraId="41D74525" w14:textId="77777777" w:rsidTr="00621AF6">
        <w:trPr>
          <w:trHeight w:val="530"/>
        </w:trPr>
        <w:tc>
          <w:tcPr>
            <w:tcW w:w="1668" w:type="dxa"/>
            <w:hideMark/>
          </w:tcPr>
          <w:p w14:paraId="6F680A82"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Lim et al. (2022)</w:t>
            </w:r>
          </w:p>
        </w:tc>
        <w:tc>
          <w:tcPr>
            <w:tcW w:w="2268" w:type="dxa"/>
            <w:hideMark/>
          </w:tcPr>
          <w:p w14:paraId="05681CE9"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Conversational commerce</w:t>
            </w:r>
          </w:p>
        </w:tc>
        <w:tc>
          <w:tcPr>
            <w:tcW w:w="1275" w:type="dxa"/>
            <w:hideMark/>
          </w:tcPr>
          <w:p w14:paraId="0629CE9F"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Till June 2021</w:t>
            </w:r>
          </w:p>
        </w:tc>
        <w:tc>
          <w:tcPr>
            <w:tcW w:w="1276" w:type="dxa"/>
            <w:hideMark/>
          </w:tcPr>
          <w:p w14:paraId="0CE8512D"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SPAR‐4‐SLR</w:t>
            </w:r>
          </w:p>
        </w:tc>
        <w:tc>
          <w:tcPr>
            <w:tcW w:w="1559" w:type="dxa"/>
            <w:hideMark/>
          </w:tcPr>
          <w:p w14:paraId="477EF3A7"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Scopus</w:t>
            </w:r>
          </w:p>
        </w:tc>
        <w:tc>
          <w:tcPr>
            <w:tcW w:w="1170" w:type="dxa"/>
            <w:hideMark/>
          </w:tcPr>
          <w:p w14:paraId="6C56325F"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Hybrid Review</w:t>
            </w:r>
          </w:p>
        </w:tc>
      </w:tr>
      <w:tr w:rsidR="000C2BDF" w:rsidRPr="00644CCA" w14:paraId="10B5E4C3" w14:textId="77777777" w:rsidTr="00621AF6">
        <w:trPr>
          <w:trHeight w:val="989"/>
        </w:trPr>
        <w:tc>
          <w:tcPr>
            <w:tcW w:w="1668" w:type="dxa"/>
            <w:hideMark/>
          </w:tcPr>
          <w:p w14:paraId="7A848629"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Mariani et al. (2022)</w:t>
            </w:r>
          </w:p>
        </w:tc>
        <w:tc>
          <w:tcPr>
            <w:tcW w:w="2268" w:type="dxa"/>
            <w:hideMark/>
          </w:tcPr>
          <w:p w14:paraId="491BDE69"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emerging intellectual structure of AI research in marketing, consumer research, and psychology</w:t>
            </w:r>
          </w:p>
        </w:tc>
        <w:tc>
          <w:tcPr>
            <w:tcW w:w="1275" w:type="dxa"/>
            <w:hideMark/>
          </w:tcPr>
          <w:p w14:paraId="4D304460"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Until June 15, 2021</w:t>
            </w:r>
          </w:p>
        </w:tc>
        <w:tc>
          <w:tcPr>
            <w:tcW w:w="1276" w:type="dxa"/>
            <w:hideMark/>
          </w:tcPr>
          <w:p w14:paraId="4FBBF5BC"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None</w:t>
            </w:r>
          </w:p>
        </w:tc>
        <w:tc>
          <w:tcPr>
            <w:tcW w:w="1559" w:type="dxa"/>
            <w:hideMark/>
          </w:tcPr>
          <w:p w14:paraId="78CF057C"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Scopus</w:t>
            </w:r>
          </w:p>
        </w:tc>
        <w:tc>
          <w:tcPr>
            <w:tcW w:w="1170" w:type="dxa"/>
            <w:hideMark/>
          </w:tcPr>
          <w:p w14:paraId="39125E3C"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Hybrid Review</w:t>
            </w:r>
          </w:p>
        </w:tc>
      </w:tr>
      <w:tr w:rsidR="000C2BDF" w:rsidRPr="00644CCA" w14:paraId="764F064E" w14:textId="77777777" w:rsidTr="00621AF6">
        <w:trPr>
          <w:trHeight w:val="1880"/>
        </w:trPr>
        <w:tc>
          <w:tcPr>
            <w:tcW w:w="1668" w:type="dxa"/>
            <w:hideMark/>
          </w:tcPr>
          <w:p w14:paraId="2D15D2D3"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Nazar et al. (2021)</w:t>
            </w:r>
          </w:p>
        </w:tc>
        <w:tc>
          <w:tcPr>
            <w:tcW w:w="2268" w:type="dxa"/>
            <w:hideMark/>
          </w:tcPr>
          <w:p w14:paraId="3945B528" w14:textId="5FB60AFF"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Understanding Explainable Artificial Intelligence (XAI) </w:t>
            </w:r>
            <w:r w:rsidR="00D229B2">
              <w:rPr>
                <w:rFonts w:ascii="Times New Roman" w:eastAsia="Times New Roman" w:hAnsi="Times New Roman" w:cs="Times New Roman"/>
                <w:color w:val="000000"/>
                <w:sz w:val="20"/>
                <w:szCs w:val="20"/>
              </w:rPr>
              <w:t xml:space="preserve">and the </w:t>
            </w:r>
            <w:r w:rsidRPr="00644CCA">
              <w:rPr>
                <w:rFonts w:ascii="Times New Roman" w:eastAsia="Times New Roman" w:hAnsi="Times New Roman" w:cs="Times New Roman"/>
                <w:color w:val="000000"/>
                <w:sz w:val="20"/>
                <w:szCs w:val="20"/>
              </w:rPr>
              <w:t>use of AI, HCI</w:t>
            </w:r>
            <w:r w:rsidR="006B04B2"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XAI in healthcare</w:t>
            </w:r>
          </w:p>
        </w:tc>
        <w:tc>
          <w:tcPr>
            <w:tcW w:w="1275" w:type="dxa"/>
            <w:hideMark/>
          </w:tcPr>
          <w:p w14:paraId="42438477"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2016-2021</w:t>
            </w:r>
          </w:p>
        </w:tc>
        <w:tc>
          <w:tcPr>
            <w:tcW w:w="1276" w:type="dxa"/>
            <w:hideMark/>
          </w:tcPr>
          <w:p w14:paraId="333DA744"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PRISMA</w:t>
            </w:r>
          </w:p>
        </w:tc>
        <w:tc>
          <w:tcPr>
            <w:tcW w:w="1559" w:type="dxa"/>
            <w:hideMark/>
          </w:tcPr>
          <w:p w14:paraId="5F46B3F8"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IEEE Xplore, ACM Digital library, Semantic Scholar, Taylor &amp; Francis, Springer, Elsevier</w:t>
            </w:r>
          </w:p>
        </w:tc>
        <w:tc>
          <w:tcPr>
            <w:tcW w:w="1170" w:type="dxa"/>
            <w:hideMark/>
          </w:tcPr>
          <w:p w14:paraId="367309E2"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SLR</w:t>
            </w:r>
          </w:p>
        </w:tc>
      </w:tr>
      <w:tr w:rsidR="000C2BDF" w:rsidRPr="00644CCA" w14:paraId="6F06FE78" w14:textId="77777777" w:rsidTr="00165AA5">
        <w:trPr>
          <w:trHeight w:val="521"/>
        </w:trPr>
        <w:tc>
          <w:tcPr>
            <w:tcW w:w="1668" w:type="dxa"/>
            <w:hideMark/>
          </w:tcPr>
          <w:p w14:paraId="50B1CB0E"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Secinaro et al. (2021)</w:t>
            </w:r>
          </w:p>
        </w:tc>
        <w:tc>
          <w:tcPr>
            <w:tcW w:w="2268" w:type="dxa"/>
            <w:hideMark/>
          </w:tcPr>
          <w:p w14:paraId="4FC7C781"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Role of AI in healthcare</w:t>
            </w:r>
          </w:p>
        </w:tc>
        <w:tc>
          <w:tcPr>
            <w:tcW w:w="1275" w:type="dxa"/>
            <w:hideMark/>
          </w:tcPr>
          <w:p w14:paraId="3E3D7D86"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1992-2021</w:t>
            </w:r>
          </w:p>
        </w:tc>
        <w:tc>
          <w:tcPr>
            <w:tcW w:w="1276" w:type="dxa"/>
            <w:hideMark/>
          </w:tcPr>
          <w:p w14:paraId="58055977"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PRISMA</w:t>
            </w:r>
          </w:p>
        </w:tc>
        <w:tc>
          <w:tcPr>
            <w:tcW w:w="1559" w:type="dxa"/>
            <w:hideMark/>
          </w:tcPr>
          <w:p w14:paraId="604617A0"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Scopus</w:t>
            </w:r>
          </w:p>
        </w:tc>
        <w:tc>
          <w:tcPr>
            <w:tcW w:w="1170" w:type="dxa"/>
            <w:hideMark/>
          </w:tcPr>
          <w:p w14:paraId="7C053674"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SLR</w:t>
            </w:r>
          </w:p>
        </w:tc>
      </w:tr>
      <w:tr w:rsidR="000C2BDF" w:rsidRPr="00644CCA" w14:paraId="2FD3E7EA" w14:textId="77777777" w:rsidTr="00621AF6">
        <w:trPr>
          <w:trHeight w:val="980"/>
        </w:trPr>
        <w:tc>
          <w:tcPr>
            <w:tcW w:w="1668" w:type="dxa"/>
            <w:hideMark/>
          </w:tcPr>
          <w:p w14:paraId="7A5D2505"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Verma et al. (2021)</w:t>
            </w:r>
          </w:p>
        </w:tc>
        <w:tc>
          <w:tcPr>
            <w:tcW w:w="2268" w:type="dxa"/>
            <w:hideMark/>
          </w:tcPr>
          <w:p w14:paraId="62623284"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Importance of AI in marketing</w:t>
            </w:r>
          </w:p>
        </w:tc>
        <w:tc>
          <w:tcPr>
            <w:tcW w:w="1275" w:type="dxa"/>
            <w:hideMark/>
          </w:tcPr>
          <w:p w14:paraId="6C38DBF9"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1982 to 2020</w:t>
            </w:r>
          </w:p>
        </w:tc>
        <w:tc>
          <w:tcPr>
            <w:tcW w:w="1276" w:type="dxa"/>
            <w:hideMark/>
          </w:tcPr>
          <w:p w14:paraId="5C5BE07B"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None</w:t>
            </w:r>
          </w:p>
        </w:tc>
        <w:tc>
          <w:tcPr>
            <w:tcW w:w="1559" w:type="dxa"/>
            <w:hideMark/>
          </w:tcPr>
          <w:p w14:paraId="4BBFC6CB"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Scopus, WoS</w:t>
            </w:r>
          </w:p>
        </w:tc>
        <w:tc>
          <w:tcPr>
            <w:tcW w:w="1170" w:type="dxa"/>
            <w:hideMark/>
          </w:tcPr>
          <w:p w14:paraId="173A3A1B"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Bibliometric Analysis</w:t>
            </w:r>
          </w:p>
        </w:tc>
      </w:tr>
      <w:tr w:rsidR="000C2BDF" w:rsidRPr="00644CCA" w14:paraId="0FD105BF" w14:textId="77777777" w:rsidTr="00621AF6">
        <w:trPr>
          <w:trHeight w:val="980"/>
        </w:trPr>
        <w:tc>
          <w:tcPr>
            <w:tcW w:w="1668" w:type="dxa"/>
            <w:hideMark/>
          </w:tcPr>
          <w:p w14:paraId="6F74C822"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Ling et al. (2021)</w:t>
            </w:r>
          </w:p>
        </w:tc>
        <w:tc>
          <w:tcPr>
            <w:tcW w:w="2268" w:type="dxa"/>
            <w:hideMark/>
          </w:tcPr>
          <w:p w14:paraId="6E2EAF2B" w14:textId="0C602C31"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Factors affecting </w:t>
            </w:r>
            <w:r w:rsidR="00AA22CF" w:rsidRPr="00644CCA">
              <w:rPr>
                <w:rFonts w:ascii="Times New Roman" w:eastAsia="Times New Roman" w:hAnsi="Times New Roman" w:cs="Times New Roman"/>
                <w:color w:val="000000"/>
                <w:sz w:val="20"/>
                <w:szCs w:val="20"/>
              </w:rPr>
              <w:t>consumer</w:t>
            </w:r>
            <w:r w:rsidRPr="00644CCA">
              <w:rPr>
                <w:rFonts w:ascii="Times New Roman" w:eastAsia="Times New Roman" w:hAnsi="Times New Roman" w:cs="Times New Roman"/>
                <w:color w:val="000000"/>
                <w:sz w:val="20"/>
                <w:szCs w:val="20"/>
              </w:rPr>
              <w:t xml:space="preserve"> adoption and use of conversational agents</w:t>
            </w:r>
          </w:p>
        </w:tc>
        <w:tc>
          <w:tcPr>
            <w:tcW w:w="1275" w:type="dxa"/>
            <w:hideMark/>
          </w:tcPr>
          <w:p w14:paraId="1002F757" w14:textId="0939193D" w:rsidR="000C2BDF" w:rsidRPr="00644CCA" w:rsidRDefault="006B04B2"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From</w:t>
            </w:r>
            <w:r w:rsidR="000C2BDF" w:rsidRPr="00644CCA">
              <w:rPr>
                <w:rFonts w:ascii="Times New Roman" w:eastAsia="Times New Roman" w:hAnsi="Times New Roman" w:cs="Times New Roman"/>
                <w:color w:val="000000"/>
                <w:sz w:val="20"/>
                <w:szCs w:val="20"/>
              </w:rPr>
              <w:t xml:space="preserve"> 2009 till October 2019</w:t>
            </w:r>
          </w:p>
        </w:tc>
        <w:tc>
          <w:tcPr>
            <w:tcW w:w="1276" w:type="dxa"/>
            <w:hideMark/>
          </w:tcPr>
          <w:p w14:paraId="5CD77BAD"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None</w:t>
            </w:r>
          </w:p>
        </w:tc>
        <w:tc>
          <w:tcPr>
            <w:tcW w:w="1559" w:type="dxa"/>
            <w:hideMark/>
          </w:tcPr>
          <w:p w14:paraId="51B08918"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Scopus, WoS, ScienceDirect</w:t>
            </w:r>
          </w:p>
        </w:tc>
        <w:tc>
          <w:tcPr>
            <w:tcW w:w="1170" w:type="dxa"/>
            <w:hideMark/>
          </w:tcPr>
          <w:p w14:paraId="7C88311C"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SLR</w:t>
            </w:r>
          </w:p>
        </w:tc>
      </w:tr>
      <w:tr w:rsidR="000C2BDF" w:rsidRPr="00644CCA" w14:paraId="22D5B6C7" w14:textId="77777777" w:rsidTr="00621AF6">
        <w:trPr>
          <w:trHeight w:val="791"/>
        </w:trPr>
        <w:tc>
          <w:tcPr>
            <w:tcW w:w="1668" w:type="dxa"/>
            <w:hideMark/>
          </w:tcPr>
          <w:p w14:paraId="60D62C8D"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lastRenderedPageBreak/>
              <w:t>Chi et al. (2020)</w:t>
            </w:r>
          </w:p>
        </w:tc>
        <w:tc>
          <w:tcPr>
            <w:tcW w:w="2268" w:type="dxa"/>
            <w:hideMark/>
          </w:tcPr>
          <w:p w14:paraId="137817F5" w14:textId="4BB0684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Use or adoption of AI in </w:t>
            </w:r>
            <w:r w:rsidR="006B04B2"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service industry</w:t>
            </w:r>
          </w:p>
        </w:tc>
        <w:tc>
          <w:tcPr>
            <w:tcW w:w="1275" w:type="dxa"/>
            <w:hideMark/>
          </w:tcPr>
          <w:p w14:paraId="013BD9B7"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After 2010</w:t>
            </w:r>
          </w:p>
        </w:tc>
        <w:tc>
          <w:tcPr>
            <w:tcW w:w="1276" w:type="dxa"/>
            <w:hideMark/>
          </w:tcPr>
          <w:p w14:paraId="701BEE6F"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None</w:t>
            </w:r>
          </w:p>
        </w:tc>
        <w:tc>
          <w:tcPr>
            <w:tcW w:w="1559" w:type="dxa"/>
            <w:hideMark/>
          </w:tcPr>
          <w:p w14:paraId="7A9717ED"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ScienceDirect, Sage, and SpringerLink</w:t>
            </w:r>
          </w:p>
        </w:tc>
        <w:tc>
          <w:tcPr>
            <w:tcW w:w="1170" w:type="dxa"/>
            <w:hideMark/>
          </w:tcPr>
          <w:p w14:paraId="117DD15E"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SLR</w:t>
            </w:r>
          </w:p>
        </w:tc>
      </w:tr>
      <w:tr w:rsidR="000C2BDF" w:rsidRPr="00644CCA" w14:paraId="3593B9BF" w14:textId="77777777" w:rsidTr="00621AF6">
        <w:trPr>
          <w:trHeight w:val="1439"/>
        </w:trPr>
        <w:tc>
          <w:tcPr>
            <w:tcW w:w="1668" w:type="dxa"/>
            <w:hideMark/>
          </w:tcPr>
          <w:p w14:paraId="7BD1A989"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Glikson and Woolley (2020)</w:t>
            </w:r>
          </w:p>
        </w:tc>
        <w:tc>
          <w:tcPr>
            <w:tcW w:w="2268" w:type="dxa"/>
            <w:hideMark/>
          </w:tcPr>
          <w:p w14:paraId="3561E448"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Determinants of human trust in AI</w:t>
            </w:r>
          </w:p>
        </w:tc>
        <w:tc>
          <w:tcPr>
            <w:tcW w:w="1275" w:type="dxa"/>
            <w:hideMark/>
          </w:tcPr>
          <w:p w14:paraId="077F6D36"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1999-2019</w:t>
            </w:r>
          </w:p>
        </w:tc>
        <w:tc>
          <w:tcPr>
            <w:tcW w:w="1276" w:type="dxa"/>
            <w:hideMark/>
          </w:tcPr>
          <w:p w14:paraId="3E8D55EF"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None</w:t>
            </w:r>
          </w:p>
        </w:tc>
        <w:tc>
          <w:tcPr>
            <w:tcW w:w="1559" w:type="dxa"/>
            <w:hideMark/>
          </w:tcPr>
          <w:p w14:paraId="4F2676D5"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Google Scholar, Business Source Premier, Engineering Village, PsycINFO</w:t>
            </w:r>
          </w:p>
        </w:tc>
        <w:tc>
          <w:tcPr>
            <w:tcW w:w="1170" w:type="dxa"/>
            <w:hideMark/>
          </w:tcPr>
          <w:p w14:paraId="11A9AE63"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w:t>
            </w:r>
          </w:p>
        </w:tc>
      </w:tr>
      <w:tr w:rsidR="000C2BDF" w:rsidRPr="00644CCA" w14:paraId="669C41E3" w14:textId="77777777" w:rsidTr="00165AA5">
        <w:trPr>
          <w:trHeight w:val="971"/>
        </w:trPr>
        <w:tc>
          <w:tcPr>
            <w:tcW w:w="1668" w:type="dxa"/>
            <w:hideMark/>
          </w:tcPr>
          <w:p w14:paraId="7F49AD8C"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Radhakrishnan and Chattopadhyay (2020)</w:t>
            </w:r>
          </w:p>
        </w:tc>
        <w:tc>
          <w:tcPr>
            <w:tcW w:w="2268" w:type="dxa"/>
            <w:hideMark/>
          </w:tcPr>
          <w:p w14:paraId="4893D9E8"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Barriers to AI Adoption</w:t>
            </w:r>
          </w:p>
        </w:tc>
        <w:tc>
          <w:tcPr>
            <w:tcW w:w="1275" w:type="dxa"/>
            <w:hideMark/>
          </w:tcPr>
          <w:p w14:paraId="6B1B7178"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Not disclosed</w:t>
            </w:r>
          </w:p>
        </w:tc>
        <w:tc>
          <w:tcPr>
            <w:tcW w:w="1276" w:type="dxa"/>
            <w:hideMark/>
          </w:tcPr>
          <w:p w14:paraId="16DD00C8"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None</w:t>
            </w:r>
          </w:p>
        </w:tc>
        <w:tc>
          <w:tcPr>
            <w:tcW w:w="1559" w:type="dxa"/>
            <w:hideMark/>
          </w:tcPr>
          <w:p w14:paraId="3773B99F"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ScienceDirect, Google Scholar</w:t>
            </w:r>
          </w:p>
        </w:tc>
        <w:tc>
          <w:tcPr>
            <w:tcW w:w="1170" w:type="dxa"/>
            <w:hideMark/>
          </w:tcPr>
          <w:p w14:paraId="6DA4CEBE"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SLR</w:t>
            </w:r>
          </w:p>
        </w:tc>
      </w:tr>
      <w:tr w:rsidR="000C2BDF" w:rsidRPr="00644CCA" w14:paraId="32641702" w14:textId="77777777" w:rsidTr="00621AF6">
        <w:trPr>
          <w:trHeight w:val="980"/>
        </w:trPr>
        <w:tc>
          <w:tcPr>
            <w:tcW w:w="1668" w:type="dxa"/>
            <w:hideMark/>
          </w:tcPr>
          <w:p w14:paraId="13988CD7"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Souza-Pereira et al. (2020)</w:t>
            </w:r>
          </w:p>
        </w:tc>
        <w:tc>
          <w:tcPr>
            <w:tcW w:w="2268" w:type="dxa"/>
            <w:hideMark/>
          </w:tcPr>
          <w:p w14:paraId="5E5FD2BE"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Clinical DSS development for monitoring chronic diseases</w:t>
            </w:r>
          </w:p>
        </w:tc>
        <w:tc>
          <w:tcPr>
            <w:tcW w:w="1275" w:type="dxa"/>
            <w:hideMark/>
          </w:tcPr>
          <w:p w14:paraId="1D24BD89"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January 2010 to August 2019</w:t>
            </w:r>
          </w:p>
        </w:tc>
        <w:tc>
          <w:tcPr>
            <w:tcW w:w="1276" w:type="dxa"/>
            <w:hideMark/>
          </w:tcPr>
          <w:p w14:paraId="2587E393"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PRISMA</w:t>
            </w:r>
          </w:p>
        </w:tc>
        <w:tc>
          <w:tcPr>
            <w:tcW w:w="1559" w:type="dxa"/>
            <w:hideMark/>
          </w:tcPr>
          <w:p w14:paraId="693237B8"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ScienceDirect, ACM, IEEE Xplore, Scopus</w:t>
            </w:r>
          </w:p>
        </w:tc>
        <w:tc>
          <w:tcPr>
            <w:tcW w:w="1170" w:type="dxa"/>
            <w:hideMark/>
          </w:tcPr>
          <w:p w14:paraId="46908C53" w14:textId="77777777" w:rsidR="000C2BDF" w:rsidRPr="00644CCA" w:rsidRDefault="000C2BDF" w:rsidP="00621097">
            <w:pP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SLR</w:t>
            </w:r>
          </w:p>
        </w:tc>
      </w:tr>
    </w:tbl>
    <w:p w14:paraId="30898E52" w14:textId="12DE90FE" w:rsidR="000C2BDF" w:rsidRPr="00644CCA" w:rsidRDefault="000C2BDF" w:rsidP="000C2BDF">
      <w:pPr>
        <w:spacing w:after="200" w:line="240" w:lineRule="auto"/>
        <w:rPr>
          <w:rFonts w:ascii="Times New Roman" w:eastAsia="Times New Roman" w:hAnsi="Times New Roman" w:cs="Times New Roman"/>
          <w:b/>
          <w:sz w:val="20"/>
          <w:szCs w:val="20"/>
        </w:rPr>
        <w:sectPr w:rsidR="000C2BDF" w:rsidRPr="00644CCA">
          <w:pgSz w:w="11907" w:h="16839"/>
          <w:pgMar w:top="1440" w:right="1440" w:bottom="1440" w:left="1440" w:header="720" w:footer="720" w:gutter="0"/>
          <w:pgNumType w:start="1"/>
          <w:cols w:space="720"/>
        </w:sectPr>
      </w:pPr>
    </w:p>
    <w:p w14:paraId="25FA0F5F" w14:textId="4AFC81E1" w:rsidR="000C2BDF" w:rsidRPr="00644CCA" w:rsidRDefault="000C2BDF" w:rsidP="000C2BDF">
      <w:pPr>
        <w:spacing w:line="240" w:lineRule="auto"/>
        <w:rPr>
          <w:rFonts w:ascii="Times New Roman" w:eastAsia="Times New Roman" w:hAnsi="Times New Roman" w:cs="Times New Roman"/>
          <w:i/>
          <w:sz w:val="20"/>
          <w:szCs w:val="20"/>
        </w:rPr>
      </w:pPr>
      <w:r w:rsidRPr="00644CCA">
        <w:rPr>
          <w:rFonts w:ascii="Times New Roman" w:eastAsia="Times New Roman" w:hAnsi="Times New Roman" w:cs="Times New Roman"/>
          <w:b/>
          <w:sz w:val="20"/>
          <w:szCs w:val="20"/>
        </w:rPr>
        <w:lastRenderedPageBreak/>
        <w:t xml:space="preserve">Table </w:t>
      </w:r>
      <w:r w:rsidR="00151BD0" w:rsidRPr="00644CCA">
        <w:rPr>
          <w:rFonts w:ascii="Times New Roman" w:eastAsia="Times New Roman" w:hAnsi="Times New Roman" w:cs="Times New Roman"/>
          <w:b/>
          <w:sz w:val="20"/>
          <w:szCs w:val="20"/>
        </w:rPr>
        <w:t>2</w:t>
      </w:r>
      <w:r w:rsidRPr="00644CCA">
        <w:rPr>
          <w:rFonts w:ascii="Times New Roman" w:eastAsia="Times New Roman" w:hAnsi="Times New Roman" w:cs="Times New Roman"/>
          <w:b/>
          <w:sz w:val="20"/>
          <w:szCs w:val="20"/>
        </w:rPr>
        <w:t xml:space="preserve"> </w:t>
      </w:r>
      <w:r w:rsidRPr="00644CCA">
        <w:rPr>
          <w:rFonts w:ascii="Times New Roman" w:eastAsia="Times New Roman" w:hAnsi="Times New Roman" w:cs="Times New Roman"/>
          <w:iCs/>
          <w:sz w:val="20"/>
          <w:szCs w:val="20"/>
        </w:rPr>
        <w:t>Major Theories from Articles</w:t>
      </w:r>
    </w:p>
    <w:tbl>
      <w:tblPr>
        <w:tblW w:w="13960" w:type="dxa"/>
        <w:tblInd w:w="-131" w:type="dxa"/>
        <w:tblLayout w:type="fixed"/>
        <w:tblLook w:val="0400" w:firstRow="0" w:lastRow="0" w:firstColumn="0" w:lastColumn="0" w:noHBand="0" w:noVBand="1"/>
      </w:tblPr>
      <w:tblGrid>
        <w:gridCol w:w="570"/>
        <w:gridCol w:w="1510"/>
        <w:gridCol w:w="2880"/>
        <w:gridCol w:w="9000"/>
      </w:tblGrid>
      <w:tr w:rsidR="000C2BDF" w:rsidRPr="00644CCA" w14:paraId="2FD31F97" w14:textId="77777777" w:rsidTr="00621097">
        <w:trPr>
          <w:cantSplit/>
          <w:trHeight w:val="20"/>
          <w:tblHeader/>
        </w:trPr>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2C6CCF" w14:textId="77777777" w:rsidR="000C2BDF" w:rsidRPr="00644CCA" w:rsidRDefault="000C2BDF" w:rsidP="00621097">
            <w:pPr>
              <w:spacing w:after="0"/>
              <w:jc w:val="center"/>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Sl. No.</w:t>
            </w:r>
          </w:p>
        </w:tc>
        <w:tc>
          <w:tcPr>
            <w:tcW w:w="1510" w:type="dxa"/>
            <w:tcBorders>
              <w:top w:val="single" w:sz="4" w:space="0" w:color="000000"/>
              <w:left w:val="nil"/>
              <w:bottom w:val="single" w:sz="4" w:space="0" w:color="000000"/>
              <w:right w:val="single" w:sz="4" w:space="0" w:color="000000"/>
            </w:tcBorders>
            <w:shd w:val="clear" w:color="auto" w:fill="auto"/>
            <w:vAlign w:val="center"/>
          </w:tcPr>
          <w:p w14:paraId="1456E4A5" w14:textId="77777777" w:rsidR="000C2BDF" w:rsidRPr="00644CCA" w:rsidRDefault="000C2BDF" w:rsidP="00621097">
            <w:pPr>
              <w:spacing w:after="0"/>
              <w:jc w:val="center"/>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Theory</w:t>
            </w:r>
          </w:p>
        </w:tc>
        <w:tc>
          <w:tcPr>
            <w:tcW w:w="2880" w:type="dxa"/>
            <w:tcBorders>
              <w:top w:val="single" w:sz="4" w:space="0" w:color="000000"/>
              <w:left w:val="nil"/>
              <w:bottom w:val="single" w:sz="4" w:space="0" w:color="000000"/>
              <w:right w:val="single" w:sz="4" w:space="0" w:color="000000"/>
            </w:tcBorders>
            <w:shd w:val="clear" w:color="auto" w:fill="auto"/>
            <w:vAlign w:val="center"/>
          </w:tcPr>
          <w:p w14:paraId="648E3E31" w14:textId="77777777" w:rsidR="000C2BDF" w:rsidRPr="00644CCA" w:rsidRDefault="000C2BDF" w:rsidP="00621097">
            <w:pPr>
              <w:spacing w:after="0"/>
              <w:jc w:val="both"/>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Paper</w:t>
            </w:r>
          </w:p>
        </w:tc>
        <w:tc>
          <w:tcPr>
            <w:tcW w:w="9000" w:type="dxa"/>
            <w:tcBorders>
              <w:top w:val="single" w:sz="4" w:space="0" w:color="000000"/>
              <w:left w:val="nil"/>
              <w:bottom w:val="single" w:sz="4" w:space="0" w:color="000000"/>
              <w:right w:val="single" w:sz="4" w:space="0" w:color="000000"/>
            </w:tcBorders>
            <w:shd w:val="clear" w:color="auto" w:fill="auto"/>
            <w:vAlign w:val="center"/>
          </w:tcPr>
          <w:p w14:paraId="3FF4DD1B" w14:textId="77777777" w:rsidR="000C2BDF" w:rsidRPr="00644CCA" w:rsidRDefault="000C2BDF" w:rsidP="00621097">
            <w:pPr>
              <w:spacing w:after="0"/>
              <w:jc w:val="both"/>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Remarks</w:t>
            </w:r>
          </w:p>
        </w:tc>
      </w:tr>
      <w:tr w:rsidR="000C2BDF" w:rsidRPr="00644CCA" w14:paraId="3CA9847E"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516FA1F8"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w:t>
            </w:r>
          </w:p>
        </w:tc>
        <w:tc>
          <w:tcPr>
            <w:tcW w:w="1510" w:type="dxa"/>
            <w:tcBorders>
              <w:top w:val="nil"/>
              <w:left w:val="nil"/>
              <w:bottom w:val="single" w:sz="4" w:space="0" w:color="000000"/>
              <w:right w:val="single" w:sz="4" w:space="0" w:color="000000"/>
            </w:tcBorders>
            <w:shd w:val="clear" w:color="auto" w:fill="auto"/>
            <w:vAlign w:val="center"/>
          </w:tcPr>
          <w:p w14:paraId="42A59730"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4Ps Framework</w:t>
            </w:r>
          </w:p>
        </w:tc>
        <w:tc>
          <w:tcPr>
            <w:tcW w:w="2880" w:type="dxa"/>
            <w:tcBorders>
              <w:top w:val="nil"/>
              <w:left w:val="nil"/>
              <w:bottom w:val="single" w:sz="4" w:space="0" w:color="000000"/>
              <w:right w:val="single" w:sz="4" w:space="0" w:color="000000"/>
            </w:tcBorders>
            <w:shd w:val="clear" w:color="auto" w:fill="auto"/>
            <w:vAlign w:val="center"/>
          </w:tcPr>
          <w:p w14:paraId="65A5DC16" w14:textId="77777777" w:rsidR="000C2BDF" w:rsidRPr="00644CCA" w:rsidRDefault="000C2BDF" w:rsidP="00621097">
            <w:pPr>
              <w:spacing w:after="0"/>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Dai and Tayur (2022)</w:t>
            </w:r>
          </w:p>
        </w:tc>
        <w:tc>
          <w:tcPr>
            <w:tcW w:w="9000" w:type="dxa"/>
            <w:tcBorders>
              <w:top w:val="nil"/>
              <w:left w:val="nil"/>
              <w:bottom w:val="single" w:sz="4" w:space="0" w:color="000000"/>
              <w:right w:val="single" w:sz="4" w:space="0" w:color="000000"/>
            </w:tcBorders>
            <w:shd w:val="clear" w:color="auto" w:fill="auto"/>
            <w:vAlign w:val="center"/>
          </w:tcPr>
          <w:p w14:paraId="26F9150E" w14:textId="2AC8CA61"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Dai and Tayur (2022) provide the 4Ps Framework</w:t>
            </w:r>
            <w:r w:rsidR="009A2CBF"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which states that for successful integration of AI into Healthcare systems, 4Ps are required, namely, Physician Buy-in, Patient Acceptance, Provider Investment</w:t>
            </w:r>
            <w:r w:rsidR="00047A8D"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Payer Support. He further states that of these four, the first two have to be primarily focused on</w:t>
            </w:r>
            <w:r w:rsidR="009A2CBF"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the last two shall eventually follow. They also explain that while </w:t>
            </w:r>
            <w:r w:rsidR="00047A8D" w:rsidRPr="00644CCA">
              <w:rPr>
                <w:rFonts w:ascii="Times New Roman" w:eastAsia="Times New Roman" w:hAnsi="Times New Roman" w:cs="Times New Roman"/>
                <w:color w:val="000000"/>
                <w:sz w:val="20"/>
                <w:szCs w:val="20"/>
              </w:rPr>
              <w:t>legal liability, reputation concerns, and uniqueness bias hinder the readiness of healthcare workers to adopt AI, in the case of customers, the primary concerns are</w:t>
            </w:r>
            <w:r w:rsidRPr="00644CCA">
              <w:rPr>
                <w:rFonts w:ascii="Times New Roman" w:eastAsia="Times New Roman" w:hAnsi="Times New Roman" w:cs="Times New Roman"/>
                <w:color w:val="000000"/>
                <w:sz w:val="20"/>
                <w:szCs w:val="20"/>
              </w:rPr>
              <w:t xml:space="preserve"> privacy, transparency of results</w:t>
            </w:r>
            <w:r w:rsidR="009A2CBF"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financial burden. They also suggest </w:t>
            </w:r>
            <w:r w:rsidR="009A2CBF" w:rsidRPr="00644CCA">
              <w:rPr>
                <w:rFonts w:ascii="Times New Roman" w:eastAsia="Times New Roman" w:hAnsi="Times New Roman" w:cs="Times New Roman"/>
                <w:color w:val="000000"/>
                <w:sz w:val="20"/>
                <w:szCs w:val="20"/>
              </w:rPr>
              <w:t>applying the nudge technique and providing</w:t>
            </w:r>
            <w:r w:rsidRPr="00644CCA">
              <w:rPr>
                <w:rFonts w:ascii="Times New Roman" w:eastAsia="Times New Roman" w:hAnsi="Times New Roman" w:cs="Times New Roman"/>
                <w:color w:val="000000"/>
                <w:sz w:val="20"/>
                <w:szCs w:val="20"/>
              </w:rPr>
              <w:t xml:space="preserve"> financial incentives to increase patient acceptance of AI in </w:t>
            </w:r>
            <w:r w:rsidRPr="00644CCA">
              <w:rPr>
                <w:rFonts w:ascii="Times New Roman" w:eastAsia="Times New Roman" w:hAnsi="Times New Roman" w:cs="Times New Roman"/>
                <w:sz w:val="20"/>
                <w:szCs w:val="20"/>
              </w:rPr>
              <w:t>Healthcare</w:t>
            </w:r>
            <w:r w:rsidRPr="00644CCA">
              <w:rPr>
                <w:rFonts w:ascii="Times New Roman" w:eastAsia="Times New Roman" w:hAnsi="Times New Roman" w:cs="Times New Roman"/>
                <w:color w:val="000000"/>
                <w:sz w:val="20"/>
                <w:szCs w:val="20"/>
              </w:rPr>
              <w:t>.</w:t>
            </w:r>
          </w:p>
        </w:tc>
      </w:tr>
      <w:tr w:rsidR="000C2BDF" w:rsidRPr="00644CCA" w14:paraId="04CDDC6F"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4E4C9769"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2</w:t>
            </w:r>
          </w:p>
        </w:tc>
        <w:tc>
          <w:tcPr>
            <w:tcW w:w="1510" w:type="dxa"/>
            <w:tcBorders>
              <w:top w:val="nil"/>
              <w:left w:val="nil"/>
              <w:bottom w:val="single" w:sz="4" w:space="0" w:color="000000"/>
              <w:right w:val="single" w:sz="4" w:space="0" w:color="000000"/>
            </w:tcBorders>
            <w:shd w:val="clear" w:color="auto" w:fill="auto"/>
            <w:vAlign w:val="center"/>
          </w:tcPr>
          <w:p w14:paraId="6B59757A"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AIDUA</w:t>
            </w:r>
          </w:p>
        </w:tc>
        <w:tc>
          <w:tcPr>
            <w:tcW w:w="2880" w:type="dxa"/>
            <w:tcBorders>
              <w:top w:val="nil"/>
              <w:left w:val="nil"/>
              <w:bottom w:val="single" w:sz="4" w:space="0" w:color="000000"/>
              <w:right w:val="single" w:sz="4" w:space="0" w:color="000000"/>
            </w:tcBorders>
            <w:shd w:val="clear" w:color="auto" w:fill="auto"/>
            <w:vAlign w:val="center"/>
          </w:tcPr>
          <w:p w14:paraId="61FCBD75" w14:textId="77777777" w:rsidR="000C2BDF" w:rsidRPr="00644CCA" w:rsidRDefault="000C2BDF" w:rsidP="00621097">
            <w:pPr>
              <w:spacing w:after="0"/>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Chi et al. (2023); Gursoy et al. (2019); Lin et al. (2020)</w:t>
            </w:r>
          </w:p>
        </w:tc>
        <w:tc>
          <w:tcPr>
            <w:tcW w:w="9000" w:type="dxa"/>
            <w:tcBorders>
              <w:top w:val="nil"/>
              <w:left w:val="nil"/>
              <w:bottom w:val="single" w:sz="4" w:space="0" w:color="000000"/>
              <w:right w:val="single" w:sz="4" w:space="0" w:color="000000"/>
            </w:tcBorders>
            <w:shd w:val="clear" w:color="auto" w:fill="auto"/>
            <w:vAlign w:val="center"/>
          </w:tcPr>
          <w:p w14:paraId="37FD2053" w14:textId="6B48EBC1"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Gursoy et al. (2019) developed and tested the artificially intelligent (AI) device use acceptance (AIDUA) model in the context of customer acceptance or rejection of service robots during service encounters. The AIDUA model is based on the stage model Lazarus's </w:t>
            </w:r>
            <w:r w:rsidRPr="00644CCA">
              <w:rPr>
                <w:rFonts w:ascii="Times New Roman" w:eastAsia="Times New Roman" w:hAnsi="Times New Roman" w:cs="Times New Roman"/>
                <w:sz w:val="20"/>
                <w:szCs w:val="20"/>
              </w:rPr>
              <w:t>cognitive-motivation-emotion</w:t>
            </w:r>
            <w:r w:rsidRPr="00644CCA">
              <w:rPr>
                <w:rFonts w:ascii="Times New Roman" w:eastAsia="Times New Roman" w:hAnsi="Times New Roman" w:cs="Times New Roman"/>
                <w:color w:val="000000"/>
                <w:sz w:val="20"/>
                <w:szCs w:val="20"/>
              </w:rPr>
              <w:t xml:space="preserve"> framework</w:t>
            </w:r>
            <w:r w:rsidR="009A2CBF"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which states that consumer </w:t>
            </w:r>
            <w:r w:rsidR="009A2CBF" w:rsidRPr="00644CCA">
              <w:rPr>
                <w:rFonts w:ascii="Times New Roman" w:eastAsia="Times New Roman" w:hAnsi="Times New Roman" w:cs="Times New Roman"/>
                <w:sz w:val="20"/>
                <w:szCs w:val="20"/>
              </w:rPr>
              <w:t>decision-making</w:t>
            </w:r>
            <w:r w:rsidRPr="00644CCA">
              <w:rPr>
                <w:rFonts w:ascii="Times New Roman" w:eastAsia="Times New Roman" w:hAnsi="Times New Roman" w:cs="Times New Roman"/>
                <w:color w:val="000000"/>
                <w:sz w:val="20"/>
                <w:szCs w:val="20"/>
              </w:rPr>
              <w:t xml:space="preserve"> is a three-stage appraisal process</w:t>
            </w:r>
            <w:r w:rsidR="00047A8D"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w:t>
            </w:r>
            <w:r w:rsidRPr="00644CCA">
              <w:rPr>
                <w:rFonts w:ascii="Times New Roman" w:eastAsia="Times New Roman" w:hAnsi="Times New Roman" w:cs="Times New Roman"/>
                <w:sz w:val="20"/>
                <w:szCs w:val="20"/>
              </w:rPr>
              <w:t>primary</w:t>
            </w:r>
            <w:r w:rsidRPr="00644CCA">
              <w:rPr>
                <w:rFonts w:ascii="Times New Roman" w:eastAsia="Times New Roman" w:hAnsi="Times New Roman" w:cs="Times New Roman"/>
                <w:color w:val="000000"/>
                <w:sz w:val="20"/>
                <w:szCs w:val="20"/>
              </w:rPr>
              <w:t xml:space="preserve"> appraisal</w:t>
            </w:r>
            <w:r w:rsidR="00E248D9" w:rsidRPr="00644CCA">
              <w:rPr>
                <w:rFonts w:ascii="Times New Roman" w:eastAsia="Times New Roman" w:hAnsi="Times New Roman" w:cs="Times New Roman"/>
                <w:color w:val="000000"/>
                <w:sz w:val="20"/>
                <w:szCs w:val="20"/>
              </w:rPr>
              <w:t xml:space="preserve">, </w:t>
            </w:r>
            <w:r w:rsidRPr="00644CCA">
              <w:rPr>
                <w:rFonts w:ascii="Times New Roman" w:eastAsia="Times New Roman" w:hAnsi="Times New Roman" w:cs="Times New Roman"/>
                <w:color w:val="000000"/>
                <w:sz w:val="20"/>
                <w:szCs w:val="20"/>
              </w:rPr>
              <w:t xml:space="preserve">which includes evaluation of </w:t>
            </w:r>
            <w:r w:rsidR="009A2CBF"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 xml:space="preserve">importance of </w:t>
            </w:r>
            <w:r w:rsidR="009A2CBF" w:rsidRPr="00644CCA">
              <w:rPr>
                <w:rFonts w:ascii="Times New Roman" w:eastAsia="Times New Roman" w:hAnsi="Times New Roman" w:cs="Times New Roman"/>
                <w:color w:val="000000"/>
                <w:sz w:val="20"/>
                <w:szCs w:val="20"/>
              </w:rPr>
              <w:t>particular</w:t>
            </w:r>
            <w:r w:rsidRPr="00644CCA">
              <w:rPr>
                <w:rFonts w:ascii="Times New Roman" w:eastAsia="Times New Roman" w:hAnsi="Times New Roman" w:cs="Times New Roman"/>
                <w:color w:val="000000"/>
                <w:sz w:val="20"/>
                <w:szCs w:val="20"/>
              </w:rPr>
              <w:t xml:space="preserve"> </w:t>
            </w:r>
            <w:r w:rsidR="001812EB" w:rsidRPr="00644CCA">
              <w:rPr>
                <w:rFonts w:ascii="Times New Roman" w:eastAsia="Times New Roman" w:hAnsi="Times New Roman" w:cs="Times New Roman"/>
                <w:color w:val="000000"/>
                <w:sz w:val="20"/>
                <w:szCs w:val="20"/>
              </w:rPr>
              <w:t>behaviour</w:t>
            </w:r>
            <w:r w:rsidR="009A2CBF" w:rsidRPr="00644CCA">
              <w:rPr>
                <w:rFonts w:ascii="Times New Roman" w:eastAsia="Times New Roman" w:hAnsi="Times New Roman" w:cs="Times New Roman"/>
                <w:color w:val="000000"/>
                <w:sz w:val="20"/>
                <w:szCs w:val="20"/>
              </w:rPr>
              <w:t>; secondary</w:t>
            </w:r>
            <w:r w:rsidRPr="00644CCA">
              <w:rPr>
                <w:rFonts w:ascii="Times New Roman" w:eastAsia="Times New Roman" w:hAnsi="Times New Roman" w:cs="Times New Roman"/>
                <w:color w:val="000000"/>
                <w:sz w:val="20"/>
                <w:szCs w:val="20"/>
              </w:rPr>
              <w:t xml:space="preserve"> appraisal</w:t>
            </w:r>
            <w:r w:rsidR="00E248D9"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which includes </w:t>
            </w:r>
            <w:r w:rsidR="001812EB" w:rsidRPr="00644CCA">
              <w:rPr>
                <w:rFonts w:ascii="Times New Roman" w:eastAsia="Times New Roman" w:hAnsi="Times New Roman" w:cs="Times New Roman"/>
                <w:color w:val="000000"/>
                <w:sz w:val="20"/>
                <w:szCs w:val="20"/>
              </w:rPr>
              <w:t>behaviour</w:t>
            </w:r>
            <w:r w:rsidRPr="00644CCA">
              <w:rPr>
                <w:rFonts w:ascii="Times New Roman" w:eastAsia="Times New Roman" w:hAnsi="Times New Roman" w:cs="Times New Roman"/>
                <w:color w:val="000000"/>
                <w:sz w:val="20"/>
                <w:szCs w:val="20"/>
              </w:rPr>
              <w:t>al options</w:t>
            </w:r>
            <w:r w:rsidR="00047A8D"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ultimately</w:t>
            </w:r>
            <w:r w:rsidR="009A2CBF"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the third stage</w:t>
            </w:r>
            <w:r w:rsidR="009A2CBF"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is the outcome stage which includes the creation of emotions toward the stimulus that leads to </w:t>
            </w:r>
            <w:r w:rsidR="001812EB" w:rsidRPr="00644CCA">
              <w:rPr>
                <w:rFonts w:ascii="Times New Roman" w:eastAsia="Times New Roman" w:hAnsi="Times New Roman" w:cs="Times New Roman"/>
                <w:color w:val="000000"/>
                <w:sz w:val="20"/>
                <w:szCs w:val="20"/>
              </w:rPr>
              <w:t>behaviour</w:t>
            </w:r>
            <w:r w:rsidRPr="00644CCA">
              <w:rPr>
                <w:rFonts w:ascii="Times New Roman" w:eastAsia="Times New Roman" w:hAnsi="Times New Roman" w:cs="Times New Roman"/>
                <w:color w:val="000000"/>
                <w:sz w:val="20"/>
                <w:szCs w:val="20"/>
              </w:rPr>
              <w:t xml:space="preserve">al intentions. Chi et al. (2023) </w:t>
            </w:r>
            <w:r w:rsidRPr="00644CCA">
              <w:rPr>
                <w:rFonts w:ascii="Times New Roman" w:eastAsia="Times New Roman" w:hAnsi="Times New Roman" w:cs="Times New Roman"/>
                <w:sz w:val="20"/>
                <w:szCs w:val="20"/>
              </w:rPr>
              <w:t>utilized the AIUDA</w:t>
            </w:r>
            <w:r w:rsidRPr="00644CCA">
              <w:rPr>
                <w:rFonts w:ascii="Times New Roman" w:eastAsia="Times New Roman" w:hAnsi="Times New Roman" w:cs="Times New Roman"/>
                <w:color w:val="000000"/>
                <w:sz w:val="20"/>
                <w:szCs w:val="20"/>
              </w:rPr>
              <w:t xml:space="preserve"> model </w:t>
            </w:r>
            <w:r w:rsidR="009A2CBF" w:rsidRPr="00644CCA">
              <w:rPr>
                <w:rFonts w:ascii="Times New Roman" w:eastAsia="Times New Roman" w:hAnsi="Times New Roman" w:cs="Times New Roman"/>
                <w:color w:val="000000"/>
                <w:sz w:val="20"/>
                <w:szCs w:val="20"/>
              </w:rPr>
              <w:t>to determine</w:t>
            </w:r>
            <w:r w:rsidRPr="00644CCA">
              <w:rPr>
                <w:rFonts w:ascii="Times New Roman" w:eastAsia="Times New Roman" w:hAnsi="Times New Roman" w:cs="Times New Roman"/>
                <w:color w:val="000000"/>
                <w:sz w:val="20"/>
                <w:szCs w:val="20"/>
              </w:rPr>
              <w:t xml:space="preserve"> the importance of trust and culture on consumer acceptance of service robots. </w:t>
            </w:r>
          </w:p>
        </w:tc>
      </w:tr>
      <w:tr w:rsidR="000C2BDF" w:rsidRPr="00644CCA" w14:paraId="602ACF16"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688E3E5A"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3</w:t>
            </w:r>
          </w:p>
        </w:tc>
        <w:tc>
          <w:tcPr>
            <w:tcW w:w="1510" w:type="dxa"/>
            <w:tcBorders>
              <w:top w:val="nil"/>
              <w:left w:val="nil"/>
              <w:bottom w:val="single" w:sz="4" w:space="0" w:color="000000"/>
              <w:right w:val="single" w:sz="4" w:space="0" w:color="000000"/>
            </w:tcBorders>
            <w:shd w:val="clear" w:color="auto" w:fill="auto"/>
            <w:vAlign w:val="center"/>
          </w:tcPr>
          <w:p w14:paraId="33FAED18"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Cognitive Absorption Theory</w:t>
            </w:r>
          </w:p>
        </w:tc>
        <w:tc>
          <w:tcPr>
            <w:tcW w:w="2880" w:type="dxa"/>
            <w:tcBorders>
              <w:top w:val="nil"/>
              <w:left w:val="nil"/>
              <w:bottom w:val="single" w:sz="4" w:space="0" w:color="000000"/>
              <w:right w:val="single" w:sz="4" w:space="0" w:color="000000"/>
            </w:tcBorders>
            <w:shd w:val="clear" w:color="auto" w:fill="auto"/>
            <w:vAlign w:val="center"/>
          </w:tcPr>
          <w:p w14:paraId="3C6688DC" w14:textId="77777777"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Balakrishnan and Dwivedi (2021)</w:t>
            </w:r>
          </w:p>
        </w:tc>
        <w:tc>
          <w:tcPr>
            <w:tcW w:w="9000" w:type="dxa"/>
            <w:tcBorders>
              <w:top w:val="nil"/>
              <w:left w:val="nil"/>
              <w:bottom w:val="single" w:sz="4" w:space="0" w:color="000000"/>
              <w:right w:val="single" w:sz="4" w:space="0" w:color="000000"/>
            </w:tcBorders>
            <w:shd w:val="clear" w:color="auto" w:fill="auto"/>
            <w:vAlign w:val="center"/>
          </w:tcPr>
          <w:p w14:paraId="449D4347" w14:textId="4B5522BC"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sz w:val="20"/>
                <w:szCs w:val="20"/>
              </w:rPr>
              <w:t>Cognitive</w:t>
            </w:r>
            <w:r w:rsidRPr="00644CCA">
              <w:rPr>
                <w:rFonts w:ascii="Times New Roman" w:eastAsia="Times New Roman" w:hAnsi="Times New Roman" w:cs="Times New Roman"/>
                <w:color w:val="000000"/>
                <w:sz w:val="20"/>
                <w:szCs w:val="20"/>
              </w:rPr>
              <w:t xml:space="preserve"> absorption theory revolves around the concept of a state of deep involvement with software that is exhibited through five dimensions of temporal dissociation, focused immersion, </w:t>
            </w:r>
            <w:r w:rsidRPr="00644CCA">
              <w:rPr>
                <w:rFonts w:ascii="Times New Roman" w:eastAsia="Times New Roman" w:hAnsi="Times New Roman" w:cs="Times New Roman"/>
                <w:sz w:val="20"/>
                <w:szCs w:val="20"/>
              </w:rPr>
              <w:t>heightened</w:t>
            </w:r>
            <w:r w:rsidRPr="00644CCA">
              <w:rPr>
                <w:rFonts w:ascii="Times New Roman" w:eastAsia="Times New Roman" w:hAnsi="Times New Roman" w:cs="Times New Roman"/>
                <w:color w:val="000000"/>
                <w:sz w:val="20"/>
                <w:szCs w:val="20"/>
              </w:rPr>
              <w:t xml:space="preserve"> enjoyment, control</w:t>
            </w:r>
            <w:r w:rsidR="009A2CBF"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curiosity. Balakrishnan and Dwivedi (2021) concluded in their paper that human-to-machine interaction contributes more to cognitive absorption compared to human-to-human interaction. They also provide an outline to create technology continuation intention with trust and experience as significant drivers.</w:t>
            </w:r>
          </w:p>
        </w:tc>
      </w:tr>
      <w:tr w:rsidR="000C2BDF" w:rsidRPr="00644CCA" w14:paraId="13B66FE8"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65576617"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4</w:t>
            </w:r>
          </w:p>
        </w:tc>
        <w:tc>
          <w:tcPr>
            <w:tcW w:w="1510" w:type="dxa"/>
            <w:tcBorders>
              <w:top w:val="nil"/>
              <w:left w:val="nil"/>
              <w:bottom w:val="single" w:sz="4" w:space="0" w:color="000000"/>
              <w:right w:val="single" w:sz="4" w:space="0" w:color="000000"/>
            </w:tcBorders>
            <w:shd w:val="clear" w:color="auto" w:fill="auto"/>
            <w:vAlign w:val="center"/>
          </w:tcPr>
          <w:p w14:paraId="64F47E28"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Diffusion of Innovation Theory</w:t>
            </w:r>
          </w:p>
        </w:tc>
        <w:tc>
          <w:tcPr>
            <w:tcW w:w="2880" w:type="dxa"/>
            <w:tcBorders>
              <w:top w:val="nil"/>
              <w:left w:val="nil"/>
              <w:bottom w:val="single" w:sz="4" w:space="0" w:color="000000"/>
              <w:right w:val="single" w:sz="4" w:space="0" w:color="000000"/>
            </w:tcBorders>
            <w:shd w:val="clear" w:color="auto" w:fill="auto"/>
            <w:vAlign w:val="center"/>
          </w:tcPr>
          <w:p w14:paraId="1298C3C3" w14:textId="77777777" w:rsidR="000C2BDF" w:rsidRPr="00644CCA" w:rsidRDefault="000C2BDF" w:rsidP="00621097">
            <w:pPr>
              <w:spacing w:after="0"/>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Nadarzynski et al. (2020)</w:t>
            </w:r>
          </w:p>
        </w:tc>
        <w:tc>
          <w:tcPr>
            <w:tcW w:w="9000" w:type="dxa"/>
            <w:tcBorders>
              <w:top w:val="nil"/>
              <w:left w:val="nil"/>
              <w:bottom w:val="single" w:sz="4" w:space="0" w:color="000000"/>
              <w:right w:val="single" w:sz="4" w:space="0" w:color="000000"/>
            </w:tcBorders>
            <w:shd w:val="clear" w:color="auto" w:fill="auto"/>
            <w:vAlign w:val="center"/>
          </w:tcPr>
          <w:p w14:paraId="099AD3A7" w14:textId="45AA4012"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Diffusion of Innovation Theory states that consumer adaptation of new digital solutions depends upon individual </w:t>
            </w:r>
            <w:r w:rsidR="009A2CBF" w:rsidRPr="00644CCA">
              <w:rPr>
                <w:rFonts w:ascii="Times New Roman" w:eastAsia="Times New Roman" w:hAnsi="Times New Roman" w:cs="Times New Roman"/>
                <w:color w:val="000000"/>
                <w:sz w:val="20"/>
                <w:szCs w:val="20"/>
              </w:rPr>
              <w:t>decision-making</w:t>
            </w:r>
            <w:r w:rsidRPr="00644CCA">
              <w:rPr>
                <w:rFonts w:ascii="Times New Roman" w:eastAsia="Times New Roman" w:hAnsi="Times New Roman" w:cs="Times New Roman"/>
                <w:color w:val="000000"/>
                <w:sz w:val="20"/>
                <w:szCs w:val="20"/>
              </w:rPr>
              <w:t>, promotion</w:t>
            </w:r>
            <w:r w:rsidR="009A2CBF"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the age of the solutions in the market. Nadarzynski et al. (2020) </w:t>
            </w:r>
            <w:r w:rsidRPr="00644CCA">
              <w:rPr>
                <w:rFonts w:ascii="Times New Roman" w:eastAsia="Times New Roman" w:hAnsi="Times New Roman" w:cs="Times New Roman"/>
                <w:sz w:val="20"/>
                <w:szCs w:val="20"/>
              </w:rPr>
              <w:t>identified a low</w:t>
            </w:r>
            <w:r w:rsidRPr="00644CCA">
              <w:rPr>
                <w:rFonts w:ascii="Times New Roman" w:eastAsia="Times New Roman" w:hAnsi="Times New Roman" w:cs="Times New Roman"/>
                <w:color w:val="000000"/>
                <w:sz w:val="20"/>
                <w:szCs w:val="20"/>
              </w:rPr>
              <w:t xml:space="preserve"> acceptance rate in patients with low awareness </w:t>
            </w:r>
            <w:r w:rsidR="009A2CBF" w:rsidRPr="00644CCA">
              <w:rPr>
                <w:rFonts w:ascii="Times New Roman" w:eastAsia="Times New Roman" w:hAnsi="Times New Roman" w:cs="Times New Roman"/>
                <w:color w:val="000000"/>
                <w:sz w:val="20"/>
                <w:szCs w:val="20"/>
              </w:rPr>
              <w:t>levels</w:t>
            </w:r>
            <w:r w:rsidRPr="00644CCA">
              <w:rPr>
                <w:rFonts w:ascii="Times New Roman" w:eastAsia="Times New Roman" w:hAnsi="Times New Roman" w:cs="Times New Roman"/>
                <w:color w:val="000000"/>
                <w:sz w:val="20"/>
                <w:szCs w:val="20"/>
              </w:rPr>
              <w:t xml:space="preserve">, </w:t>
            </w:r>
            <w:r w:rsidRPr="00644CCA">
              <w:rPr>
                <w:rFonts w:ascii="Times New Roman" w:eastAsia="Times New Roman" w:hAnsi="Times New Roman" w:cs="Times New Roman"/>
                <w:sz w:val="20"/>
                <w:szCs w:val="20"/>
              </w:rPr>
              <w:t>consistent</w:t>
            </w:r>
            <w:r w:rsidRPr="00644CCA">
              <w:rPr>
                <w:rFonts w:ascii="Times New Roman" w:eastAsia="Times New Roman" w:hAnsi="Times New Roman" w:cs="Times New Roman"/>
                <w:color w:val="000000"/>
                <w:sz w:val="20"/>
                <w:szCs w:val="20"/>
              </w:rPr>
              <w:t xml:space="preserve"> with </w:t>
            </w:r>
            <w:r w:rsidR="009A2CBF"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Diffusion of Innovation Theory.</w:t>
            </w:r>
          </w:p>
        </w:tc>
      </w:tr>
      <w:tr w:rsidR="000C2BDF" w:rsidRPr="00644CCA" w14:paraId="2F628CD4"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58EFE0A3"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5</w:t>
            </w:r>
          </w:p>
        </w:tc>
        <w:tc>
          <w:tcPr>
            <w:tcW w:w="1510" w:type="dxa"/>
            <w:tcBorders>
              <w:top w:val="nil"/>
              <w:left w:val="nil"/>
              <w:bottom w:val="single" w:sz="4" w:space="0" w:color="000000"/>
              <w:right w:val="single" w:sz="4" w:space="0" w:color="000000"/>
            </w:tcBorders>
            <w:shd w:val="clear" w:color="auto" w:fill="auto"/>
            <w:vAlign w:val="center"/>
          </w:tcPr>
          <w:p w14:paraId="0589A064"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Dual factor Theory</w:t>
            </w:r>
          </w:p>
        </w:tc>
        <w:tc>
          <w:tcPr>
            <w:tcW w:w="2880" w:type="dxa"/>
            <w:tcBorders>
              <w:top w:val="nil"/>
              <w:left w:val="nil"/>
              <w:bottom w:val="single" w:sz="4" w:space="0" w:color="000000"/>
              <w:right w:val="single" w:sz="4" w:space="0" w:color="000000"/>
            </w:tcBorders>
            <w:shd w:val="clear" w:color="auto" w:fill="auto"/>
            <w:vAlign w:val="center"/>
          </w:tcPr>
          <w:p w14:paraId="0BDAC145" w14:textId="77777777" w:rsidR="000C2BDF" w:rsidRPr="00644CCA" w:rsidRDefault="000C2BDF" w:rsidP="00621097">
            <w:pPr>
              <w:spacing w:after="0"/>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Ye et al. (2019)</w:t>
            </w:r>
          </w:p>
        </w:tc>
        <w:tc>
          <w:tcPr>
            <w:tcW w:w="9000" w:type="dxa"/>
            <w:tcBorders>
              <w:top w:val="nil"/>
              <w:left w:val="nil"/>
              <w:bottom w:val="single" w:sz="4" w:space="0" w:color="000000"/>
              <w:right w:val="single" w:sz="4" w:space="0" w:color="000000"/>
            </w:tcBorders>
            <w:shd w:val="clear" w:color="auto" w:fill="auto"/>
            <w:vAlign w:val="center"/>
          </w:tcPr>
          <w:p w14:paraId="62353C98" w14:textId="3C512A8B"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As per </w:t>
            </w:r>
            <w:r w:rsidR="00047A8D" w:rsidRPr="00644CCA">
              <w:rPr>
                <w:rFonts w:ascii="Times New Roman" w:eastAsia="Times New Roman" w:hAnsi="Times New Roman" w:cs="Times New Roman"/>
                <w:color w:val="000000"/>
                <w:sz w:val="20"/>
                <w:szCs w:val="20"/>
              </w:rPr>
              <w:t>dual factor theory, users examine enabling and inhibiting factors simultaneously when considering</w:t>
            </w:r>
            <w:r w:rsidRPr="00644CCA">
              <w:rPr>
                <w:rFonts w:ascii="Times New Roman" w:eastAsia="Times New Roman" w:hAnsi="Times New Roman" w:cs="Times New Roman"/>
                <w:color w:val="000000"/>
                <w:sz w:val="20"/>
                <w:szCs w:val="20"/>
              </w:rPr>
              <w:t xml:space="preserve"> information </w:t>
            </w:r>
            <w:r w:rsidRPr="00644CCA">
              <w:rPr>
                <w:rFonts w:ascii="Times New Roman" w:eastAsia="Times New Roman" w:hAnsi="Times New Roman" w:cs="Times New Roman"/>
                <w:sz w:val="20"/>
                <w:szCs w:val="20"/>
              </w:rPr>
              <w:t>technology</w:t>
            </w:r>
            <w:r w:rsidRPr="00644CCA">
              <w:rPr>
                <w:rFonts w:ascii="Times New Roman" w:eastAsia="Times New Roman" w:hAnsi="Times New Roman" w:cs="Times New Roman"/>
                <w:color w:val="000000"/>
                <w:sz w:val="20"/>
                <w:szCs w:val="20"/>
              </w:rPr>
              <w:t xml:space="preserve">. Ye et al. (2019) </w:t>
            </w:r>
            <w:r w:rsidRPr="00644CCA">
              <w:rPr>
                <w:rFonts w:ascii="Times New Roman" w:eastAsia="Times New Roman" w:hAnsi="Times New Roman" w:cs="Times New Roman"/>
                <w:sz w:val="20"/>
                <w:szCs w:val="20"/>
              </w:rPr>
              <w:t>utilized</w:t>
            </w:r>
            <w:r w:rsidRPr="00644CCA">
              <w:rPr>
                <w:rFonts w:ascii="Times New Roman" w:eastAsia="Times New Roman" w:hAnsi="Times New Roman" w:cs="Times New Roman"/>
                <w:color w:val="000000"/>
                <w:sz w:val="20"/>
                <w:szCs w:val="20"/>
              </w:rPr>
              <w:t xml:space="preserve"> </w:t>
            </w:r>
            <w:r w:rsidR="00047A8D"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Dual Factor Theory for hypothesis development.</w:t>
            </w:r>
          </w:p>
        </w:tc>
      </w:tr>
      <w:tr w:rsidR="000C2BDF" w:rsidRPr="00644CCA" w14:paraId="4A69411E"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72C17349"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6</w:t>
            </w:r>
          </w:p>
        </w:tc>
        <w:tc>
          <w:tcPr>
            <w:tcW w:w="1510" w:type="dxa"/>
            <w:tcBorders>
              <w:top w:val="nil"/>
              <w:left w:val="nil"/>
              <w:bottom w:val="single" w:sz="4" w:space="0" w:color="000000"/>
              <w:right w:val="single" w:sz="4" w:space="0" w:color="000000"/>
            </w:tcBorders>
            <w:shd w:val="clear" w:color="auto" w:fill="auto"/>
            <w:vAlign w:val="center"/>
          </w:tcPr>
          <w:p w14:paraId="0270A24C"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Elaboration Likelihood Model</w:t>
            </w:r>
          </w:p>
        </w:tc>
        <w:tc>
          <w:tcPr>
            <w:tcW w:w="2880" w:type="dxa"/>
            <w:tcBorders>
              <w:top w:val="nil"/>
              <w:left w:val="nil"/>
              <w:bottom w:val="single" w:sz="4" w:space="0" w:color="000000"/>
              <w:right w:val="single" w:sz="4" w:space="0" w:color="000000"/>
            </w:tcBorders>
            <w:shd w:val="clear" w:color="auto" w:fill="auto"/>
            <w:vAlign w:val="center"/>
          </w:tcPr>
          <w:p w14:paraId="360EEAF1" w14:textId="77777777" w:rsidR="000C2BDF" w:rsidRPr="00644CCA" w:rsidRDefault="000C2BDF" w:rsidP="00621097">
            <w:pPr>
              <w:spacing w:after="0"/>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Angst and Aggarwal (2009)</w:t>
            </w:r>
          </w:p>
        </w:tc>
        <w:tc>
          <w:tcPr>
            <w:tcW w:w="9000" w:type="dxa"/>
            <w:tcBorders>
              <w:top w:val="nil"/>
              <w:left w:val="nil"/>
              <w:bottom w:val="single" w:sz="4" w:space="0" w:color="000000"/>
              <w:right w:val="single" w:sz="4" w:space="0" w:color="000000"/>
            </w:tcBorders>
            <w:shd w:val="clear" w:color="auto" w:fill="auto"/>
            <w:vAlign w:val="center"/>
          </w:tcPr>
          <w:p w14:paraId="7557F545" w14:textId="60237D44" w:rsidR="000C2BDF" w:rsidRPr="00644CCA" w:rsidRDefault="009A2CB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The elaboration</w:t>
            </w:r>
            <w:r w:rsidR="000C2BDF" w:rsidRPr="00644CCA">
              <w:rPr>
                <w:rFonts w:ascii="Times New Roman" w:eastAsia="Times New Roman" w:hAnsi="Times New Roman" w:cs="Times New Roman"/>
                <w:color w:val="000000"/>
                <w:sz w:val="20"/>
                <w:szCs w:val="20"/>
              </w:rPr>
              <w:t xml:space="preserve"> Likelihood Model </w:t>
            </w:r>
            <w:r w:rsidR="000C2BDF" w:rsidRPr="00644CCA">
              <w:rPr>
                <w:rFonts w:ascii="Times New Roman" w:eastAsia="Times New Roman" w:hAnsi="Times New Roman" w:cs="Times New Roman"/>
                <w:sz w:val="20"/>
                <w:szCs w:val="20"/>
              </w:rPr>
              <w:t>emphasizes</w:t>
            </w:r>
            <w:r w:rsidR="000C2BDF" w:rsidRPr="00644CCA">
              <w:rPr>
                <w:rFonts w:ascii="Times New Roman" w:eastAsia="Times New Roman" w:hAnsi="Times New Roman" w:cs="Times New Roman"/>
                <w:color w:val="000000"/>
                <w:sz w:val="20"/>
                <w:szCs w:val="20"/>
              </w:rPr>
              <w:t xml:space="preserve"> that when elaboration </w:t>
            </w:r>
            <w:r w:rsidRPr="00644CCA">
              <w:rPr>
                <w:rFonts w:ascii="Times New Roman" w:eastAsia="Times New Roman" w:hAnsi="Times New Roman" w:cs="Times New Roman"/>
                <w:color w:val="000000"/>
                <w:sz w:val="20"/>
                <w:szCs w:val="20"/>
              </w:rPr>
              <w:t>is</w:t>
            </w:r>
            <w:r w:rsidR="000C2BDF" w:rsidRPr="00644CCA">
              <w:rPr>
                <w:rFonts w:ascii="Times New Roman" w:eastAsia="Times New Roman" w:hAnsi="Times New Roman" w:cs="Times New Roman"/>
                <w:color w:val="000000"/>
                <w:sz w:val="20"/>
                <w:szCs w:val="20"/>
              </w:rPr>
              <w:t xml:space="preserve"> high, the recipient will experience a central route of persuasion</w:t>
            </w:r>
            <w:r w:rsidRPr="00644CCA">
              <w:rPr>
                <w:rFonts w:ascii="Times New Roman" w:eastAsia="Times New Roman" w:hAnsi="Times New Roman" w:cs="Times New Roman"/>
                <w:color w:val="000000"/>
                <w:sz w:val="20"/>
                <w:szCs w:val="20"/>
              </w:rPr>
              <w:t>. Still, when</w:t>
            </w:r>
            <w:r w:rsidR="000C2BDF" w:rsidRPr="00644CCA">
              <w:rPr>
                <w:rFonts w:ascii="Times New Roman" w:eastAsia="Times New Roman" w:hAnsi="Times New Roman" w:cs="Times New Roman"/>
                <w:color w:val="000000"/>
                <w:sz w:val="20"/>
                <w:szCs w:val="20"/>
              </w:rPr>
              <w:t xml:space="preserve"> </w:t>
            </w:r>
            <w:r w:rsidRPr="00644CCA">
              <w:rPr>
                <w:rFonts w:ascii="Times New Roman" w:eastAsia="Times New Roman" w:hAnsi="Times New Roman" w:cs="Times New Roman"/>
                <w:color w:val="000000"/>
                <w:sz w:val="20"/>
                <w:szCs w:val="20"/>
              </w:rPr>
              <w:t>growth</w:t>
            </w:r>
            <w:r w:rsidR="000C2BDF" w:rsidRPr="00644CCA">
              <w:rPr>
                <w:rFonts w:ascii="Times New Roman" w:eastAsia="Times New Roman" w:hAnsi="Times New Roman" w:cs="Times New Roman"/>
                <w:color w:val="000000"/>
                <w:sz w:val="20"/>
                <w:szCs w:val="20"/>
              </w:rPr>
              <w:t xml:space="preserve"> </w:t>
            </w:r>
            <w:r w:rsidR="00C70B8B" w:rsidRPr="00644CCA">
              <w:rPr>
                <w:rFonts w:ascii="Times New Roman" w:eastAsia="Times New Roman" w:hAnsi="Times New Roman" w:cs="Times New Roman"/>
                <w:color w:val="000000"/>
                <w:sz w:val="20"/>
                <w:szCs w:val="20"/>
              </w:rPr>
              <w:t>is</w:t>
            </w:r>
            <w:r w:rsidR="000C2BDF" w:rsidRPr="00644CCA">
              <w:rPr>
                <w:rFonts w:ascii="Times New Roman" w:eastAsia="Times New Roman" w:hAnsi="Times New Roman" w:cs="Times New Roman"/>
                <w:color w:val="000000"/>
                <w:sz w:val="20"/>
                <w:szCs w:val="20"/>
              </w:rPr>
              <w:t xml:space="preserve"> low, a peripheral </w:t>
            </w:r>
            <w:r w:rsidR="00C70B8B" w:rsidRPr="00644CCA">
              <w:rPr>
                <w:rFonts w:ascii="Times New Roman" w:eastAsia="Times New Roman" w:hAnsi="Times New Roman" w:cs="Times New Roman"/>
                <w:color w:val="000000"/>
                <w:sz w:val="20"/>
                <w:szCs w:val="20"/>
              </w:rPr>
              <w:t>way</w:t>
            </w:r>
            <w:r w:rsidR="000C2BDF" w:rsidRPr="00644CCA">
              <w:rPr>
                <w:rFonts w:ascii="Times New Roman" w:eastAsia="Times New Roman" w:hAnsi="Times New Roman" w:cs="Times New Roman"/>
                <w:color w:val="000000"/>
                <w:sz w:val="20"/>
                <w:szCs w:val="20"/>
              </w:rPr>
              <w:t xml:space="preserve"> will be there </w:t>
            </w:r>
            <w:r w:rsidR="000C2BDF" w:rsidRPr="00644CCA">
              <w:rPr>
                <w:rFonts w:ascii="Times New Roman" w:eastAsia="Times New Roman" w:hAnsi="Times New Roman" w:cs="Times New Roman"/>
                <w:sz w:val="20"/>
                <w:szCs w:val="20"/>
              </w:rPr>
              <w:t xml:space="preserve">(Petty </w:t>
            </w:r>
            <w:r w:rsidR="00047A8D" w:rsidRPr="00644CCA">
              <w:rPr>
                <w:rFonts w:ascii="Times New Roman" w:eastAsia="Times New Roman" w:hAnsi="Times New Roman" w:cs="Times New Roman"/>
                <w:sz w:val="20"/>
                <w:szCs w:val="20"/>
              </w:rPr>
              <w:t>&amp;</w:t>
            </w:r>
            <w:r w:rsidR="000C2BDF" w:rsidRPr="00644CCA">
              <w:rPr>
                <w:rFonts w:ascii="Times New Roman" w:eastAsia="Times New Roman" w:hAnsi="Times New Roman" w:cs="Times New Roman"/>
                <w:sz w:val="20"/>
                <w:szCs w:val="20"/>
              </w:rPr>
              <w:t xml:space="preserve"> Cacioppo</w:t>
            </w:r>
            <w:r w:rsidR="00047A8D" w:rsidRPr="00644CCA">
              <w:rPr>
                <w:rFonts w:ascii="Times New Roman" w:eastAsia="Times New Roman" w:hAnsi="Times New Roman" w:cs="Times New Roman"/>
                <w:sz w:val="20"/>
                <w:szCs w:val="20"/>
              </w:rPr>
              <w:t>,</w:t>
            </w:r>
            <w:r w:rsidR="000C2BDF" w:rsidRPr="00644CCA">
              <w:rPr>
                <w:rFonts w:ascii="Times New Roman" w:eastAsia="Times New Roman" w:hAnsi="Times New Roman" w:cs="Times New Roman"/>
                <w:sz w:val="20"/>
                <w:szCs w:val="20"/>
              </w:rPr>
              <w:t xml:space="preserve"> 1986)</w:t>
            </w:r>
            <w:r w:rsidR="000C2BDF" w:rsidRPr="00644CCA">
              <w:rPr>
                <w:rFonts w:ascii="Times New Roman" w:eastAsia="Times New Roman" w:hAnsi="Times New Roman" w:cs="Times New Roman"/>
                <w:color w:val="000000"/>
                <w:sz w:val="20"/>
                <w:szCs w:val="20"/>
              </w:rPr>
              <w:t xml:space="preserve">. Angst and </w:t>
            </w:r>
            <w:r w:rsidR="000C2BDF" w:rsidRPr="00644CCA">
              <w:rPr>
                <w:rFonts w:ascii="Times New Roman" w:eastAsia="Times New Roman" w:hAnsi="Times New Roman" w:cs="Times New Roman"/>
                <w:sz w:val="20"/>
                <w:szCs w:val="20"/>
              </w:rPr>
              <w:t>Aggrawal</w:t>
            </w:r>
            <w:r w:rsidR="000C2BDF" w:rsidRPr="00644CCA">
              <w:rPr>
                <w:rFonts w:ascii="Times New Roman" w:eastAsia="Times New Roman" w:hAnsi="Times New Roman" w:cs="Times New Roman"/>
                <w:color w:val="000000"/>
                <w:sz w:val="20"/>
                <w:szCs w:val="20"/>
              </w:rPr>
              <w:t xml:space="preserve"> (2009) applied ELM to study the </w:t>
            </w:r>
            <w:r w:rsidR="000C2BDF" w:rsidRPr="00644CCA">
              <w:rPr>
                <w:rFonts w:ascii="Times New Roman" w:eastAsia="Times New Roman" w:hAnsi="Times New Roman" w:cs="Times New Roman"/>
                <w:sz w:val="20"/>
                <w:szCs w:val="20"/>
              </w:rPr>
              <w:t>adoption of electronic</w:t>
            </w:r>
            <w:r w:rsidR="000C2BDF" w:rsidRPr="00644CCA">
              <w:rPr>
                <w:rFonts w:ascii="Times New Roman" w:eastAsia="Times New Roman" w:hAnsi="Times New Roman" w:cs="Times New Roman"/>
                <w:color w:val="000000"/>
                <w:sz w:val="20"/>
                <w:szCs w:val="20"/>
              </w:rPr>
              <w:t xml:space="preserve"> health </w:t>
            </w:r>
            <w:r w:rsidR="000C2BDF" w:rsidRPr="00644CCA">
              <w:rPr>
                <w:rFonts w:ascii="Times New Roman" w:eastAsia="Times New Roman" w:hAnsi="Times New Roman" w:cs="Times New Roman"/>
                <w:sz w:val="20"/>
                <w:szCs w:val="20"/>
              </w:rPr>
              <w:t>records</w:t>
            </w:r>
            <w:r w:rsidR="000C2BDF" w:rsidRPr="00644CCA">
              <w:rPr>
                <w:rFonts w:ascii="Times New Roman" w:eastAsia="Times New Roman" w:hAnsi="Times New Roman" w:cs="Times New Roman"/>
                <w:color w:val="000000"/>
                <w:sz w:val="20"/>
                <w:szCs w:val="20"/>
              </w:rPr>
              <w:t xml:space="preserve"> in the </w:t>
            </w:r>
            <w:r w:rsidR="000C2BDF" w:rsidRPr="00644CCA">
              <w:rPr>
                <w:rFonts w:ascii="Times New Roman" w:eastAsia="Times New Roman" w:hAnsi="Times New Roman" w:cs="Times New Roman"/>
                <w:sz w:val="20"/>
                <w:szCs w:val="20"/>
              </w:rPr>
              <w:t>presence</w:t>
            </w:r>
            <w:r w:rsidR="000C2BDF" w:rsidRPr="00644CCA">
              <w:rPr>
                <w:rFonts w:ascii="Times New Roman" w:eastAsia="Times New Roman" w:hAnsi="Times New Roman" w:cs="Times New Roman"/>
                <w:color w:val="000000"/>
                <w:sz w:val="20"/>
                <w:szCs w:val="20"/>
              </w:rPr>
              <w:t xml:space="preserve"> of privacy concerns.</w:t>
            </w:r>
          </w:p>
        </w:tc>
      </w:tr>
      <w:tr w:rsidR="000C2BDF" w:rsidRPr="00644CCA" w14:paraId="4B6E4588"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42F3E8DA"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lastRenderedPageBreak/>
              <w:t>7</w:t>
            </w:r>
          </w:p>
        </w:tc>
        <w:tc>
          <w:tcPr>
            <w:tcW w:w="1510" w:type="dxa"/>
            <w:tcBorders>
              <w:top w:val="nil"/>
              <w:left w:val="nil"/>
              <w:bottom w:val="single" w:sz="4" w:space="0" w:color="000000"/>
              <w:right w:val="single" w:sz="4" w:space="0" w:color="000000"/>
            </w:tcBorders>
            <w:shd w:val="clear" w:color="auto" w:fill="auto"/>
            <w:vAlign w:val="center"/>
          </w:tcPr>
          <w:p w14:paraId="2238BB94"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Health Belief Model</w:t>
            </w:r>
          </w:p>
        </w:tc>
        <w:tc>
          <w:tcPr>
            <w:tcW w:w="2880" w:type="dxa"/>
            <w:tcBorders>
              <w:top w:val="nil"/>
              <w:left w:val="nil"/>
              <w:bottom w:val="single" w:sz="4" w:space="0" w:color="000000"/>
              <w:right w:val="single" w:sz="4" w:space="0" w:color="000000"/>
            </w:tcBorders>
            <w:shd w:val="clear" w:color="auto" w:fill="auto"/>
            <w:vAlign w:val="center"/>
          </w:tcPr>
          <w:p w14:paraId="7580E212" w14:textId="77777777" w:rsidR="000C2BDF" w:rsidRPr="00644CCA" w:rsidRDefault="000C2BDF" w:rsidP="00621097">
            <w:pPr>
              <w:spacing w:after="0"/>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Ye et al. (2019)</w:t>
            </w:r>
          </w:p>
        </w:tc>
        <w:tc>
          <w:tcPr>
            <w:tcW w:w="9000" w:type="dxa"/>
            <w:tcBorders>
              <w:top w:val="nil"/>
              <w:left w:val="nil"/>
              <w:bottom w:val="single" w:sz="4" w:space="0" w:color="000000"/>
              <w:right w:val="single" w:sz="4" w:space="0" w:color="000000"/>
            </w:tcBorders>
            <w:shd w:val="clear" w:color="auto" w:fill="auto"/>
            <w:vAlign w:val="center"/>
          </w:tcPr>
          <w:p w14:paraId="6C6DCD6A" w14:textId="33A765DC" w:rsidR="000C2BDF" w:rsidRPr="00644CCA" w:rsidRDefault="00E248D9"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The health</w:t>
            </w:r>
            <w:r w:rsidR="000C2BDF" w:rsidRPr="00644CCA">
              <w:rPr>
                <w:rFonts w:ascii="Times New Roman" w:eastAsia="Times New Roman" w:hAnsi="Times New Roman" w:cs="Times New Roman"/>
                <w:color w:val="000000"/>
                <w:sz w:val="20"/>
                <w:szCs w:val="20"/>
              </w:rPr>
              <w:t xml:space="preserve"> belief model is the relationship </w:t>
            </w:r>
            <w:r w:rsidR="00C70B8B" w:rsidRPr="00644CCA">
              <w:rPr>
                <w:rFonts w:ascii="Times New Roman" w:eastAsia="Times New Roman" w:hAnsi="Times New Roman" w:cs="Times New Roman"/>
                <w:color w:val="000000"/>
                <w:sz w:val="20"/>
                <w:szCs w:val="20"/>
              </w:rPr>
              <w:t>between</w:t>
            </w:r>
            <w:r w:rsidR="000C2BDF" w:rsidRPr="00644CCA">
              <w:rPr>
                <w:rFonts w:ascii="Times New Roman" w:eastAsia="Times New Roman" w:hAnsi="Times New Roman" w:cs="Times New Roman"/>
                <w:color w:val="000000"/>
                <w:sz w:val="20"/>
                <w:szCs w:val="20"/>
              </w:rPr>
              <w:t xml:space="preserve"> </w:t>
            </w:r>
            <w:r w:rsidR="00C70B8B" w:rsidRPr="00644CCA">
              <w:rPr>
                <w:rFonts w:ascii="Times New Roman" w:eastAsia="Times New Roman" w:hAnsi="Times New Roman" w:cs="Times New Roman"/>
                <w:color w:val="000000"/>
                <w:sz w:val="20"/>
                <w:szCs w:val="20"/>
              </w:rPr>
              <w:t xml:space="preserve">the </w:t>
            </w:r>
            <w:r w:rsidR="000C2BDF" w:rsidRPr="00644CCA">
              <w:rPr>
                <w:rFonts w:ascii="Times New Roman" w:eastAsia="Times New Roman" w:hAnsi="Times New Roman" w:cs="Times New Roman"/>
                <w:color w:val="000000"/>
                <w:sz w:val="20"/>
                <w:szCs w:val="20"/>
              </w:rPr>
              <w:t xml:space="preserve">perception of </w:t>
            </w:r>
            <w:r w:rsidR="009B20C7" w:rsidRPr="00644CCA">
              <w:rPr>
                <w:rFonts w:ascii="Times New Roman" w:eastAsia="Times New Roman" w:hAnsi="Times New Roman" w:cs="Times New Roman"/>
                <w:color w:val="000000"/>
                <w:sz w:val="20"/>
                <w:szCs w:val="20"/>
              </w:rPr>
              <w:t xml:space="preserve">the </w:t>
            </w:r>
            <w:r w:rsidR="000C2BDF" w:rsidRPr="00644CCA">
              <w:rPr>
                <w:rFonts w:ascii="Times New Roman" w:eastAsia="Times New Roman" w:hAnsi="Times New Roman" w:cs="Times New Roman"/>
                <w:color w:val="000000"/>
                <w:sz w:val="20"/>
                <w:szCs w:val="20"/>
              </w:rPr>
              <w:t xml:space="preserve">severity of </w:t>
            </w:r>
            <w:r w:rsidR="000C2BDF" w:rsidRPr="00644CCA">
              <w:rPr>
                <w:rFonts w:ascii="Times New Roman" w:eastAsia="Times New Roman" w:hAnsi="Times New Roman" w:cs="Times New Roman"/>
                <w:sz w:val="20"/>
                <w:szCs w:val="20"/>
              </w:rPr>
              <w:t>disease</w:t>
            </w:r>
            <w:r w:rsidR="000C2BDF" w:rsidRPr="00644CCA">
              <w:rPr>
                <w:rFonts w:ascii="Times New Roman" w:eastAsia="Times New Roman" w:hAnsi="Times New Roman" w:cs="Times New Roman"/>
                <w:color w:val="000000"/>
                <w:sz w:val="20"/>
                <w:szCs w:val="20"/>
              </w:rPr>
              <w:t xml:space="preserve"> and the </w:t>
            </w:r>
            <w:r w:rsidR="000C2BDF" w:rsidRPr="00644CCA">
              <w:rPr>
                <w:rFonts w:ascii="Times New Roman" w:eastAsia="Times New Roman" w:hAnsi="Times New Roman" w:cs="Times New Roman"/>
                <w:sz w:val="20"/>
                <w:szCs w:val="20"/>
              </w:rPr>
              <w:t>possibility</w:t>
            </w:r>
            <w:r w:rsidR="000C2BDF" w:rsidRPr="00644CCA">
              <w:rPr>
                <w:rFonts w:ascii="Times New Roman" w:eastAsia="Times New Roman" w:hAnsi="Times New Roman" w:cs="Times New Roman"/>
                <w:color w:val="000000"/>
                <w:sz w:val="20"/>
                <w:szCs w:val="20"/>
              </w:rPr>
              <w:t xml:space="preserve"> of mitigating the risk by some course of action from the </w:t>
            </w:r>
            <w:r w:rsidR="00C70B8B" w:rsidRPr="00644CCA">
              <w:rPr>
                <w:rFonts w:ascii="Times New Roman" w:eastAsia="Times New Roman" w:hAnsi="Times New Roman" w:cs="Times New Roman"/>
                <w:color w:val="000000"/>
                <w:sz w:val="20"/>
                <w:szCs w:val="20"/>
              </w:rPr>
              <w:t>patients’ point of view</w:t>
            </w:r>
            <w:r w:rsidR="000C2BDF" w:rsidRPr="00644CCA">
              <w:rPr>
                <w:rFonts w:ascii="Times New Roman" w:eastAsia="Times New Roman" w:hAnsi="Times New Roman" w:cs="Times New Roman"/>
                <w:color w:val="000000"/>
                <w:sz w:val="20"/>
                <w:szCs w:val="20"/>
              </w:rPr>
              <w:t xml:space="preserve">. Ye et al. (2019) </w:t>
            </w:r>
            <w:r w:rsidR="000C2BDF" w:rsidRPr="00644CCA">
              <w:rPr>
                <w:rFonts w:ascii="Times New Roman" w:eastAsia="Times New Roman" w:hAnsi="Times New Roman" w:cs="Times New Roman"/>
                <w:sz w:val="20"/>
                <w:szCs w:val="20"/>
              </w:rPr>
              <w:t>referred to this</w:t>
            </w:r>
            <w:r w:rsidR="000C2BDF" w:rsidRPr="00644CCA">
              <w:rPr>
                <w:rFonts w:ascii="Times New Roman" w:eastAsia="Times New Roman" w:hAnsi="Times New Roman" w:cs="Times New Roman"/>
                <w:color w:val="000000"/>
                <w:sz w:val="20"/>
                <w:szCs w:val="20"/>
              </w:rPr>
              <w:t xml:space="preserve"> theory for model development.</w:t>
            </w:r>
          </w:p>
        </w:tc>
      </w:tr>
      <w:tr w:rsidR="000C2BDF" w:rsidRPr="00644CCA" w14:paraId="19F81691"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606E4D25"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8</w:t>
            </w:r>
          </w:p>
        </w:tc>
        <w:tc>
          <w:tcPr>
            <w:tcW w:w="1510" w:type="dxa"/>
            <w:tcBorders>
              <w:top w:val="nil"/>
              <w:left w:val="nil"/>
              <w:bottom w:val="single" w:sz="4" w:space="0" w:color="000000"/>
              <w:right w:val="single" w:sz="4" w:space="0" w:color="000000"/>
            </w:tcBorders>
            <w:shd w:val="clear" w:color="auto" w:fill="auto"/>
            <w:vAlign w:val="center"/>
          </w:tcPr>
          <w:p w14:paraId="02925D03"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NASSS Framework</w:t>
            </w:r>
          </w:p>
        </w:tc>
        <w:tc>
          <w:tcPr>
            <w:tcW w:w="2880" w:type="dxa"/>
            <w:tcBorders>
              <w:top w:val="nil"/>
              <w:left w:val="nil"/>
              <w:bottom w:val="single" w:sz="4" w:space="0" w:color="000000"/>
              <w:right w:val="single" w:sz="4" w:space="0" w:color="000000"/>
            </w:tcBorders>
            <w:shd w:val="clear" w:color="auto" w:fill="auto"/>
            <w:vAlign w:val="center"/>
          </w:tcPr>
          <w:p w14:paraId="4406E407" w14:textId="77777777" w:rsidR="000C2BDF" w:rsidRPr="00644CCA" w:rsidRDefault="000C2BDF" w:rsidP="00621097">
            <w:pPr>
              <w:spacing w:after="0"/>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Strohm et al. (2020); Shau et al (2019)</w:t>
            </w:r>
          </w:p>
        </w:tc>
        <w:tc>
          <w:tcPr>
            <w:tcW w:w="9000" w:type="dxa"/>
            <w:tcBorders>
              <w:top w:val="nil"/>
              <w:left w:val="nil"/>
              <w:bottom w:val="single" w:sz="4" w:space="0" w:color="000000"/>
              <w:right w:val="single" w:sz="4" w:space="0" w:color="000000"/>
            </w:tcBorders>
            <w:shd w:val="clear" w:color="auto" w:fill="auto"/>
            <w:vAlign w:val="center"/>
          </w:tcPr>
          <w:p w14:paraId="5766B344" w14:textId="7CA91E02" w:rsidR="000C2BDF" w:rsidRPr="00644CCA" w:rsidRDefault="00047A8D"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The non-adoption</w:t>
            </w:r>
            <w:r w:rsidR="000C2BDF" w:rsidRPr="00644CCA">
              <w:rPr>
                <w:rFonts w:ascii="Times New Roman" w:eastAsia="Times New Roman" w:hAnsi="Times New Roman" w:cs="Times New Roman"/>
                <w:color w:val="000000"/>
                <w:sz w:val="20"/>
                <w:szCs w:val="20"/>
              </w:rPr>
              <w:t>, Abandonment, Scale-up, Spread, and Sustainability (NASSS) framework targets to identify the factors of implementation operations of complex technologies in healthcare on seven different domains</w:t>
            </w:r>
            <w:r w:rsidR="009B20C7" w:rsidRPr="00644CCA">
              <w:rPr>
                <w:rFonts w:ascii="Times New Roman" w:eastAsia="Times New Roman" w:hAnsi="Times New Roman" w:cs="Times New Roman"/>
                <w:color w:val="000000"/>
                <w:sz w:val="20"/>
                <w:szCs w:val="20"/>
              </w:rPr>
              <w:t>,</w:t>
            </w:r>
            <w:r w:rsidR="000C2BDF" w:rsidRPr="00644CCA">
              <w:rPr>
                <w:rFonts w:ascii="Times New Roman" w:eastAsia="Times New Roman" w:hAnsi="Times New Roman" w:cs="Times New Roman"/>
                <w:color w:val="000000"/>
                <w:sz w:val="20"/>
                <w:szCs w:val="20"/>
              </w:rPr>
              <w:t xml:space="preserve"> which are the technology, value proposition, condition, the adopters, the </w:t>
            </w:r>
            <w:r w:rsidR="000C2BDF" w:rsidRPr="00644CCA">
              <w:rPr>
                <w:rFonts w:ascii="Times New Roman" w:eastAsia="Times New Roman" w:hAnsi="Times New Roman" w:cs="Times New Roman"/>
                <w:sz w:val="20"/>
                <w:szCs w:val="20"/>
              </w:rPr>
              <w:t>organization</w:t>
            </w:r>
            <w:r w:rsidR="006F168D" w:rsidRPr="00644CCA">
              <w:rPr>
                <w:rFonts w:ascii="Times New Roman" w:eastAsia="Times New Roman" w:hAnsi="Times New Roman" w:cs="Times New Roman"/>
                <w:sz w:val="20"/>
                <w:szCs w:val="20"/>
              </w:rPr>
              <w:t>,</w:t>
            </w:r>
            <w:r w:rsidR="000C2BDF" w:rsidRPr="00644CCA">
              <w:rPr>
                <w:rFonts w:ascii="Times New Roman" w:eastAsia="Times New Roman" w:hAnsi="Times New Roman" w:cs="Times New Roman"/>
                <w:color w:val="000000"/>
                <w:sz w:val="20"/>
                <w:szCs w:val="20"/>
              </w:rPr>
              <w:t xml:space="preserve"> and the broad institutional and social context </w:t>
            </w:r>
            <w:r w:rsidR="000C2BDF" w:rsidRPr="00644CCA">
              <w:rPr>
                <w:rFonts w:ascii="Times New Roman" w:eastAsia="Times New Roman" w:hAnsi="Times New Roman" w:cs="Times New Roman"/>
                <w:sz w:val="20"/>
                <w:szCs w:val="20"/>
              </w:rPr>
              <w:t>(Strohm et al.</w:t>
            </w:r>
            <w:r w:rsidRPr="00644CCA">
              <w:rPr>
                <w:rFonts w:ascii="Times New Roman" w:eastAsia="Times New Roman" w:hAnsi="Times New Roman" w:cs="Times New Roman"/>
                <w:sz w:val="20"/>
                <w:szCs w:val="20"/>
              </w:rPr>
              <w:t>,</w:t>
            </w:r>
            <w:r w:rsidR="000C2BDF" w:rsidRPr="00644CCA">
              <w:rPr>
                <w:rFonts w:ascii="Times New Roman" w:eastAsia="Times New Roman" w:hAnsi="Times New Roman" w:cs="Times New Roman"/>
                <w:sz w:val="20"/>
                <w:szCs w:val="20"/>
              </w:rPr>
              <w:t xml:space="preserve"> 2020)</w:t>
            </w:r>
            <w:r w:rsidR="000C2BDF" w:rsidRPr="00644CCA">
              <w:rPr>
                <w:rFonts w:ascii="Times New Roman" w:eastAsia="Times New Roman" w:hAnsi="Times New Roman" w:cs="Times New Roman"/>
                <w:color w:val="000000"/>
                <w:sz w:val="20"/>
                <w:szCs w:val="20"/>
              </w:rPr>
              <w:t>.</w:t>
            </w:r>
          </w:p>
        </w:tc>
      </w:tr>
      <w:tr w:rsidR="000C2BDF" w:rsidRPr="00644CCA" w14:paraId="3F23C992"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5D866A80"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9</w:t>
            </w:r>
          </w:p>
        </w:tc>
        <w:tc>
          <w:tcPr>
            <w:tcW w:w="1510" w:type="dxa"/>
            <w:tcBorders>
              <w:top w:val="nil"/>
              <w:left w:val="nil"/>
              <w:bottom w:val="single" w:sz="4" w:space="0" w:color="000000"/>
              <w:right w:val="single" w:sz="4" w:space="0" w:color="000000"/>
            </w:tcBorders>
            <w:shd w:val="clear" w:color="auto" w:fill="auto"/>
            <w:vAlign w:val="center"/>
          </w:tcPr>
          <w:p w14:paraId="08B0A8B0"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Privacy calculus theory </w:t>
            </w:r>
          </w:p>
        </w:tc>
        <w:tc>
          <w:tcPr>
            <w:tcW w:w="2880" w:type="dxa"/>
            <w:tcBorders>
              <w:top w:val="nil"/>
              <w:left w:val="nil"/>
              <w:bottom w:val="single" w:sz="4" w:space="0" w:color="000000"/>
              <w:right w:val="single" w:sz="4" w:space="0" w:color="000000"/>
            </w:tcBorders>
            <w:shd w:val="clear" w:color="auto" w:fill="auto"/>
            <w:vAlign w:val="center"/>
          </w:tcPr>
          <w:p w14:paraId="7C4428E6" w14:textId="77777777"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Angst and </w:t>
            </w:r>
            <w:r w:rsidRPr="00644CCA">
              <w:rPr>
                <w:rFonts w:ascii="Times New Roman" w:eastAsia="Times New Roman" w:hAnsi="Times New Roman" w:cs="Times New Roman"/>
                <w:sz w:val="20"/>
                <w:szCs w:val="20"/>
              </w:rPr>
              <w:t>Aggarwal</w:t>
            </w:r>
            <w:r w:rsidRPr="00644CCA">
              <w:rPr>
                <w:rFonts w:ascii="Times New Roman" w:eastAsia="Times New Roman" w:hAnsi="Times New Roman" w:cs="Times New Roman"/>
                <w:color w:val="000000"/>
                <w:sz w:val="20"/>
                <w:szCs w:val="20"/>
              </w:rPr>
              <w:t xml:space="preserve"> (2009)</w:t>
            </w:r>
          </w:p>
        </w:tc>
        <w:tc>
          <w:tcPr>
            <w:tcW w:w="9000" w:type="dxa"/>
            <w:tcBorders>
              <w:top w:val="nil"/>
              <w:left w:val="nil"/>
              <w:bottom w:val="single" w:sz="4" w:space="0" w:color="000000"/>
              <w:right w:val="single" w:sz="4" w:space="0" w:color="000000"/>
            </w:tcBorders>
            <w:shd w:val="clear" w:color="auto" w:fill="auto"/>
            <w:vAlign w:val="center"/>
          </w:tcPr>
          <w:p w14:paraId="5DE1EBE6" w14:textId="0DA790EC"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Privacy calculus theory assumes privacy </w:t>
            </w:r>
            <w:r w:rsidR="00A05B6D" w:rsidRPr="00644CCA">
              <w:rPr>
                <w:rFonts w:ascii="Times New Roman" w:eastAsia="Times New Roman" w:hAnsi="Times New Roman" w:cs="Times New Roman"/>
                <w:color w:val="000000"/>
                <w:sz w:val="20"/>
                <w:szCs w:val="20"/>
              </w:rPr>
              <w:t>concerns</w:t>
            </w:r>
            <w:r w:rsidRPr="00644CCA">
              <w:rPr>
                <w:rFonts w:ascii="Times New Roman" w:eastAsia="Times New Roman" w:hAnsi="Times New Roman" w:cs="Times New Roman"/>
                <w:color w:val="000000"/>
                <w:sz w:val="20"/>
                <w:szCs w:val="20"/>
              </w:rPr>
              <w:t xml:space="preserve"> in economic terms</w:t>
            </w:r>
            <w:r w:rsidR="009B20C7" w:rsidRPr="00644CCA">
              <w:rPr>
                <w:rFonts w:ascii="Times New Roman" w:eastAsia="Times New Roman" w:hAnsi="Times New Roman" w:cs="Times New Roman"/>
                <w:color w:val="000000"/>
                <w:sz w:val="20"/>
                <w:szCs w:val="20"/>
              </w:rPr>
              <w:t>; users</w:t>
            </w:r>
            <w:r w:rsidRPr="00644CCA">
              <w:rPr>
                <w:rFonts w:ascii="Times New Roman" w:eastAsia="Times New Roman" w:hAnsi="Times New Roman" w:cs="Times New Roman"/>
                <w:color w:val="000000"/>
                <w:sz w:val="20"/>
                <w:szCs w:val="20"/>
              </w:rPr>
              <w:t xml:space="preserve"> perform </w:t>
            </w:r>
            <w:r w:rsidR="009B20C7" w:rsidRPr="00644CCA">
              <w:rPr>
                <w:rFonts w:ascii="Times New Roman" w:eastAsia="Times New Roman" w:hAnsi="Times New Roman" w:cs="Times New Roman"/>
                <w:color w:val="000000"/>
                <w:sz w:val="20"/>
                <w:szCs w:val="20"/>
              </w:rPr>
              <w:t xml:space="preserve">a </w:t>
            </w:r>
            <w:r w:rsidRPr="00644CCA">
              <w:rPr>
                <w:rFonts w:ascii="Times New Roman" w:eastAsia="Times New Roman" w:hAnsi="Times New Roman" w:cs="Times New Roman"/>
                <w:color w:val="000000"/>
                <w:sz w:val="20"/>
                <w:szCs w:val="20"/>
              </w:rPr>
              <w:t xml:space="preserve">subjective cost-benefit analysis before providing personal information as cost and expecting customized products and services as benefits </w:t>
            </w:r>
            <w:r w:rsidRPr="00644CCA">
              <w:rPr>
                <w:rFonts w:ascii="Times New Roman" w:eastAsia="Times New Roman" w:hAnsi="Times New Roman" w:cs="Times New Roman"/>
                <w:sz w:val="20"/>
                <w:szCs w:val="20"/>
              </w:rPr>
              <w:t xml:space="preserve">(Culnan </w:t>
            </w:r>
            <w:r w:rsidR="00047A8D" w:rsidRPr="00644CCA">
              <w:rPr>
                <w:rFonts w:ascii="Times New Roman" w:eastAsia="Times New Roman" w:hAnsi="Times New Roman" w:cs="Times New Roman"/>
                <w:sz w:val="20"/>
                <w:szCs w:val="20"/>
              </w:rPr>
              <w:t>&amp;</w:t>
            </w:r>
            <w:r w:rsidRPr="00644CCA">
              <w:rPr>
                <w:rFonts w:ascii="Times New Roman" w:eastAsia="Times New Roman" w:hAnsi="Times New Roman" w:cs="Times New Roman"/>
                <w:sz w:val="20"/>
                <w:szCs w:val="20"/>
              </w:rPr>
              <w:t xml:space="preserve"> Armstrong</w:t>
            </w:r>
            <w:r w:rsidR="00047A8D"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1999; Jozani et al.</w:t>
            </w:r>
            <w:r w:rsidR="00047A8D"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2020)</w:t>
            </w:r>
            <w:r w:rsidRPr="00644CCA">
              <w:rPr>
                <w:rFonts w:ascii="Times New Roman" w:eastAsia="Times New Roman" w:hAnsi="Times New Roman" w:cs="Times New Roman"/>
                <w:color w:val="000000"/>
                <w:sz w:val="20"/>
                <w:szCs w:val="20"/>
              </w:rPr>
              <w:t>.</w:t>
            </w:r>
          </w:p>
        </w:tc>
      </w:tr>
      <w:tr w:rsidR="000C2BDF" w:rsidRPr="00644CCA" w14:paraId="16CE3F13"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5AF8B8E9"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10</w:t>
            </w:r>
          </w:p>
        </w:tc>
        <w:tc>
          <w:tcPr>
            <w:tcW w:w="1510" w:type="dxa"/>
            <w:tcBorders>
              <w:top w:val="nil"/>
              <w:left w:val="nil"/>
              <w:bottom w:val="single" w:sz="4" w:space="0" w:color="000000"/>
              <w:right w:val="single" w:sz="4" w:space="0" w:color="000000"/>
            </w:tcBorders>
            <w:shd w:val="clear" w:color="auto" w:fill="auto"/>
            <w:vAlign w:val="center"/>
          </w:tcPr>
          <w:p w14:paraId="12DA9871"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Self-Construal Theory</w:t>
            </w:r>
          </w:p>
        </w:tc>
        <w:tc>
          <w:tcPr>
            <w:tcW w:w="2880" w:type="dxa"/>
            <w:tcBorders>
              <w:top w:val="nil"/>
              <w:left w:val="nil"/>
              <w:bottom w:val="single" w:sz="4" w:space="0" w:color="000000"/>
              <w:right w:val="single" w:sz="4" w:space="0" w:color="000000"/>
            </w:tcBorders>
            <w:shd w:val="clear" w:color="auto" w:fill="auto"/>
            <w:vAlign w:val="center"/>
          </w:tcPr>
          <w:p w14:paraId="6716D9B3" w14:textId="77777777"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 Pal et al. (2023)</w:t>
            </w:r>
          </w:p>
        </w:tc>
        <w:tc>
          <w:tcPr>
            <w:tcW w:w="9000" w:type="dxa"/>
            <w:tcBorders>
              <w:top w:val="nil"/>
              <w:left w:val="nil"/>
              <w:bottom w:val="single" w:sz="4" w:space="0" w:color="000000"/>
              <w:right w:val="single" w:sz="4" w:space="0" w:color="000000"/>
            </w:tcBorders>
            <w:shd w:val="clear" w:color="auto" w:fill="auto"/>
            <w:vAlign w:val="center"/>
          </w:tcPr>
          <w:p w14:paraId="72AAA022" w14:textId="11E4F121"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According to self-construal theory</w:t>
            </w:r>
            <w:r w:rsidR="00047A8D" w:rsidRPr="00644CCA">
              <w:rPr>
                <w:rFonts w:ascii="Times New Roman" w:eastAsia="Times New Roman" w:hAnsi="Times New Roman" w:cs="Times New Roman"/>
                <w:color w:val="000000"/>
                <w:sz w:val="20"/>
                <w:szCs w:val="20"/>
              </w:rPr>
              <w:t>, the</w:t>
            </w:r>
            <w:r w:rsidRPr="00644CCA">
              <w:rPr>
                <w:rFonts w:ascii="Times New Roman" w:eastAsia="Times New Roman" w:hAnsi="Times New Roman" w:cs="Times New Roman"/>
                <w:color w:val="000000"/>
                <w:sz w:val="20"/>
                <w:szCs w:val="20"/>
              </w:rPr>
              <w:t xml:space="preserve"> decisions of individuals are more </w:t>
            </w:r>
            <w:r w:rsidRPr="00644CCA">
              <w:rPr>
                <w:rFonts w:ascii="Times New Roman" w:eastAsia="Times New Roman" w:hAnsi="Times New Roman" w:cs="Times New Roman"/>
                <w:sz w:val="20"/>
                <w:szCs w:val="20"/>
              </w:rPr>
              <w:t>dependent</w:t>
            </w:r>
            <w:r w:rsidRPr="00644CCA">
              <w:rPr>
                <w:rFonts w:ascii="Times New Roman" w:eastAsia="Times New Roman" w:hAnsi="Times New Roman" w:cs="Times New Roman"/>
                <w:color w:val="000000"/>
                <w:sz w:val="20"/>
                <w:szCs w:val="20"/>
              </w:rPr>
              <w:t xml:space="preserve"> on self rather than social aspects </w:t>
            </w:r>
            <w:r w:rsidRPr="00644CCA">
              <w:rPr>
                <w:rFonts w:ascii="Times New Roman" w:eastAsia="Times New Roman" w:hAnsi="Times New Roman" w:cs="Times New Roman"/>
                <w:sz w:val="20"/>
                <w:szCs w:val="20"/>
              </w:rPr>
              <w:t>(Cross et al.</w:t>
            </w:r>
            <w:r w:rsidR="00047A8D"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2003; Pal et al.</w:t>
            </w:r>
            <w:r w:rsidR="00047A8D"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2023)</w:t>
            </w:r>
            <w:r w:rsidRPr="00644CCA">
              <w:rPr>
                <w:rFonts w:ascii="Times New Roman" w:eastAsia="Times New Roman" w:hAnsi="Times New Roman" w:cs="Times New Roman"/>
                <w:color w:val="000000"/>
                <w:sz w:val="20"/>
                <w:szCs w:val="20"/>
              </w:rPr>
              <w:t>.</w:t>
            </w:r>
          </w:p>
        </w:tc>
      </w:tr>
      <w:tr w:rsidR="000C2BDF" w:rsidRPr="00644CCA" w14:paraId="14129005"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01568629"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11</w:t>
            </w:r>
          </w:p>
        </w:tc>
        <w:tc>
          <w:tcPr>
            <w:tcW w:w="1510" w:type="dxa"/>
            <w:tcBorders>
              <w:top w:val="nil"/>
              <w:left w:val="nil"/>
              <w:bottom w:val="single" w:sz="4" w:space="0" w:color="000000"/>
              <w:right w:val="single" w:sz="4" w:space="0" w:color="000000"/>
            </w:tcBorders>
            <w:shd w:val="clear" w:color="auto" w:fill="auto"/>
            <w:vAlign w:val="center"/>
          </w:tcPr>
          <w:p w14:paraId="6F658698"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Social Baseline Theory</w:t>
            </w:r>
          </w:p>
        </w:tc>
        <w:tc>
          <w:tcPr>
            <w:tcW w:w="2880" w:type="dxa"/>
            <w:tcBorders>
              <w:top w:val="nil"/>
              <w:left w:val="nil"/>
              <w:bottom w:val="single" w:sz="4" w:space="0" w:color="000000"/>
              <w:right w:val="single" w:sz="4" w:space="0" w:color="000000"/>
            </w:tcBorders>
            <w:shd w:val="clear" w:color="auto" w:fill="auto"/>
            <w:vAlign w:val="center"/>
          </w:tcPr>
          <w:p w14:paraId="24E95BCC" w14:textId="77777777" w:rsidR="000C2BDF" w:rsidRPr="00644CCA" w:rsidRDefault="000C2BDF" w:rsidP="00621097">
            <w:pPr>
              <w:spacing w:after="0"/>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Yun et al. (2021)</w:t>
            </w:r>
          </w:p>
        </w:tc>
        <w:tc>
          <w:tcPr>
            <w:tcW w:w="9000" w:type="dxa"/>
            <w:tcBorders>
              <w:top w:val="nil"/>
              <w:left w:val="nil"/>
              <w:bottom w:val="single" w:sz="4" w:space="0" w:color="000000"/>
              <w:right w:val="single" w:sz="4" w:space="0" w:color="000000"/>
            </w:tcBorders>
            <w:shd w:val="clear" w:color="auto" w:fill="auto"/>
            <w:vAlign w:val="center"/>
          </w:tcPr>
          <w:p w14:paraId="277379C0" w14:textId="504C8508"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As per Social baseline Theory, human </w:t>
            </w:r>
            <w:r w:rsidRPr="00644CCA">
              <w:rPr>
                <w:rFonts w:ascii="Times New Roman" w:eastAsia="Times New Roman" w:hAnsi="Times New Roman" w:cs="Times New Roman"/>
                <w:sz w:val="20"/>
                <w:szCs w:val="20"/>
              </w:rPr>
              <w:t>brains</w:t>
            </w:r>
            <w:r w:rsidRPr="00644CCA">
              <w:rPr>
                <w:rFonts w:ascii="Times New Roman" w:eastAsia="Times New Roman" w:hAnsi="Times New Roman" w:cs="Times New Roman"/>
                <w:color w:val="000000"/>
                <w:sz w:val="20"/>
                <w:szCs w:val="20"/>
              </w:rPr>
              <w:t xml:space="preserve"> are </w:t>
            </w:r>
            <w:r w:rsidRPr="00644CCA">
              <w:rPr>
                <w:rFonts w:ascii="Times New Roman" w:eastAsia="Times New Roman" w:hAnsi="Times New Roman" w:cs="Times New Roman"/>
                <w:sz w:val="20"/>
                <w:szCs w:val="20"/>
              </w:rPr>
              <w:t>conditioned</w:t>
            </w:r>
            <w:r w:rsidRPr="00644CCA">
              <w:rPr>
                <w:rFonts w:ascii="Times New Roman" w:eastAsia="Times New Roman" w:hAnsi="Times New Roman" w:cs="Times New Roman"/>
                <w:color w:val="000000"/>
                <w:sz w:val="20"/>
                <w:szCs w:val="20"/>
              </w:rPr>
              <w:t xml:space="preserve"> to </w:t>
            </w:r>
            <w:r w:rsidRPr="00644CCA">
              <w:rPr>
                <w:rFonts w:ascii="Times New Roman" w:eastAsia="Times New Roman" w:hAnsi="Times New Roman" w:cs="Times New Roman"/>
                <w:sz w:val="20"/>
                <w:szCs w:val="20"/>
              </w:rPr>
              <w:t>adapt to social</w:t>
            </w:r>
            <w:r w:rsidRPr="00644CCA">
              <w:rPr>
                <w:rFonts w:ascii="Times New Roman" w:eastAsia="Times New Roman" w:hAnsi="Times New Roman" w:cs="Times New Roman"/>
                <w:color w:val="000000"/>
                <w:sz w:val="20"/>
                <w:szCs w:val="20"/>
              </w:rPr>
              <w:t xml:space="preserve"> and psychological ecology </w:t>
            </w:r>
            <w:r w:rsidRPr="00644CCA">
              <w:rPr>
                <w:rFonts w:ascii="Times New Roman" w:eastAsia="Times New Roman" w:hAnsi="Times New Roman" w:cs="Times New Roman"/>
                <w:sz w:val="20"/>
                <w:szCs w:val="20"/>
              </w:rPr>
              <w:t>rather than social</w:t>
            </w:r>
            <w:r w:rsidRPr="00644CCA">
              <w:rPr>
                <w:rFonts w:ascii="Times New Roman" w:eastAsia="Times New Roman" w:hAnsi="Times New Roman" w:cs="Times New Roman"/>
                <w:color w:val="000000"/>
                <w:sz w:val="20"/>
                <w:szCs w:val="20"/>
              </w:rPr>
              <w:t xml:space="preserve"> isolation </w:t>
            </w:r>
            <w:r w:rsidRPr="00644CCA">
              <w:rPr>
                <w:rFonts w:ascii="Times New Roman" w:eastAsia="Times New Roman" w:hAnsi="Times New Roman" w:cs="Times New Roman"/>
                <w:sz w:val="20"/>
                <w:szCs w:val="20"/>
              </w:rPr>
              <w:t xml:space="preserve">(Beckes </w:t>
            </w:r>
            <w:r w:rsidR="00047A8D" w:rsidRPr="00644CCA">
              <w:rPr>
                <w:rFonts w:ascii="Times New Roman" w:eastAsia="Times New Roman" w:hAnsi="Times New Roman" w:cs="Times New Roman"/>
                <w:sz w:val="20"/>
                <w:szCs w:val="20"/>
              </w:rPr>
              <w:t>&amp;</w:t>
            </w:r>
            <w:r w:rsidRPr="00644CCA">
              <w:rPr>
                <w:rFonts w:ascii="Times New Roman" w:eastAsia="Times New Roman" w:hAnsi="Times New Roman" w:cs="Times New Roman"/>
                <w:sz w:val="20"/>
                <w:szCs w:val="20"/>
              </w:rPr>
              <w:t xml:space="preserve"> Coan</w:t>
            </w:r>
            <w:r w:rsidR="00047A8D"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2011; Yun et al.</w:t>
            </w:r>
            <w:r w:rsidR="00047A8D"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2021)</w:t>
            </w:r>
            <w:r w:rsidRPr="00644CCA">
              <w:rPr>
                <w:rFonts w:ascii="Times New Roman" w:eastAsia="Times New Roman" w:hAnsi="Times New Roman" w:cs="Times New Roman"/>
                <w:color w:val="000000"/>
                <w:sz w:val="20"/>
                <w:szCs w:val="20"/>
              </w:rPr>
              <w:t>.</w:t>
            </w:r>
          </w:p>
        </w:tc>
      </w:tr>
      <w:tr w:rsidR="000C2BDF" w:rsidRPr="00644CCA" w14:paraId="2CF27782"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272BDE6B"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12</w:t>
            </w:r>
          </w:p>
        </w:tc>
        <w:tc>
          <w:tcPr>
            <w:tcW w:w="1510" w:type="dxa"/>
            <w:tcBorders>
              <w:top w:val="nil"/>
              <w:left w:val="nil"/>
              <w:bottom w:val="single" w:sz="4" w:space="0" w:color="000000"/>
              <w:right w:val="single" w:sz="4" w:space="0" w:color="000000"/>
            </w:tcBorders>
            <w:shd w:val="clear" w:color="auto" w:fill="auto"/>
            <w:vAlign w:val="center"/>
          </w:tcPr>
          <w:p w14:paraId="5900771A"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Status Quo Bias Theory</w:t>
            </w:r>
          </w:p>
        </w:tc>
        <w:tc>
          <w:tcPr>
            <w:tcW w:w="2880" w:type="dxa"/>
            <w:tcBorders>
              <w:top w:val="nil"/>
              <w:left w:val="nil"/>
              <w:bottom w:val="single" w:sz="4" w:space="0" w:color="000000"/>
              <w:right w:val="single" w:sz="4" w:space="0" w:color="000000"/>
            </w:tcBorders>
            <w:shd w:val="clear" w:color="auto" w:fill="auto"/>
            <w:vAlign w:val="center"/>
          </w:tcPr>
          <w:p w14:paraId="01E5FE2F" w14:textId="77777777" w:rsidR="000C2BDF" w:rsidRPr="00644CCA" w:rsidRDefault="000C2BDF" w:rsidP="00621097">
            <w:pPr>
              <w:spacing w:after="0"/>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Ye et al. (2019)</w:t>
            </w:r>
          </w:p>
        </w:tc>
        <w:tc>
          <w:tcPr>
            <w:tcW w:w="9000" w:type="dxa"/>
            <w:tcBorders>
              <w:top w:val="nil"/>
              <w:left w:val="nil"/>
              <w:bottom w:val="single" w:sz="4" w:space="0" w:color="000000"/>
              <w:right w:val="single" w:sz="4" w:space="0" w:color="000000"/>
            </w:tcBorders>
            <w:shd w:val="clear" w:color="auto" w:fill="auto"/>
            <w:vAlign w:val="center"/>
          </w:tcPr>
          <w:p w14:paraId="6F550D77" w14:textId="22985761"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As per </w:t>
            </w:r>
            <w:r w:rsidR="00660670"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 xml:space="preserve">Status Quo Bias </w:t>
            </w:r>
            <w:r w:rsidRPr="00644CCA">
              <w:rPr>
                <w:rFonts w:ascii="Times New Roman" w:eastAsia="Times New Roman" w:hAnsi="Times New Roman" w:cs="Times New Roman"/>
                <w:sz w:val="20"/>
                <w:szCs w:val="20"/>
              </w:rPr>
              <w:t>theory</w:t>
            </w:r>
            <w:r w:rsidR="0039358A" w:rsidRPr="00644CCA">
              <w:rPr>
                <w:rFonts w:ascii="Times New Roman" w:eastAsia="Times New Roman" w:hAnsi="Times New Roman" w:cs="Times New Roman"/>
                <w:sz w:val="20"/>
                <w:szCs w:val="20"/>
              </w:rPr>
              <w:t>,</w:t>
            </w:r>
            <w:r w:rsidRPr="00644CCA">
              <w:rPr>
                <w:rFonts w:ascii="Times New Roman" w:eastAsia="Times New Roman" w:hAnsi="Times New Roman" w:cs="Times New Roman"/>
                <w:color w:val="000000"/>
                <w:sz w:val="20"/>
                <w:szCs w:val="20"/>
              </w:rPr>
              <w:t xml:space="preserve"> people prefer to maintain their current status or situation</w:t>
            </w:r>
            <w:r w:rsidR="009B20C7"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the incumbent system works as an inhibitor to the new information system </w:t>
            </w:r>
            <w:r w:rsidRPr="00644CCA">
              <w:rPr>
                <w:rFonts w:ascii="Times New Roman" w:eastAsia="Times New Roman" w:hAnsi="Times New Roman" w:cs="Times New Roman"/>
                <w:sz w:val="20"/>
                <w:szCs w:val="20"/>
              </w:rPr>
              <w:t>(Ye et al.</w:t>
            </w:r>
            <w:r w:rsidR="00047A8D"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2019)</w:t>
            </w:r>
            <w:r w:rsidRPr="00644CCA">
              <w:rPr>
                <w:rFonts w:ascii="Times New Roman" w:eastAsia="Times New Roman" w:hAnsi="Times New Roman" w:cs="Times New Roman"/>
                <w:color w:val="000000"/>
                <w:sz w:val="20"/>
                <w:szCs w:val="20"/>
              </w:rPr>
              <w:t>.</w:t>
            </w:r>
          </w:p>
        </w:tc>
      </w:tr>
      <w:tr w:rsidR="000C2BDF" w:rsidRPr="00644CCA" w14:paraId="5E287675"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6CDF8892"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13</w:t>
            </w:r>
          </w:p>
        </w:tc>
        <w:tc>
          <w:tcPr>
            <w:tcW w:w="1510" w:type="dxa"/>
            <w:tcBorders>
              <w:top w:val="nil"/>
              <w:left w:val="nil"/>
              <w:bottom w:val="single" w:sz="4" w:space="0" w:color="000000"/>
              <w:right w:val="single" w:sz="4" w:space="0" w:color="000000"/>
            </w:tcBorders>
            <w:shd w:val="clear" w:color="auto" w:fill="auto"/>
            <w:vAlign w:val="center"/>
          </w:tcPr>
          <w:p w14:paraId="56873AC7"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Stimulus-Organism- Response Theory (S-O-R)</w:t>
            </w:r>
          </w:p>
        </w:tc>
        <w:tc>
          <w:tcPr>
            <w:tcW w:w="2880" w:type="dxa"/>
            <w:tcBorders>
              <w:top w:val="nil"/>
              <w:left w:val="nil"/>
              <w:bottom w:val="single" w:sz="4" w:space="0" w:color="000000"/>
              <w:right w:val="single" w:sz="4" w:space="0" w:color="000000"/>
            </w:tcBorders>
            <w:shd w:val="clear" w:color="auto" w:fill="auto"/>
            <w:vAlign w:val="center"/>
          </w:tcPr>
          <w:p w14:paraId="1CE6DA4F" w14:textId="77777777" w:rsidR="000C2BDF" w:rsidRPr="00644CCA" w:rsidRDefault="000C2BDF" w:rsidP="00621097">
            <w:pPr>
              <w:spacing w:after="0"/>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Uzir et al. (2021)</w:t>
            </w:r>
          </w:p>
        </w:tc>
        <w:tc>
          <w:tcPr>
            <w:tcW w:w="9000" w:type="dxa"/>
            <w:tcBorders>
              <w:top w:val="nil"/>
              <w:left w:val="nil"/>
              <w:bottom w:val="single" w:sz="4" w:space="0" w:color="000000"/>
              <w:right w:val="single" w:sz="4" w:space="0" w:color="000000"/>
            </w:tcBorders>
            <w:shd w:val="clear" w:color="auto" w:fill="auto"/>
            <w:vAlign w:val="center"/>
          </w:tcPr>
          <w:p w14:paraId="5F51BF65" w14:textId="17973CA3"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Consumer </w:t>
            </w:r>
            <w:r w:rsidR="009B20C7" w:rsidRPr="00644CCA">
              <w:rPr>
                <w:rFonts w:ascii="Times New Roman" w:eastAsia="Times New Roman" w:hAnsi="Times New Roman" w:cs="Times New Roman"/>
                <w:color w:val="000000"/>
                <w:sz w:val="20"/>
                <w:szCs w:val="20"/>
              </w:rPr>
              <w:t>decision-making</w:t>
            </w:r>
            <w:r w:rsidRPr="00644CCA">
              <w:rPr>
                <w:rFonts w:ascii="Times New Roman" w:eastAsia="Times New Roman" w:hAnsi="Times New Roman" w:cs="Times New Roman"/>
                <w:color w:val="000000"/>
                <w:sz w:val="20"/>
                <w:szCs w:val="20"/>
              </w:rPr>
              <w:t xml:space="preserve"> can be understood by </w:t>
            </w:r>
            <w:r w:rsidR="009B20C7"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stimulus-organism-response theory</w:t>
            </w:r>
            <w:r w:rsidR="009B20C7"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which states that consumer decision regarding the acceptance and continuance </w:t>
            </w:r>
            <w:r w:rsidR="009B20C7" w:rsidRPr="00644CCA">
              <w:rPr>
                <w:rFonts w:ascii="Times New Roman" w:eastAsia="Times New Roman" w:hAnsi="Times New Roman" w:cs="Times New Roman"/>
                <w:color w:val="000000"/>
                <w:sz w:val="20"/>
                <w:szCs w:val="20"/>
              </w:rPr>
              <w:t xml:space="preserve">of </w:t>
            </w:r>
            <w:r w:rsidRPr="00644CCA">
              <w:rPr>
                <w:rFonts w:ascii="Times New Roman" w:eastAsia="Times New Roman" w:hAnsi="Times New Roman" w:cs="Times New Roman"/>
                <w:color w:val="000000"/>
                <w:sz w:val="20"/>
                <w:szCs w:val="20"/>
              </w:rPr>
              <w:t xml:space="preserve">usage is </w:t>
            </w:r>
            <w:r w:rsidRPr="00644CCA">
              <w:rPr>
                <w:rFonts w:ascii="Times New Roman" w:eastAsia="Times New Roman" w:hAnsi="Times New Roman" w:cs="Times New Roman"/>
                <w:sz w:val="20"/>
                <w:szCs w:val="20"/>
              </w:rPr>
              <w:t>based on some</w:t>
            </w:r>
            <w:r w:rsidRPr="00644CCA">
              <w:rPr>
                <w:rFonts w:ascii="Times New Roman" w:eastAsia="Times New Roman" w:hAnsi="Times New Roman" w:cs="Times New Roman"/>
                <w:color w:val="000000"/>
                <w:sz w:val="20"/>
                <w:szCs w:val="20"/>
              </w:rPr>
              <w:t xml:space="preserve"> stimulus factors</w:t>
            </w:r>
            <w:r w:rsidR="009B20C7" w:rsidRPr="00644CCA">
              <w:rPr>
                <w:rFonts w:ascii="Times New Roman" w:eastAsia="Times New Roman" w:hAnsi="Times New Roman" w:cs="Times New Roman"/>
                <w:color w:val="000000"/>
                <w:sz w:val="20"/>
                <w:szCs w:val="20"/>
              </w:rPr>
              <w:t>. Organism</w:t>
            </w:r>
            <w:r w:rsidRPr="00644CCA">
              <w:rPr>
                <w:rFonts w:ascii="Times New Roman" w:eastAsia="Times New Roman" w:hAnsi="Times New Roman" w:cs="Times New Roman"/>
                <w:color w:val="000000"/>
                <w:sz w:val="20"/>
                <w:szCs w:val="20"/>
              </w:rPr>
              <w:t xml:space="preserve"> factors</w:t>
            </w:r>
            <w:r w:rsidR="009B20C7"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ultimately</w:t>
            </w:r>
            <w:r w:rsidR="009B20C7"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w:t>
            </w:r>
            <w:r w:rsidR="00660670" w:rsidRPr="00644CCA">
              <w:rPr>
                <w:rFonts w:ascii="Times New Roman" w:eastAsia="Times New Roman" w:hAnsi="Times New Roman" w:cs="Times New Roman"/>
                <w:color w:val="000000"/>
                <w:sz w:val="20"/>
                <w:szCs w:val="20"/>
              </w:rPr>
              <w:t>lead</w:t>
            </w:r>
            <w:r w:rsidRPr="00644CCA">
              <w:rPr>
                <w:rFonts w:ascii="Times New Roman" w:eastAsia="Times New Roman" w:hAnsi="Times New Roman" w:cs="Times New Roman"/>
                <w:color w:val="000000"/>
                <w:sz w:val="20"/>
                <w:szCs w:val="20"/>
              </w:rPr>
              <w:t xml:space="preserve"> to response factors like </w:t>
            </w:r>
            <w:r w:rsidR="001812EB" w:rsidRPr="00644CCA">
              <w:rPr>
                <w:rFonts w:ascii="Times New Roman" w:eastAsia="Times New Roman" w:hAnsi="Times New Roman" w:cs="Times New Roman"/>
                <w:sz w:val="20"/>
                <w:szCs w:val="20"/>
              </w:rPr>
              <w:t>behaviour</w:t>
            </w:r>
            <w:r w:rsidRPr="00644CCA">
              <w:rPr>
                <w:rFonts w:ascii="Times New Roman" w:eastAsia="Times New Roman" w:hAnsi="Times New Roman" w:cs="Times New Roman"/>
                <w:sz w:val="20"/>
                <w:szCs w:val="20"/>
              </w:rPr>
              <w:t>al intention (Jacoby</w:t>
            </w:r>
            <w:r w:rsidR="00047A8D"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2002). Uzir et al. (2021) have used </w:t>
            </w:r>
            <w:r w:rsidR="009B20C7" w:rsidRPr="00644CCA">
              <w:rPr>
                <w:rFonts w:ascii="Times New Roman" w:eastAsia="Times New Roman" w:hAnsi="Times New Roman" w:cs="Times New Roman"/>
                <w:sz w:val="20"/>
                <w:szCs w:val="20"/>
              </w:rPr>
              <w:t xml:space="preserve">the </w:t>
            </w:r>
            <w:r w:rsidRPr="00644CCA">
              <w:rPr>
                <w:rFonts w:ascii="Times New Roman" w:eastAsia="Times New Roman" w:hAnsi="Times New Roman" w:cs="Times New Roman"/>
                <w:sz w:val="20"/>
                <w:szCs w:val="20"/>
              </w:rPr>
              <w:t xml:space="preserve">Stimulus-organism-response theory </w:t>
            </w:r>
            <w:r w:rsidR="009B20C7" w:rsidRPr="00644CCA">
              <w:rPr>
                <w:rFonts w:ascii="Times New Roman" w:eastAsia="Times New Roman" w:hAnsi="Times New Roman" w:cs="Times New Roman"/>
                <w:sz w:val="20"/>
                <w:szCs w:val="20"/>
              </w:rPr>
              <w:t>to develop</w:t>
            </w:r>
            <w:r w:rsidRPr="00644CCA">
              <w:rPr>
                <w:rFonts w:ascii="Times New Roman" w:eastAsia="Times New Roman" w:hAnsi="Times New Roman" w:cs="Times New Roman"/>
                <w:sz w:val="20"/>
                <w:szCs w:val="20"/>
              </w:rPr>
              <w:t xml:space="preserve"> conceptual models for determining </w:t>
            </w:r>
            <w:r w:rsidR="009B20C7" w:rsidRPr="00644CCA">
              <w:rPr>
                <w:rFonts w:ascii="Times New Roman" w:eastAsia="Times New Roman" w:hAnsi="Times New Roman" w:cs="Times New Roman"/>
                <w:sz w:val="20"/>
                <w:szCs w:val="20"/>
              </w:rPr>
              <w:t xml:space="preserve">the </w:t>
            </w:r>
            <w:r w:rsidRPr="00644CCA">
              <w:rPr>
                <w:rFonts w:ascii="Times New Roman" w:eastAsia="Times New Roman" w:hAnsi="Times New Roman" w:cs="Times New Roman"/>
                <w:sz w:val="20"/>
                <w:szCs w:val="20"/>
              </w:rPr>
              <w:t>user experience of smart-watch usage for healthcare.</w:t>
            </w:r>
          </w:p>
        </w:tc>
      </w:tr>
      <w:tr w:rsidR="000C2BDF" w:rsidRPr="00644CCA" w14:paraId="2F903F48"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51554E81"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14</w:t>
            </w:r>
          </w:p>
        </w:tc>
        <w:tc>
          <w:tcPr>
            <w:tcW w:w="1510" w:type="dxa"/>
            <w:tcBorders>
              <w:top w:val="nil"/>
              <w:left w:val="nil"/>
              <w:bottom w:val="single" w:sz="4" w:space="0" w:color="000000"/>
              <w:right w:val="single" w:sz="4" w:space="0" w:color="000000"/>
            </w:tcBorders>
            <w:shd w:val="clear" w:color="auto" w:fill="auto"/>
            <w:vAlign w:val="center"/>
          </w:tcPr>
          <w:p w14:paraId="50B18933"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TAM</w:t>
            </w:r>
          </w:p>
        </w:tc>
        <w:tc>
          <w:tcPr>
            <w:tcW w:w="2880" w:type="dxa"/>
            <w:tcBorders>
              <w:top w:val="nil"/>
              <w:left w:val="nil"/>
              <w:bottom w:val="single" w:sz="4" w:space="0" w:color="000000"/>
              <w:right w:val="single" w:sz="4" w:space="0" w:color="000000"/>
            </w:tcBorders>
            <w:shd w:val="clear" w:color="auto" w:fill="auto"/>
            <w:vAlign w:val="center"/>
          </w:tcPr>
          <w:p w14:paraId="45E9374E" w14:textId="457E25C1" w:rsidR="000C2BDF" w:rsidRPr="00644CCA" w:rsidRDefault="000C2BDF" w:rsidP="00621097">
            <w:pPr>
              <w:spacing w:after="0"/>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 xml:space="preserve">Dwivedi et al. (2021); Ho et al. (2023); Jauk et al (2021); Li and </w:t>
            </w:r>
            <w:r w:rsidR="003B70BE" w:rsidRPr="00644CCA">
              <w:rPr>
                <w:rFonts w:ascii="Times New Roman" w:eastAsia="Times New Roman" w:hAnsi="Times New Roman" w:cs="Times New Roman"/>
                <w:sz w:val="20"/>
                <w:szCs w:val="20"/>
              </w:rPr>
              <w:t>W</w:t>
            </w:r>
            <w:r w:rsidRPr="00644CCA">
              <w:rPr>
                <w:rFonts w:ascii="Times New Roman" w:eastAsia="Times New Roman" w:hAnsi="Times New Roman" w:cs="Times New Roman"/>
                <w:sz w:val="20"/>
                <w:szCs w:val="20"/>
              </w:rPr>
              <w:t>ang (2022); Liu and Tao (2022); Liu et al. (2022</w:t>
            </w:r>
            <w:r w:rsidR="003B70BE" w:rsidRPr="00644CCA">
              <w:rPr>
                <w:rFonts w:ascii="Times New Roman" w:eastAsia="Times New Roman" w:hAnsi="Times New Roman" w:cs="Times New Roman"/>
                <w:sz w:val="20"/>
                <w:szCs w:val="20"/>
              </w:rPr>
              <w:t>a</w:t>
            </w:r>
            <w:r w:rsidRPr="00644CCA">
              <w:rPr>
                <w:rFonts w:ascii="Times New Roman" w:eastAsia="Times New Roman" w:hAnsi="Times New Roman" w:cs="Times New Roman"/>
                <w:sz w:val="20"/>
                <w:szCs w:val="20"/>
              </w:rPr>
              <w:t>); Mishra et al. (2022); Ye et al. (2019); Zhou et al. (2019)</w:t>
            </w:r>
          </w:p>
        </w:tc>
        <w:tc>
          <w:tcPr>
            <w:tcW w:w="9000" w:type="dxa"/>
            <w:tcBorders>
              <w:top w:val="nil"/>
              <w:left w:val="nil"/>
              <w:bottom w:val="single" w:sz="4" w:space="0" w:color="000000"/>
              <w:right w:val="single" w:sz="4" w:space="0" w:color="000000"/>
            </w:tcBorders>
            <w:shd w:val="clear" w:color="auto" w:fill="auto"/>
            <w:vAlign w:val="center"/>
          </w:tcPr>
          <w:p w14:paraId="1EFB73A5" w14:textId="6DEF1721"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sz w:val="20"/>
                <w:szCs w:val="20"/>
              </w:rPr>
              <w:t>Perceived</w:t>
            </w:r>
            <w:r w:rsidRPr="00644CCA">
              <w:rPr>
                <w:rFonts w:ascii="Times New Roman" w:eastAsia="Times New Roman" w:hAnsi="Times New Roman" w:cs="Times New Roman"/>
                <w:color w:val="000000"/>
                <w:sz w:val="20"/>
                <w:szCs w:val="20"/>
              </w:rPr>
              <w:t xml:space="preserve"> usefulness and </w:t>
            </w:r>
            <w:r w:rsidRPr="00644CCA">
              <w:rPr>
                <w:rFonts w:ascii="Times New Roman" w:eastAsia="Times New Roman" w:hAnsi="Times New Roman" w:cs="Times New Roman"/>
                <w:sz w:val="20"/>
                <w:szCs w:val="20"/>
              </w:rPr>
              <w:t>perceived</w:t>
            </w:r>
            <w:r w:rsidRPr="00644CCA">
              <w:rPr>
                <w:rFonts w:ascii="Times New Roman" w:eastAsia="Times New Roman" w:hAnsi="Times New Roman" w:cs="Times New Roman"/>
                <w:color w:val="000000"/>
                <w:sz w:val="20"/>
                <w:szCs w:val="20"/>
              </w:rPr>
              <w:t xml:space="preserve"> ease of use are the two major </w:t>
            </w:r>
            <w:r w:rsidRPr="00644CCA">
              <w:rPr>
                <w:rFonts w:ascii="Times New Roman" w:eastAsia="Times New Roman" w:hAnsi="Times New Roman" w:cs="Times New Roman"/>
                <w:sz w:val="20"/>
                <w:szCs w:val="20"/>
              </w:rPr>
              <w:t xml:space="preserve">determinants of </w:t>
            </w:r>
            <w:r w:rsidR="009B20C7" w:rsidRPr="00644CCA">
              <w:rPr>
                <w:rFonts w:ascii="Times New Roman" w:eastAsia="Times New Roman" w:hAnsi="Times New Roman" w:cs="Times New Roman"/>
                <w:sz w:val="20"/>
                <w:szCs w:val="20"/>
              </w:rPr>
              <w:t xml:space="preserve">the </w:t>
            </w:r>
            <w:r w:rsidR="001812EB" w:rsidRPr="00644CCA">
              <w:rPr>
                <w:rFonts w:ascii="Times New Roman" w:eastAsia="Times New Roman" w:hAnsi="Times New Roman" w:cs="Times New Roman"/>
                <w:sz w:val="20"/>
                <w:szCs w:val="20"/>
              </w:rPr>
              <w:t>behaviour</w:t>
            </w:r>
            <w:r w:rsidRPr="00644CCA">
              <w:rPr>
                <w:rFonts w:ascii="Times New Roman" w:eastAsia="Times New Roman" w:hAnsi="Times New Roman" w:cs="Times New Roman"/>
                <w:sz w:val="20"/>
                <w:szCs w:val="20"/>
              </w:rPr>
              <w:t>al</w:t>
            </w:r>
            <w:r w:rsidRPr="00644CCA">
              <w:rPr>
                <w:rFonts w:ascii="Times New Roman" w:eastAsia="Times New Roman" w:hAnsi="Times New Roman" w:cs="Times New Roman"/>
                <w:color w:val="000000"/>
                <w:sz w:val="20"/>
                <w:szCs w:val="20"/>
              </w:rPr>
              <w:t xml:space="preserve"> intention of individuals regarding technology acceptance</w:t>
            </w:r>
            <w:r w:rsidR="009B20C7" w:rsidRPr="00644CCA">
              <w:rPr>
                <w:rFonts w:ascii="Times New Roman" w:eastAsia="Times New Roman" w:hAnsi="Times New Roman" w:cs="Times New Roman"/>
                <w:color w:val="000000"/>
                <w:sz w:val="20"/>
                <w:szCs w:val="20"/>
              </w:rPr>
              <w:t>, and the</w:t>
            </w:r>
            <w:r w:rsidRPr="00644CCA">
              <w:rPr>
                <w:rFonts w:ascii="Times New Roman" w:eastAsia="Times New Roman" w:hAnsi="Times New Roman" w:cs="Times New Roman"/>
                <w:color w:val="000000"/>
                <w:sz w:val="20"/>
                <w:szCs w:val="20"/>
              </w:rPr>
              <w:t xml:space="preserve"> collective model is called </w:t>
            </w:r>
            <w:r w:rsidR="00660670"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 xml:space="preserve">Technology Acceptance Model (TAM) </w:t>
            </w:r>
            <w:r w:rsidRPr="00644CCA">
              <w:rPr>
                <w:rFonts w:ascii="Times New Roman" w:eastAsia="Times New Roman" w:hAnsi="Times New Roman" w:cs="Times New Roman"/>
                <w:sz w:val="20"/>
                <w:szCs w:val="20"/>
              </w:rPr>
              <w:t>(Davis</w:t>
            </w:r>
            <w:r w:rsidR="00047A8D"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1989)</w:t>
            </w:r>
            <w:r w:rsidRPr="00644CCA">
              <w:rPr>
                <w:rFonts w:ascii="Times New Roman" w:eastAsia="Times New Roman" w:hAnsi="Times New Roman" w:cs="Times New Roman"/>
                <w:color w:val="000000"/>
                <w:sz w:val="20"/>
                <w:szCs w:val="20"/>
              </w:rPr>
              <w:t xml:space="preserve">. </w:t>
            </w:r>
            <w:r w:rsidR="00047A8D" w:rsidRPr="00644CCA">
              <w:rPr>
                <w:rFonts w:ascii="Times New Roman" w:eastAsia="Times New Roman" w:hAnsi="Times New Roman" w:cs="Times New Roman"/>
                <w:color w:val="000000"/>
                <w:sz w:val="20"/>
                <w:szCs w:val="20"/>
              </w:rPr>
              <w:t>Many of the authors use TAM to develop</w:t>
            </w:r>
            <w:r w:rsidRPr="00644CCA">
              <w:rPr>
                <w:rFonts w:ascii="Times New Roman" w:eastAsia="Times New Roman" w:hAnsi="Times New Roman" w:cs="Times New Roman"/>
                <w:color w:val="000000"/>
                <w:sz w:val="20"/>
                <w:szCs w:val="20"/>
              </w:rPr>
              <w:t xml:space="preserve"> conceptual models related </w:t>
            </w:r>
            <w:r w:rsidRPr="00644CCA">
              <w:rPr>
                <w:rFonts w:ascii="Times New Roman" w:eastAsia="Times New Roman" w:hAnsi="Times New Roman" w:cs="Times New Roman"/>
                <w:sz w:val="20"/>
                <w:szCs w:val="20"/>
              </w:rPr>
              <w:t>to</w:t>
            </w:r>
            <w:r w:rsidRPr="00644CCA">
              <w:rPr>
                <w:rFonts w:ascii="Times New Roman" w:eastAsia="Times New Roman" w:hAnsi="Times New Roman" w:cs="Times New Roman"/>
                <w:color w:val="000000"/>
                <w:sz w:val="20"/>
                <w:szCs w:val="20"/>
              </w:rPr>
              <w:t xml:space="preserve"> AI </w:t>
            </w:r>
            <w:r w:rsidRPr="00644CCA">
              <w:rPr>
                <w:rFonts w:ascii="Times New Roman" w:eastAsia="Times New Roman" w:hAnsi="Times New Roman" w:cs="Times New Roman"/>
                <w:sz w:val="20"/>
                <w:szCs w:val="20"/>
              </w:rPr>
              <w:t>adoption</w:t>
            </w:r>
            <w:r w:rsidRPr="00644CCA">
              <w:rPr>
                <w:rFonts w:ascii="Times New Roman" w:eastAsia="Times New Roman" w:hAnsi="Times New Roman" w:cs="Times New Roman"/>
                <w:color w:val="000000"/>
                <w:sz w:val="20"/>
                <w:szCs w:val="20"/>
              </w:rPr>
              <w:t xml:space="preserve"> in healthcare. TAM is one of the most </w:t>
            </w:r>
            <w:r w:rsidR="009B20C7" w:rsidRPr="00644CCA">
              <w:rPr>
                <w:rFonts w:ascii="Times New Roman" w:eastAsia="Times New Roman" w:hAnsi="Times New Roman" w:cs="Times New Roman"/>
                <w:sz w:val="20"/>
                <w:szCs w:val="20"/>
              </w:rPr>
              <w:t>preferred</w:t>
            </w:r>
            <w:r w:rsidRPr="00644CCA">
              <w:rPr>
                <w:rFonts w:ascii="Times New Roman" w:eastAsia="Times New Roman" w:hAnsi="Times New Roman" w:cs="Times New Roman"/>
                <w:color w:val="000000"/>
                <w:sz w:val="20"/>
                <w:szCs w:val="20"/>
              </w:rPr>
              <w:t xml:space="preserve"> theoretical </w:t>
            </w:r>
            <w:r w:rsidRPr="00644CCA">
              <w:rPr>
                <w:rFonts w:ascii="Times New Roman" w:eastAsia="Times New Roman" w:hAnsi="Times New Roman" w:cs="Times New Roman"/>
                <w:sz w:val="20"/>
                <w:szCs w:val="20"/>
              </w:rPr>
              <w:t>models</w:t>
            </w:r>
            <w:r w:rsidRPr="00644CCA">
              <w:rPr>
                <w:rFonts w:ascii="Times New Roman" w:eastAsia="Times New Roman" w:hAnsi="Times New Roman" w:cs="Times New Roman"/>
                <w:color w:val="000000"/>
                <w:sz w:val="20"/>
                <w:szCs w:val="20"/>
              </w:rPr>
              <w:t xml:space="preserve"> </w:t>
            </w:r>
            <w:r w:rsidR="00047A8D" w:rsidRPr="00644CCA">
              <w:rPr>
                <w:rFonts w:ascii="Times New Roman" w:eastAsia="Times New Roman" w:hAnsi="Times New Roman" w:cs="Times New Roman"/>
                <w:color w:val="000000"/>
                <w:sz w:val="20"/>
                <w:szCs w:val="20"/>
              </w:rPr>
              <w:t>for acceptance of technology</w:t>
            </w:r>
            <w:r w:rsidRPr="00644CCA">
              <w:rPr>
                <w:rFonts w:ascii="Times New Roman" w:eastAsia="Times New Roman" w:hAnsi="Times New Roman" w:cs="Times New Roman"/>
                <w:color w:val="000000"/>
                <w:sz w:val="20"/>
                <w:szCs w:val="20"/>
              </w:rPr>
              <w:t xml:space="preserve">. </w:t>
            </w:r>
          </w:p>
        </w:tc>
      </w:tr>
      <w:tr w:rsidR="000C2BDF" w:rsidRPr="00644CCA" w14:paraId="1A00F580"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4BD88BCA"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15</w:t>
            </w:r>
          </w:p>
        </w:tc>
        <w:tc>
          <w:tcPr>
            <w:tcW w:w="1510" w:type="dxa"/>
            <w:tcBorders>
              <w:top w:val="nil"/>
              <w:left w:val="nil"/>
              <w:bottom w:val="single" w:sz="4" w:space="0" w:color="000000"/>
              <w:right w:val="single" w:sz="4" w:space="0" w:color="000000"/>
            </w:tcBorders>
            <w:shd w:val="clear" w:color="auto" w:fill="auto"/>
            <w:vAlign w:val="center"/>
          </w:tcPr>
          <w:p w14:paraId="4D77AE08"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Theory of Uncanny Valley</w:t>
            </w:r>
          </w:p>
        </w:tc>
        <w:tc>
          <w:tcPr>
            <w:tcW w:w="2880" w:type="dxa"/>
            <w:tcBorders>
              <w:top w:val="nil"/>
              <w:left w:val="nil"/>
              <w:bottom w:val="single" w:sz="4" w:space="0" w:color="000000"/>
              <w:right w:val="single" w:sz="4" w:space="0" w:color="000000"/>
            </w:tcBorders>
            <w:shd w:val="clear" w:color="auto" w:fill="auto"/>
            <w:vAlign w:val="center"/>
          </w:tcPr>
          <w:p w14:paraId="035C4718" w14:textId="77777777"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Yun et al. (2021)</w:t>
            </w:r>
          </w:p>
        </w:tc>
        <w:tc>
          <w:tcPr>
            <w:tcW w:w="9000" w:type="dxa"/>
            <w:tcBorders>
              <w:top w:val="nil"/>
              <w:left w:val="nil"/>
              <w:bottom w:val="single" w:sz="4" w:space="0" w:color="000000"/>
              <w:right w:val="single" w:sz="4" w:space="0" w:color="000000"/>
            </w:tcBorders>
            <w:shd w:val="clear" w:color="auto" w:fill="auto"/>
            <w:vAlign w:val="center"/>
          </w:tcPr>
          <w:p w14:paraId="06202390" w14:textId="09A40808"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People respond with negative emotions to those robots </w:t>
            </w:r>
            <w:r w:rsidR="009B20C7" w:rsidRPr="00644CCA">
              <w:rPr>
                <w:rFonts w:ascii="Times New Roman" w:eastAsia="Times New Roman" w:hAnsi="Times New Roman" w:cs="Times New Roman"/>
                <w:color w:val="000000"/>
                <w:sz w:val="20"/>
                <w:szCs w:val="20"/>
              </w:rPr>
              <w:t>that look too human</w:t>
            </w:r>
            <w:r w:rsidRPr="00644CCA">
              <w:rPr>
                <w:rFonts w:ascii="Times New Roman" w:eastAsia="Times New Roman" w:hAnsi="Times New Roman" w:cs="Times New Roman"/>
                <w:sz w:val="20"/>
                <w:szCs w:val="20"/>
              </w:rPr>
              <w:t>. Individuals</w:t>
            </w:r>
            <w:r w:rsidRPr="00644CCA">
              <w:rPr>
                <w:rFonts w:ascii="Times New Roman" w:eastAsia="Times New Roman" w:hAnsi="Times New Roman" w:cs="Times New Roman"/>
                <w:color w:val="000000"/>
                <w:sz w:val="20"/>
                <w:szCs w:val="20"/>
              </w:rPr>
              <w:t xml:space="preserve"> feel uncanny toward more humanoid robots because they </w:t>
            </w:r>
            <w:r w:rsidRPr="00644CCA">
              <w:rPr>
                <w:rFonts w:ascii="Times New Roman" w:eastAsia="Times New Roman" w:hAnsi="Times New Roman" w:cs="Times New Roman"/>
                <w:sz w:val="20"/>
                <w:szCs w:val="20"/>
              </w:rPr>
              <w:t>perceive</w:t>
            </w:r>
            <w:r w:rsidRPr="00644CCA">
              <w:rPr>
                <w:rFonts w:ascii="Times New Roman" w:eastAsia="Times New Roman" w:hAnsi="Times New Roman" w:cs="Times New Roman"/>
                <w:color w:val="000000"/>
                <w:sz w:val="20"/>
                <w:szCs w:val="20"/>
              </w:rPr>
              <w:t xml:space="preserve"> robots' warmth instead of </w:t>
            </w:r>
            <w:r w:rsidRPr="00644CCA">
              <w:rPr>
                <w:rFonts w:ascii="Times New Roman" w:eastAsia="Times New Roman" w:hAnsi="Times New Roman" w:cs="Times New Roman"/>
                <w:sz w:val="20"/>
                <w:szCs w:val="20"/>
              </w:rPr>
              <w:t>competence (Mor</w:t>
            </w:r>
            <w:r w:rsidR="007952BE" w:rsidRPr="00644CCA">
              <w:rPr>
                <w:rFonts w:ascii="Times New Roman" w:eastAsia="Times New Roman" w:hAnsi="Times New Roman" w:cs="Times New Roman"/>
                <w:sz w:val="20"/>
                <w:szCs w:val="20"/>
              </w:rPr>
              <w:t>ey</w:t>
            </w:r>
            <w:r w:rsidR="00047A8D"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1970; Yun et al.</w:t>
            </w:r>
            <w:r w:rsidR="00047A8D"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2021</w:t>
            </w:r>
            <w:r w:rsidRPr="00644CCA">
              <w:rPr>
                <w:rFonts w:ascii="Times New Roman" w:eastAsia="Times New Roman" w:hAnsi="Times New Roman" w:cs="Times New Roman"/>
                <w:color w:val="000000"/>
                <w:sz w:val="20"/>
                <w:szCs w:val="20"/>
              </w:rPr>
              <w:t>).</w:t>
            </w:r>
          </w:p>
        </w:tc>
      </w:tr>
      <w:tr w:rsidR="000C2BDF" w:rsidRPr="00644CCA" w14:paraId="1127C5B1"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31D6ED18"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lastRenderedPageBreak/>
              <w:t>16</w:t>
            </w:r>
          </w:p>
        </w:tc>
        <w:tc>
          <w:tcPr>
            <w:tcW w:w="1510" w:type="dxa"/>
            <w:tcBorders>
              <w:top w:val="nil"/>
              <w:left w:val="nil"/>
              <w:bottom w:val="single" w:sz="4" w:space="0" w:color="000000"/>
              <w:right w:val="single" w:sz="4" w:space="0" w:color="000000"/>
            </w:tcBorders>
            <w:shd w:val="clear" w:color="auto" w:fill="auto"/>
            <w:vAlign w:val="center"/>
          </w:tcPr>
          <w:p w14:paraId="1D527109" w14:textId="77777777" w:rsidR="000C2BDF" w:rsidRPr="00644CCA" w:rsidRDefault="000C2BDF" w:rsidP="00621097">
            <w:pPr>
              <w:spacing w:after="0"/>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TPB</w:t>
            </w:r>
          </w:p>
        </w:tc>
        <w:tc>
          <w:tcPr>
            <w:tcW w:w="2880" w:type="dxa"/>
            <w:tcBorders>
              <w:top w:val="nil"/>
              <w:left w:val="nil"/>
              <w:bottom w:val="single" w:sz="4" w:space="0" w:color="000000"/>
              <w:right w:val="single" w:sz="4" w:space="0" w:color="000000"/>
            </w:tcBorders>
            <w:shd w:val="clear" w:color="auto" w:fill="auto"/>
            <w:vAlign w:val="center"/>
          </w:tcPr>
          <w:p w14:paraId="7EC72C66" w14:textId="77777777" w:rsidR="000C2BDF" w:rsidRPr="00644CCA" w:rsidRDefault="000C2BDF" w:rsidP="00621097">
            <w:pPr>
              <w:spacing w:after="0"/>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Ameen et al. (2021); Chang et al. (2022); Phelps et al. (2000); Sawrikar and Mote (2022); Venkatesh et al. (2000); Wu et al. (2015); Ye et al. (2019)</w:t>
            </w:r>
          </w:p>
        </w:tc>
        <w:tc>
          <w:tcPr>
            <w:tcW w:w="9000" w:type="dxa"/>
            <w:tcBorders>
              <w:top w:val="nil"/>
              <w:left w:val="nil"/>
              <w:bottom w:val="single" w:sz="4" w:space="0" w:color="000000"/>
              <w:right w:val="single" w:sz="4" w:space="0" w:color="000000"/>
            </w:tcBorders>
            <w:shd w:val="clear" w:color="auto" w:fill="auto"/>
            <w:vAlign w:val="center"/>
          </w:tcPr>
          <w:p w14:paraId="39FF45DB" w14:textId="69F6D8C6"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TPB is an extension of </w:t>
            </w:r>
            <w:r w:rsidR="006840FF"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theory of reasoned action (TRA)</w:t>
            </w:r>
            <w:r w:rsidR="0039358A"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which states that attitude and social norms are two antecedents of </w:t>
            </w:r>
            <w:r w:rsidR="001812EB" w:rsidRPr="00644CCA">
              <w:rPr>
                <w:rFonts w:ascii="Times New Roman" w:eastAsia="Times New Roman" w:hAnsi="Times New Roman" w:cs="Times New Roman"/>
                <w:color w:val="000000"/>
                <w:sz w:val="20"/>
                <w:szCs w:val="20"/>
              </w:rPr>
              <w:t>behaviour</w:t>
            </w:r>
            <w:r w:rsidRPr="00644CCA">
              <w:rPr>
                <w:rFonts w:ascii="Times New Roman" w:eastAsia="Times New Roman" w:hAnsi="Times New Roman" w:cs="Times New Roman"/>
                <w:color w:val="000000"/>
                <w:sz w:val="20"/>
                <w:szCs w:val="20"/>
              </w:rPr>
              <w:t>al intentions of individuals</w:t>
            </w:r>
            <w:r w:rsidR="006840FF"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w:t>
            </w:r>
            <w:r w:rsidR="001812EB" w:rsidRPr="00644CCA">
              <w:rPr>
                <w:rFonts w:ascii="Times New Roman" w:eastAsia="Times New Roman" w:hAnsi="Times New Roman" w:cs="Times New Roman"/>
                <w:color w:val="000000"/>
                <w:sz w:val="20"/>
                <w:szCs w:val="20"/>
              </w:rPr>
              <w:t>behaviour</w:t>
            </w:r>
            <w:r w:rsidRPr="00644CCA">
              <w:rPr>
                <w:rFonts w:ascii="Times New Roman" w:eastAsia="Times New Roman" w:hAnsi="Times New Roman" w:cs="Times New Roman"/>
                <w:color w:val="000000"/>
                <w:sz w:val="20"/>
                <w:szCs w:val="20"/>
              </w:rPr>
              <w:t xml:space="preserve">al intention </w:t>
            </w:r>
            <w:r w:rsidR="0039358A" w:rsidRPr="00644CCA">
              <w:rPr>
                <w:rFonts w:ascii="Times New Roman" w:eastAsia="Times New Roman" w:hAnsi="Times New Roman" w:cs="Times New Roman"/>
                <w:color w:val="000000"/>
                <w:sz w:val="20"/>
                <w:szCs w:val="20"/>
              </w:rPr>
              <w:t>leads</w:t>
            </w:r>
            <w:r w:rsidRPr="00644CCA">
              <w:rPr>
                <w:rFonts w:ascii="Times New Roman" w:eastAsia="Times New Roman" w:hAnsi="Times New Roman" w:cs="Times New Roman"/>
                <w:color w:val="000000"/>
                <w:sz w:val="20"/>
                <w:szCs w:val="20"/>
              </w:rPr>
              <w:t xml:space="preserve"> to actual </w:t>
            </w:r>
            <w:r w:rsidR="001812EB" w:rsidRPr="00644CCA">
              <w:rPr>
                <w:rFonts w:ascii="Times New Roman" w:eastAsia="Times New Roman" w:hAnsi="Times New Roman" w:cs="Times New Roman"/>
                <w:color w:val="000000"/>
                <w:sz w:val="20"/>
                <w:szCs w:val="20"/>
              </w:rPr>
              <w:t>behaviour</w:t>
            </w:r>
            <w:r w:rsidRPr="00644CCA">
              <w:rPr>
                <w:rFonts w:ascii="Times New Roman" w:eastAsia="Times New Roman" w:hAnsi="Times New Roman" w:cs="Times New Roman"/>
                <w:color w:val="000000"/>
                <w:sz w:val="20"/>
                <w:szCs w:val="20"/>
              </w:rPr>
              <w:t xml:space="preserve"> </w:t>
            </w:r>
            <w:r w:rsidRPr="00644CCA">
              <w:rPr>
                <w:rFonts w:ascii="Times New Roman" w:eastAsia="Times New Roman" w:hAnsi="Times New Roman" w:cs="Times New Roman"/>
                <w:sz w:val="20"/>
                <w:szCs w:val="20"/>
              </w:rPr>
              <w:t>(Ajzen 1985, 1991)</w:t>
            </w:r>
            <w:r w:rsidRPr="00644CCA">
              <w:rPr>
                <w:rFonts w:ascii="Times New Roman" w:eastAsia="Times New Roman" w:hAnsi="Times New Roman" w:cs="Times New Roman"/>
                <w:color w:val="000000"/>
                <w:sz w:val="20"/>
                <w:szCs w:val="20"/>
              </w:rPr>
              <w:t xml:space="preserve">. TPB has been applied in </w:t>
            </w:r>
            <w:r w:rsidR="006840FF"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model development of several studies selected for review.</w:t>
            </w:r>
          </w:p>
        </w:tc>
      </w:tr>
      <w:tr w:rsidR="000C2BDF" w:rsidRPr="00644CCA" w14:paraId="725CAFD5"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3DD7D6B1"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17</w:t>
            </w:r>
          </w:p>
        </w:tc>
        <w:tc>
          <w:tcPr>
            <w:tcW w:w="1510" w:type="dxa"/>
            <w:tcBorders>
              <w:top w:val="nil"/>
              <w:left w:val="nil"/>
              <w:bottom w:val="single" w:sz="4" w:space="0" w:color="000000"/>
              <w:right w:val="single" w:sz="4" w:space="0" w:color="000000"/>
            </w:tcBorders>
            <w:shd w:val="clear" w:color="auto" w:fill="auto"/>
            <w:vAlign w:val="center"/>
          </w:tcPr>
          <w:p w14:paraId="1C541168" w14:textId="77777777" w:rsidR="000C2BDF" w:rsidRPr="00644CCA" w:rsidRDefault="000C2BDF" w:rsidP="00621097">
            <w:pPr>
              <w:spacing w:after="0"/>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UTAUT</w:t>
            </w:r>
          </w:p>
        </w:tc>
        <w:tc>
          <w:tcPr>
            <w:tcW w:w="2880" w:type="dxa"/>
            <w:tcBorders>
              <w:top w:val="nil"/>
              <w:left w:val="nil"/>
              <w:bottom w:val="single" w:sz="4" w:space="0" w:color="000000"/>
              <w:right w:val="single" w:sz="4" w:space="0" w:color="000000"/>
            </w:tcBorders>
            <w:shd w:val="clear" w:color="auto" w:fill="auto"/>
            <w:vAlign w:val="center"/>
          </w:tcPr>
          <w:p w14:paraId="602C72BC" w14:textId="77777777" w:rsidR="000C2BDF" w:rsidRPr="00644CCA" w:rsidRDefault="000C2BDF" w:rsidP="00621097">
            <w:pPr>
              <w:spacing w:after="0"/>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Ammer et al. (2022); BenMessaoud et al. (2011); Beuscher et al. (2017); Hayat et al. (2022); Huang and Yang (2019); Jank et al. (2021); McDermott et al. (2020); Mishra et al. (2022); Shahsavar and Chodhury (2023); Zhou et al. (2019)</w:t>
            </w:r>
          </w:p>
        </w:tc>
        <w:tc>
          <w:tcPr>
            <w:tcW w:w="9000" w:type="dxa"/>
            <w:tcBorders>
              <w:top w:val="nil"/>
              <w:left w:val="nil"/>
              <w:bottom w:val="single" w:sz="4" w:space="0" w:color="000000"/>
              <w:right w:val="single" w:sz="4" w:space="0" w:color="000000"/>
            </w:tcBorders>
            <w:shd w:val="clear" w:color="auto" w:fill="auto"/>
            <w:vAlign w:val="center"/>
          </w:tcPr>
          <w:p w14:paraId="243A79BB" w14:textId="67761D1E"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UTAUT states that </w:t>
            </w:r>
            <w:r w:rsidR="001812EB" w:rsidRPr="00644CCA">
              <w:rPr>
                <w:rFonts w:ascii="Times New Roman" w:eastAsia="Times New Roman" w:hAnsi="Times New Roman" w:cs="Times New Roman"/>
                <w:color w:val="000000"/>
                <w:sz w:val="20"/>
                <w:szCs w:val="20"/>
              </w:rPr>
              <w:t>behaviour</w:t>
            </w:r>
            <w:r w:rsidRPr="00644CCA">
              <w:rPr>
                <w:rFonts w:ascii="Times New Roman" w:eastAsia="Times New Roman" w:hAnsi="Times New Roman" w:cs="Times New Roman"/>
                <w:color w:val="000000"/>
                <w:sz w:val="20"/>
                <w:szCs w:val="20"/>
              </w:rPr>
              <w:t xml:space="preserve">al intention to use information technology </w:t>
            </w:r>
            <w:r w:rsidR="006840FF" w:rsidRPr="00644CCA">
              <w:rPr>
                <w:rFonts w:ascii="Times New Roman" w:eastAsia="Times New Roman" w:hAnsi="Times New Roman" w:cs="Times New Roman"/>
                <w:color w:val="000000"/>
                <w:sz w:val="20"/>
                <w:szCs w:val="20"/>
              </w:rPr>
              <w:t>depends on</w:t>
            </w:r>
            <w:r w:rsidRPr="00644CCA">
              <w:rPr>
                <w:rFonts w:ascii="Times New Roman" w:eastAsia="Times New Roman" w:hAnsi="Times New Roman" w:cs="Times New Roman"/>
                <w:color w:val="000000"/>
                <w:sz w:val="20"/>
                <w:szCs w:val="20"/>
              </w:rPr>
              <w:t xml:space="preserve"> performance expectancy, effort expectancy, social influence</w:t>
            </w:r>
            <w:r w:rsidR="006F168D"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facilitating conditions </w:t>
            </w:r>
            <w:r w:rsidRPr="00644CCA">
              <w:rPr>
                <w:rFonts w:ascii="Times New Roman" w:eastAsia="Times New Roman" w:hAnsi="Times New Roman" w:cs="Times New Roman"/>
                <w:sz w:val="20"/>
                <w:szCs w:val="20"/>
              </w:rPr>
              <w:t>(Venkatesh et al.</w:t>
            </w:r>
            <w:r w:rsidR="00047A8D"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2003)</w:t>
            </w:r>
            <w:r w:rsidRPr="00644CCA">
              <w:rPr>
                <w:rFonts w:ascii="Times New Roman" w:eastAsia="Times New Roman" w:hAnsi="Times New Roman" w:cs="Times New Roman"/>
                <w:color w:val="000000"/>
                <w:sz w:val="20"/>
                <w:szCs w:val="20"/>
              </w:rPr>
              <w:t xml:space="preserve">. UTAUT is the most commonly used </w:t>
            </w:r>
            <w:r w:rsidR="006B0C97" w:rsidRPr="00644CCA">
              <w:rPr>
                <w:rFonts w:ascii="Times New Roman" w:eastAsia="Times New Roman" w:hAnsi="Times New Roman" w:cs="Times New Roman"/>
                <w:color w:val="000000"/>
                <w:sz w:val="20"/>
                <w:szCs w:val="20"/>
              </w:rPr>
              <w:t>theory</w:t>
            </w:r>
            <w:r w:rsidRPr="00644CCA">
              <w:rPr>
                <w:rFonts w:ascii="Times New Roman" w:eastAsia="Times New Roman" w:hAnsi="Times New Roman" w:cs="Times New Roman"/>
                <w:color w:val="000000"/>
                <w:sz w:val="20"/>
                <w:szCs w:val="20"/>
              </w:rPr>
              <w:t xml:space="preserve"> in determining customer acceptance of AI in healthcare.</w:t>
            </w:r>
          </w:p>
        </w:tc>
      </w:tr>
      <w:tr w:rsidR="000C2BDF" w:rsidRPr="00644CCA" w14:paraId="647FCFA3"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68D2615B"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18</w:t>
            </w:r>
          </w:p>
        </w:tc>
        <w:tc>
          <w:tcPr>
            <w:tcW w:w="1510" w:type="dxa"/>
            <w:tcBorders>
              <w:top w:val="nil"/>
              <w:left w:val="nil"/>
              <w:bottom w:val="single" w:sz="4" w:space="0" w:color="000000"/>
              <w:right w:val="single" w:sz="4" w:space="0" w:color="000000"/>
            </w:tcBorders>
            <w:shd w:val="clear" w:color="auto" w:fill="auto"/>
            <w:vAlign w:val="center"/>
          </w:tcPr>
          <w:p w14:paraId="69EDDE4F"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Value Co-Creation Theory</w:t>
            </w:r>
          </w:p>
        </w:tc>
        <w:tc>
          <w:tcPr>
            <w:tcW w:w="2880" w:type="dxa"/>
            <w:tcBorders>
              <w:top w:val="nil"/>
              <w:left w:val="nil"/>
              <w:bottom w:val="single" w:sz="4" w:space="0" w:color="000000"/>
              <w:right w:val="single" w:sz="4" w:space="0" w:color="000000"/>
            </w:tcBorders>
            <w:shd w:val="clear" w:color="auto" w:fill="auto"/>
            <w:vAlign w:val="center"/>
          </w:tcPr>
          <w:p w14:paraId="65767F5F" w14:textId="77777777"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Pal et al. (2023)</w:t>
            </w:r>
          </w:p>
        </w:tc>
        <w:tc>
          <w:tcPr>
            <w:tcW w:w="9000" w:type="dxa"/>
            <w:tcBorders>
              <w:top w:val="nil"/>
              <w:left w:val="nil"/>
              <w:bottom w:val="single" w:sz="4" w:space="0" w:color="000000"/>
              <w:right w:val="single" w:sz="4" w:space="0" w:color="000000"/>
            </w:tcBorders>
            <w:shd w:val="clear" w:color="auto" w:fill="auto"/>
            <w:vAlign w:val="center"/>
          </w:tcPr>
          <w:p w14:paraId="0E015753" w14:textId="2379F1B7"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The development of connected information technology leads </w:t>
            </w:r>
            <w:r w:rsidRPr="00644CCA">
              <w:rPr>
                <w:rFonts w:ascii="Times New Roman" w:eastAsia="Times New Roman" w:hAnsi="Times New Roman" w:cs="Times New Roman"/>
                <w:sz w:val="20"/>
                <w:szCs w:val="20"/>
              </w:rPr>
              <w:t>to a more participative ecosystem</w:t>
            </w:r>
            <w:r w:rsidRPr="00644CCA">
              <w:rPr>
                <w:rFonts w:ascii="Times New Roman" w:eastAsia="Times New Roman" w:hAnsi="Times New Roman" w:cs="Times New Roman"/>
                <w:color w:val="000000"/>
                <w:sz w:val="20"/>
                <w:szCs w:val="20"/>
              </w:rPr>
              <w:t xml:space="preserve"> where customers and </w:t>
            </w:r>
            <w:r w:rsidRPr="00644CCA">
              <w:rPr>
                <w:rFonts w:ascii="Times New Roman" w:eastAsia="Times New Roman" w:hAnsi="Times New Roman" w:cs="Times New Roman"/>
                <w:sz w:val="20"/>
                <w:szCs w:val="20"/>
              </w:rPr>
              <w:t>organizations</w:t>
            </w:r>
            <w:r w:rsidRPr="00644CCA">
              <w:rPr>
                <w:rFonts w:ascii="Times New Roman" w:eastAsia="Times New Roman" w:hAnsi="Times New Roman" w:cs="Times New Roman"/>
                <w:color w:val="000000"/>
                <w:sz w:val="20"/>
                <w:szCs w:val="20"/>
              </w:rPr>
              <w:t xml:space="preserve"> create value for </w:t>
            </w:r>
            <w:r w:rsidRPr="00644CCA">
              <w:rPr>
                <w:rFonts w:ascii="Times New Roman" w:eastAsia="Times New Roman" w:hAnsi="Times New Roman" w:cs="Times New Roman"/>
                <w:sz w:val="20"/>
                <w:szCs w:val="20"/>
              </w:rPr>
              <w:t>each other (Alves et al.</w:t>
            </w:r>
            <w:r w:rsidR="00047A8D"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2016)</w:t>
            </w:r>
            <w:r w:rsidRPr="00644CCA">
              <w:rPr>
                <w:rFonts w:ascii="Times New Roman" w:eastAsia="Times New Roman" w:hAnsi="Times New Roman" w:cs="Times New Roman"/>
                <w:color w:val="000000"/>
                <w:sz w:val="20"/>
                <w:szCs w:val="20"/>
              </w:rPr>
              <w:t xml:space="preserve">. </w:t>
            </w:r>
          </w:p>
        </w:tc>
      </w:tr>
      <w:tr w:rsidR="000C2BDF" w:rsidRPr="00644CCA" w14:paraId="5CB8FFD1"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164D7ACE"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19</w:t>
            </w:r>
          </w:p>
        </w:tc>
        <w:tc>
          <w:tcPr>
            <w:tcW w:w="1510" w:type="dxa"/>
            <w:tcBorders>
              <w:top w:val="nil"/>
              <w:left w:val="nil"/>
              <w:bottom w:val="single" w:sz="4" w:space="0" w:color="000000"/>
              <w:right w:val="single" w:sz="4" w:space="0" w:color="000000"/>
            </w:tcBorders>
            <w:shd w:val="clear" w:color="auto" w:fill="auto"/>
            <w:vAlign w:val="center"/>
          </w:tcPr>
          <w:p w14:paraId="356CFB77"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Expectation Confirmation Theory</w:t>
            </w:r>
          </w:p>
        </w:tc>
        <w:tc>
          <w:tcPr>
            <w:tcW w:w="2880" w:type="dxa"/>
            <w:tcBorders>
              <w:top w:val="nil"/>
              <w:left w:val="nil"/>
              <w:bottom w:val="single" w:sz="4" w:space="0" w:color="000000"/>
              <w:right w:val="single" w:sz="4" w:space="0" w:color="000000"/>
            </w:tcBorders>
            <w:shd w:val="clear" w:color="auto" w:fill="auto"/>
            <w:vAlign w:val="center"/>
          </w:tcPr>
          <w:p w14:paraId="30F7DAC6" w14:textId="77777777"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Pal et al. (2023)</w:t>
            </w:r>
          </w:p>
        </w:tc>
        <w:tc>
          <w:tcPr>
            <w:tcW w:w="9000" w:type="dxa"/>
            <w:tcBorders>
              <w:top w:val="nil"/>
              <w:left w:val="nil"/>
              <w:bottom w:val="single" w:sz="4" w:space="0" w:color="000000"/>
              <w:right w:val="single" w:sz="4" w:space="0" w:color="000000"/>
            </w:tcBorders>
            <w:shd w:val="clear" w:color="auto" w:fill="auto"/>
            <w:vAlign w:val="center"/>
          </w:tcPr>
          <w:p w14:paraId="2F90AFE7" w14:textId="23048AEA"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Expectation-confirmation theory states that customers' intention to </w:t>
            </w:r>
            <w:r w:rsidRPr="00644CCA">
              <w:rPr>
                <w:rFonts w:ascii="Times New Roman" w:eastAsia="Times New Roman" w:hAnsi="Times New Roman" w:cs="Times New Roman"/>
                <w:sz w:val="20"/>
                <w:szCs w:val="20"/>
              </w:rPr>
              <w:t>repurchase</w:t>
            </w:r>
            <w:r w:rsidRPr="00644CCA">
              <w:rPr>
                <w:rFonts w:ascii="Times New Roman" w:eastAsia="Times New Roman" w:hAnsi="Times New Roman" w:cs="Times New Roman"/>
                <w:color w:val="000000"/>
                <w:sz w:val="20"/>
                <w:szCs w:val="20"/>
              </w:rPr>
              <w:t xml:space="preserve"> a product or </w:t>
            </w:r>
            <w:r w:rsidRPr="00644CCA">
              <w:rPr>
                <w:rFonts w:ascii="Times New Roman" w:eastAsia="Times New Roman" w:hAnsi="Times New Roman" w:cs="Times New Roman"/>
                <w:sz w:val="20"/>
                <w:szCs w:val="20"/>
              </w:rPr>
              <w:t>service</w:t>
            </w:r>
            <w:r w:rsidRPr="00644CCA">
              <w:rPr>
                <w:rFonts w:ascii="Times New Roman" w:eastAsia="Times New Roman" w:hAnsi="Times New Roman" w:cs="Times New Roman"/>
                <w:color w:val="000000"/>
                <w:sz w:val="20"/>
                <w:szCs w:val="20"/>
              </w:rPr>
              <w:t xml:space="preserve"> is determined by satisfaction with prior use </w:t>
            </w:r>
            <w:r w:rsidRPr="00644CCA">
              <w:rPr>
                <w:rFonts w:ascii="Times New Roman" w:eastAsia="Times New Roman" w:hAnsi="Times New Roman" w:cs="Times New Roman"/>
                <w:sz w:val="20"/>
                <w:szCs w:val="20"/>
              </w:rPr>
              <w:t xml:space="preserve">(Anderson </w:t>
            </w:r>
            <w:r w:rsidR="00047A8D" w:rsidRPr="00644CCA">
              <w:rPr>
                <w:rFonts w:ascii="Times New Roman" w:eastAsia="Times New Roman" w:hAnsi="Times New Roman" w:cs="Times New Roman"/>
                <w:sz w:val="20"/>
                <w:szCs w:val="20"/>
              </w:rPr>
              <w:t>&amp;</w:t>
            </w:r>
            <w:r w:rsidRPr="00644CCA">
              <w:rPr>
                <w:rFonts w:ascii="Times New Roman" w:eastAsia="Times New Roman" w:hAnsi="Times New Roman" w:cs="Times New Roman"/>
                <w:sz w:val="20"/>
                <w:szCs w:val="20"/>
              </w:rPr>
              <w:t xml:space="preserve"> Sullivan</w:t>
            </w:r>
            <w:r w:rsidR="00047A8D"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1993; Bhattacherjee</w:t>
            </w:r>
            <w:r w:rsidR="00047A8D"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2001)</w:t>
            </w:r>
            <w:r w:rsidRPr="00644CCA">
              <w:rPr>
                <w:rFonts w:ascii="Times New Roman" w:eastAsia="Times New Roman" w:hAnsi="Times New Roman" w:cs="Times New Roman"/>
                <w:color w:val="000000"/>
                <w:sz w:val="20"/>
                <w:szCs w:val="20"/>
              </w:rPr>
              <w:t xml:space="preserve">. </w:t>
            </w:r>
          </w:p>
        </w:tc>
      </w:tr>
      <w:tr w:rsidR="000C2BDF" w:rsidRPr="00644CCA" w14:paraId="601B3A44" w14:textId="77777777" w:rsidTr="00621097">
        <w:trPr>
          <w:cantSplit/>
          <w:trHeight w:val="20"/>
        </w:trPr>
        <w:tc>
          <w:tcPr>
            <w:tcW w:w="570" w:type="dxa"/>
            <w:tcBorders>
              <w:top w:val="nil"/>
              <w:left w:val="single" w:sz="4" w:space="0" w:color="000000"/>
              <w:bottom w:val="single" w:sz="4" w:space="0" w:color="000000"/>
              <w:right w:val="single" w:sz="4" w:space="0" w:color="000000"/>
            </w:tcBorders>
            <w:shd w:val="clear" w:color="auto" w:fill="auto"/>
            <w:vAlign w:val="center"/>
          </w:tcPr>
          <w:p w14:paraId="403AD908"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20</w:t>
            </w:r>
          </w:p>
        </w:tc>
        <w:tc>
          <w:tcPr>
            <w:tcW w:w="1510" w:type="dxa"/>
            <w:tcBorders>
              <w:top w:val="nil"/>
              <w:left w:val="nil"/>
              <w:bottom w:val="single" w:sz="4" w:space="0" w:color="000000"/>
              <w:right w:val="single" w:sz="4" w:space="0" w:color="000000"/>
            </w:tcBorders>
            <w:shd w:val="clear" w:color="auto" w:fill="auto"/>
            <w:vAlign w:val="center"/>
          </w:tcPr>
          <w:p w14:paraId="2CA4D529" w14:textId="77777777" w:rsidR="000C2BDF" w:rsidRPr="00644CCA" w:rsidRDefault="000C2BDF" w:rsidP="00621097">
            <w:pPr>
              <w:spacing w:after="0"/>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Social Identity Theory</w:t>
            </w:r>
          </w:p>
        </w:tc>
        <w:tc>
          <w:tcPr>
            <w:tcW w:w="2880" w:type="dxa"/>
            <w:tcBorders>
              <w:top w:val="nil"/>
              <w:left w:val="nil"/>
              <w:bottom w:val="single" w:sz="4" w:space="0" w:color="000000"/>
              <w:right w:val="single" w:sz="4" w:space="0" w:color="000000"/>
            </w:tcBorders>
            <w:shd w:val="clear" w:color="auto" w:fill="auto"/>
            <w:vAlign w:val="center"/>
          </w:tcPr>
          <w:p w14:paraId="4A9243C9" w14:textId="77777777"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Pitardi et al. (2023)</w:t>
            </w:r>
          </w:p>
        </w:tc>
        <w:tc>
          <w:tcPr>
            <w:tcW w:w="9000" w:type="dxa"/>
            <w:tcBorders>
              <w:top w:val="nil"/>
              <w:left w:val="nil"/>
              <w:bottom w:val="single" w:sz="4" w:space="0" w:color="000000"/>
              <w:right w:val="single" w:sz="4" w:space="0" w:color="000000"/>
            </w:tcBorders>
            <w:shd w:val="clear" w:color="auto" w:fill="auto"/>
            <w:vAlign w:val="center"/>
          </w:tcPr>
          <w:p w14:paraId="683F5135" w14:textId="4A875AEF" w:rsidR="000C2BDF" w:rsidRPr="00644CCA" w:rsidRDefault="000C2BDF" w:rsidP="00621097">
            <w:pPr>
              <w:spacing w:after="0"/>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People identify their </w:t>
            </w:r>
            <w:r w:rsidR="006B0C97" w:rsidRPr="00644CCA">
              <w:rPr>
                <w:rFonts w:ascii="Times New Roman" w:eastAsia="Times New Roman" w:hAnsi="Times New Roman" w:cs="Times New Roman"/>
                <w:color w:val="000000"/>
                <w:sz w:val="20"/>
                <w:szCs w:val="20"/>
              </w:rPr>
              <w:t>identities with their social groups</w:t>
            </w:r>
            <w:r w:rsidRPr="00644CCA">
              <w:rPr>
                <w:rFonts w:ascii="Times New Roman" w:eastAsia="Times New Roman" w:hAnsi="Times New Roman" w:cs="Times New Roman"/>
                <w:color w:val="000000"/>
                <w:sz w:val="20"/>
                <w:szCs w:val="20"/>
              </w:rPr>
              <w:t xml:space="preserve"> to bolster their self-</w:t>
            </w:r>
            <w:r w:rsidRPr="00644CCA">
              <w:rPr>
                <w:rFonts w:ascii="Times New Roman" w:eastAsia="Times New Roman" w:hAnsi="Times New Roman" w:cs="Times New Roman"/>
                <w:sz w:val="20"/>
                <w:szCs w:val="20"/>
              </w:rPr>
              <w:t>identity</w:t>
            </w:r>
            <w:r w:rsidRPr="00644CCA">
              <w:rPr>
                <w:rFonts w:ascii="Times New Roman" w:eastAsia="Times New Roman" w:hAnsi="Times New Roman" w:cs="Times New Roman"/>
                <w:color w:val="000000"/>
                <w:sz w:val="20"/>
                <w:szCs w:val="20"/>
              </w:rPr>
              <w:t xml:space="preserve">. Individuals identify themselves as a </w:t>
            </w:r>
            <w:r w:rsidR="006B0C97" w:rsidRPr="00644CCA">
              <w:rPr>
                <w:rFonts w:ascii="Times New Roman" w:eastAsia="Times New Roman" w:hAnsi="Times New Roman" w:cs="Times New Roman"/>
                <w:color w:val="000000"/>
                <w:sz w:val="20"/>
                <w:szCs w:val="20"/>
              </w:rPr>
              <w:t>social group member</w:t>
            </w:r>
            <w:r w:rsidRPr="00644CCA">
              <w:rPr>
                <w:rFonts w:ascii="Times New Roman" w:eastAsia="Times New Roman" w:hAnsi="Times New Roman" w:cs="Times New Roman"/>
                <w:color w:val="000000"/>
                <w:sz w:val="20"/>
                <w:szCs w:val="20"/>
              </w:rPr>
              <w:t xml:space="preserve"> through mental in and out categorization by sharing some common characteristics like demographics, </w:t>
            </w:r>
            <w:r w:rsidRPr="00644CCA">
              <w:rPr>
                <w:rFonts w:ascii="Times New Roman" w:eastAsia="Times New Roman" w:hAnsi="Times New Roman" w:cs="Times New Roman"/>
                <w:sz w:val="20"/>
                <w:szCs w:val="20"/>
              </w:rPr>
              <w:t>organizational</w:t>
            </w:r>
            <w:r w:rsidRPr="00644CCA">
              <w:rPr>
                <w:rFonts w:ascii="Times New Roman" w:eastAsia="Times New Roman" w:hAnsi="Times New Roman" w:cs="Times New Roman"/>
                <w:color w:val="000000"/>
                <w:sz w:val="20"/>
                <w:szCs w:val="20"/>
              </w:rPr>
              <w:t xml:space="preserve"> memberships, or social roles </w:t>
            </w:r>
            <w:r w:rsidRPr="00644CCA">
              <w:rPr>
                <w:rFonts w:ascii="Times New Roman" w:eastAsia="Times New Roman" w:hAnsi="Times New Roman" w:cs="Times New Roman"/>
                <w:sz w:val="20"/>
                <w:szCs w:val="20"/>
              </w:rPr>
              <w:t>(Pitardi et al.</w:t>
            </w:r>
            <w:r w:rsidR="002F7662"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2023)</w:t>
            </w:r>
            <w:r w:rsidRPr="00644CCA">
              <w:rPr>
                <w:rFonts w:ascii="Times New Roman" w:eastAsia="Times New Roman" w:hAnsi="Times New Roman" w:cs="Times New Roman"/>
                <w:color w:val="000000"/>
                <w:sz w:val="20"/>
                <w:szCs w:val="20"/>
              </w:rPr>
              <w:t xml:space="preserve">. Social identity is </w:t>
            </w:r>
            <w:r w:rsidRPr="00644CCA">
              <w:rPr>
                <w:rFonts w:ascii="Times New Roman" w:eastAsia="Times New Roman" w:hAnsi="Times New Roman" w:cs="Times New Roman"/>
                <w:sz w:val="20"/>
                <w:szCs w:val="20"/>
              </w:rPr>
              <w:t>when people</w:t>
            </w:r>
            <w:r w:rsidRPr="00644CCA">
              <w:rPr>
                <w:rFonts w:ascii="Times New Roman" w:eastAsia="Times New Roman" w:hAnsi="Times New Roman" w:cs="Times New Roman"/>
                <w:color w:val="000000"/>
                <w:sz w:val="20"/>
                <w:szCs w:val="20"/>
              </w:rPr>
              <w:t xml:space="preserve"> influence their </w:t>
            </w:r>
            <w:r w:rsidR="006B0C97" w:rsidRPr="00644CCA">
              <w:rPr>
                <w:rFonts w:ascii="Times New Roman" w:eastAsia="Times New Roman" w:hAnsi="Times New Roman" w:cs="Times New Roman"/>
                <w:color w:val="000000"/>
                <w:sz w:val="20"/>
                <w:szCs w:val="20"/>
              </w:rPr>
              <w:t>decision-making</w:t>
            </w:r>
            <w:r w:rsidRPr="00644CCA">
              <w:rPr>
                <w:rFonts w:ascii="Times New Roman" w:eastAsia="Times New Roman" w:hAnsi="Times New Roman" w:cs="Times New Roman"/>
                <w:color w:val="000000"/>
                <w:sz w:val="20"/>
                <w:szCs w:val="20"/>
              </w:rPr>
              <w:t xml:space="preserve"> </w:t>
            </w:r>
            <w:r w:rsidRPr="00644CCA">
              <w:rPr>
                <w:rFonts w:ascii="Times New Roman" w:eastAsia="Times New Roman" w:hAnsi="Times New Roman" w:cs="Times New Roman"/>
                <w:sz w:val="20"/>
                <w:szCs w:val="20"/>
              </w:rPr>
              <w:t>in a significant</w:t>
            </w:r>
            <w:r w:rsidRPr="00644CCA">
              <w:rPr>
                <w:rFonts w:ascii="Times New Roman" w:eastAsia="Times New Roman" w:hAnsi="Times New Roman" w:cs="Times New Roman"/>
                <w:color w:val="000000"/>
                <w:sz w:val="20"/>
                <w:szCs w:val="20"/>
              </w:rPr>
              <w:t xml:space="preserve"> manner.</w:t>
            </w:r>
          </w:p>
        </w:tc>
      </w:tr>
    </w:tbl>
    <w:p w14:paraId="0F971EA5" w14:textId="77777777" w:rsidR="000C2BDF" w:rsidRPr="00644CCA" w:rsidRDefault="000C2BDF" w:rsidP="000C2BDF">
      <w:pPr>
        <w:rPr>
          <w:rFonts w:ascii="Times New Roman" w:hAnsi="Times New Roman" w:cs="Times New Roman"/>
          <w:sz w:val="20"/>
          <w:szCs w:val="20"/>
        </w:rPr>
      </w:pPr>
    </w:p>
    <w:p w14:paraId="195727FF" w14:textId="77777777" w:rsidR="000C2BDF" w:rsidRPr="00644CCA" w:rsidRDefault="000C2BDF" w:rsidP="000C2BDF">
      <w:pPr>
        <w:spacing w:line="240" w:lineRule="auto"/>
        <w:jc w:val="both"/>
        <w:rPr>
          <w:rFonts w:ascii="Times New Roman" w:eastAsia="Times New Roman" w:hAnsi="Times New Roman" w:cs="Times New Roman"/>
          <w:b/>
          <w:sz w:val="20"/>
          <w:szCs w:val="20"/>
        </w:rPr>
      </w:pPr>
    </w:p>
    <w:p w14:paraId="3FA61783" w14:textId="6DB34536" w:rsidR="000C2BDF" w:rsidRPr="00644CCA" w:rsidRDefault="000C2BDF" w:rsidP="000C2BDF">
      <w:pPr>
        <w:spacing w:line="240" w:lineRule="auto"/>
        <w:jc w:val="both"/>
        <w:rPr>
          <w:rFonts w:ascii="Times New Roman" w:eastAsia="Times New Roman" w:hAnsi="Times New Roman" w:cs="Times New Roman"/>
          <w:i/>
          <w:sz w:val="20"/>
          <w:szCs w:val="20"/>
        </w:rPr>
      </w:pPr>
      <w:r w:rsidRPr="00644CCA">
        <w:rPr>
          <w:rFonts w:ascii="Times New Roman" w:eastAsia="Times New Roman" w:hAnsi="Times New Roman" w:cs="Times New Roman"/>
          <w:b/>
          <w:sz w:val="20"/>
          <w:szCs w:val="20"/>
        </w:rPr>
        <w:t xml:space="preserve">Table </w:t>
      </w:r>
      <w:r w:rsidR="00151BD0" w:rsidRPr="00644CCA">
        <w:rPr>
          <w:rFonts w:ascii="Times New Roman" w:eastAsia="Times New Roman" w:hAnsi="Times New Roman" w:cs="Times New Roman"/>
          <w:b/>
          <w:sz w:val="20"/>
          <w:szCs w:val="20"/>
        </w:rPr>
        <w:t>3</w:t>
      </w:r>
      <w:r w:rsidRPr="00644CCA">
        <w:rPr>
          <w:rFonts w:ascii="Times New Roman" w:eastAsia="Times New Roman" w:hAnsi="Times New Roman" w:cs="Times New Roman"/>
          <w:b/>
          <w:sz w:val="20"/>
          <w:szCs w:val="20"/>
        </w:rPr>
        <w:t xml:space="preserve"> </w:t>
      </w:r>
      <w:r w:rsidRPr="00644CCA">
        <w:rPr>
          <w:rFonts w:ascii="Times New Roman" w:eastAsia="Times New Roman" w:hAnsi="Times New Roman" w:cs="Times New Roman"/>
          <w:iCs/>
          <w:sz w:val="20"/>
          <w:szCs w:val="20"/>
        </w:rPr>
        <w:t>Methods used in articles</w:t>
      </w:r>
    </w:p>
    <w:tbl>
      <w:tblPr>
        <w:tblW w:w="14085" w:type="dxa"/>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
        <w:gridCol w:w="1718"/>
        <w:gridCol w:w="4927"/>
        <w:gridCol w:w="6480"/>
      </w:tblGrid>
      <w:tr w:rsidR="000C2BDF" w:rsidRPr="00644CCA" w14:paraId="051D29DD" w14:textId="77777777" w:rsidTr="00621097">
        <w:trPr>
          <w:cantSplit/>
          <w:trHeight w:val="20"/>
          <w:tblHeader/>
        </w:trPr>
        <w:tc>
          <w:tcPr>
            <w:tcW w:w="960" w:type="dxa"/>
            <w:vAlign w:val="center"/>
          </w:tcPr>
          <w:p w14:paraId="61E0C711" w14:textId="77777777" w:rsidR="000C2BDF" w:rsidRPr="00644CCA" w:rsidRDefault="000C2BDF" w:rsidP="00621097">
            <w:pPr>
              <w:jc w:val="center"/>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lastRenderedPageBreak/>
              <w:t>Sl. No.</w:t>
            </w:r>
          </w:p>
        </w:tc>
        <w:tc>
          <w:tcPr>
            <w:tcW w:w="1718" w:type="dxa"/>
            <w:vAlign w:val="center"/>
          </w:tcPr>
          <w:p w14:paraId="0741C626" w14:textId="77777777" w:rsidR="000C2BDF" w:rsidRPr="00644CCA" w:rsidRDefault="000C2BDF" w:rsidP="00621097">
            <w:pPr>
              <w:jc w:val="center"/>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Methodology</w:t>
            </w:r>
          </w:p>
        </w:tc>
        <w:tc>
          <w:tcPr>
            <w:tcW w:w="4927" w:type="dxa"/>
            <w:vAlign w:val="center"/>
          </w:tcPr>
          <w:p w14:paraId="015B53A9" w14:textId="77777777" w:rsidR="000C2BDF" w:rsidRPr="00644CCA" w:rsidRDefault="000C2BDF" w:rsidP="00621097">
            <w:pPr>
              <w:jc w:val="both"/>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Articles</w:t>
            </w:r>
          </w:p>
        </w:tc>
        <w:tc>
          <w:tcPr>
            <w:tcW w:w="6480" w:type="dxa"/>
            <w:vAlign w:val="center"/>
          </w:tcPr>
          <w:p w14:paraId="27A5222F" w14:textId="77777777" w:rsidR="000C2BDF" w:rsidRPr="00644CCA" w:rsidRDefault="000C2BDF" w:rsidP="00621097">
            <w:pPr>
              <w:jc w:val="both"/>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Major remarks</w:t>
            </w:r>
          </w:p>
        </w:tc>
      </w:tr>
      <w:tr w:rsidR="000C2BDF" w:rsidRPr="00644CCA" w14:paraId="244257BC" w14:textId="77777777" w:rsidTr="00165AA5">
        <w:trPr>
          <w:cantSplit/>
          <w:trHeight w:val="1898"/>
        </w:trPr>
        <w:tc>
          <w:tcPr>
            <w:tcW w:w="960" w:type="dxa"/>
            <w:vAlign w:val="center"/>
          </w:tcPr>
          <w:p w14:paraId="4ADBB885"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w:t>
            </w:r>
          </w:p>
        </w:tc>
        <w:tc>
          <w:tcPr>
            <w:tcW w:w="1718" w:type="dxa"/>
            <w:vAlign w:val="center"/>
          </w:tcPr>
          <w:p w14:paraId="6A42B578"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Interview</w:t>
            </w:r>
          </w:p>
        </w:tc>
        <w:tc>
          <w:tcPr>
            <w:tcW w:w="4927" w:type="dxa"/>
            <w:vAlign w:val="center"/>
          </w:tcPr>
          <w:p w14:paraId="1C38BB60" w14:textId="2AF1E4EE" w:rsidR="000C2BDF" w:rsidRPr="00644CCA" w:rsidRDefault="000C2BDF" w:rsidP="00165AA5">
            <w:pPr>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Abouzahra and Ghasemaghaei (2020); Adams et al. (2020); Bala et al. (2020); Carradore (2021); Dlugatch et al. (2023); Götzl et al. (2022); Iyanna et al. (2022); Lim et al. (202</w:t>
            </w:r>
            <w:r w:rsidR="00CC41CB" w:rsidRPr="00644CCA">
              <w:rPr>
                <w:rFonts w:ascii="Times New Roman" w:eastAsia="Times New Roman" w:hAnsi="Times New Roman" w:cs="Times New Roman"/>
                <w:sz w:val="20"/>
                <w:szCs w:val="20"/>
              </w:rPr>
              <w:t>2</w:t>
            </w:r>
            <w:r w:rsidRPr="00644CCA">
              <w:rPr>
                <w:rFonts w:ascii="Times New Roman" w:eastAsia="Times New Roman" w:hAnsi="Times New Roman" w:cs="Times New Roman"/>
                <w:sz w:val="20"/>
                <w:szCs w:val="20"/>
              </w:rPr>
              <w:t>); McDermott et al. (2020); Nelson et al. (2020); Parks et al. (2017); Pelly et al. (2023); Sin and Munteanu (2020); Strohm et al. (2020); Sujan et al. (2022); Zhang et al. (2021</w:t>
            </w:r>
            <w:r w:rsidR="00C079F7" w:rsidRPr="00644CCA">
              <w:rPr>
                <w:rFonts w:ascii="Times New Roman" w:eastAsia="Times New Roman" w:hAnsi="Times New Roman" w:cs="Times New Roman"/>
                <w:sz w:val="20"/>
                <w:szCs w:val="20"/>
              </w:rPr>
              <w:t>a</w:t>
            </w:r>
            <w:r w:rsidRPr="00644CCA">
              <w:rPr>
                <w:rFonts w:ascii="Times New Roman" w:eastAsia="Times New Roman" w:hAnsi="Times New Roman" w:cs="Times New Roman"/>
                <w:sz w:val="20"/>
                <w:szCs w:val="20"/>
              </w:rPr>
              <w:t>)</w:t>
            </w:r>
          </w:p>
          <w:p w14:paraId="4779123D" w14:textId="77777777" w:rsidR="000C2BDF" w:rsidRPr="00644CCA" w:rsidRDefault="000C2BDF" w:rsidP="00621097">
            <w:pPr>
              <w:jc w:val="both"/>
              <w:rPr>
                <w:rFonts w:ascii="Times New Roman" w:eastAsia="Times New Roman" w:hAnsi="Times New Roman" w:cs="Times New Roman"/>
                <w:sz w:val="20"/>
                <w:szCs w:val="20"/>
              </w:rPr>
            </w:pPr>
          </w:p>
        </w:tc>
        <w:tc>
          <w:tcPr>
            <w:tcW w:w="6480" w:type="dxa"/>
            <w:vAlign w:val="center"/>
          </w:tcPr>
          <w:p w14:paraId="0ABD8920" w14:textId="5F425E47" w:rsidR="000C2BDF" w:rsidRPr="00644CCA" w:rsidRDefault="000C2BDF" w:rsidP="00621097">
            <w:pPr>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Bala et al. (2020) performed </w:t>
            </w:r>
            <w:r w:rsidR="00771008"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 xml:space="preserve">thematic </w:t>
            </w:r>
            <w:r w:rsidR="00CD12EE" w:rsidRPr="00644CCA">
              <w:rPr>
                <w:rFonts w:ascii="Times New Roman" w:eastAsia="Times New Roman" w:hAnsi="Times New Roman" w:cs="Times New Roman"/>
                <w:color w:val="000000"/>
                <w:sz w:val="20"/>
                <w:szCs w:val="20"/>
              </w:rPr>
              <w:t>data analysis</w:t>
            </w:r>
            <w:r w:rsidRPr="00644CCA">
              <w:rPr>
                <w:rFonts w:ascii="Times New Roman" w:eastAsia="Times New Roman" w:hAnsi="Times New Roman" w:cs="Times New Roman"/>
                <w:color w:val="000000"/>
                <w:sz w:val="20"/>
                <w:szCs w:val="20"/>
              </w:rPr>
              <w:t xml:space="preserve"> through </w:t>
            </w:r>
            <w:r w:rsidR="0039358A" w:rsidRPr="00644CCA">
              <w:rPr>
                <w:rFonts w:ascii="Times New Roman" w:eastAsia="Times New Roman" w:hAnsi="Times New Roman" w:cs="Times New Roman"/>
                <w:sz w:val="20"/>
                <w:szCs w:val="20"/>
              </w:rPr>
              <w:t>patient interviews</w:t>
            </w:r>
            <w:r w:rsidRPr="00644CCA">
              <w:rPr>
                <w:rFonts w:ascii="Times New Roman" w:eastAsia="Times New Roman" w:hAnsi="Times New Roman" w:cs="Times New Roman"/>
                <w:color w:val="000000"/>
                <w:sz w:val="20"/>
                <w:szCs w:val="20"/>
              </w:rPr>
              <w:t xml:space="preserve"> and identified three themes of </w:t>
            </w:r>
            <w:r w:rsidRPr="00644CCA">
              <w:rPr>
                <w:rFonts w:ascii="Times New Roman" w:eastAsia="Times New Roman" w:hAnsi="Times New Roman" w:cs="Times New Roman"/>
                <w:sz w:val="20"/>
                <w:szCs w:val="20"/>
              </w:rPr>
              <w:t>perceived</w:t>
            </w:r>
            <w:r w:rsidRPr="00644CCA">
              <w:rPr>
                <w:rFonts w:ascii="Times New Roman" w:eastAsia="Times New Roman" w:hAnsi="Times New Roman" w:cs="Times New Roman"/>
                <w:color w:val="000000"/>
                <w:sz w:val="20"/>
                <w:szCs w:val="20"/>
              </w:rPr>
              <w:t xml:space="preserve"> potential benefits of simplified notes. Abouzahra and Ghasemaghaei (2020) </w:t>
            </w:r>
            <w:r w:rsidRPr="00644CCA">
              <w:rPr>
                <w:rFonts w:ascii="Times New Roman" w:eastAsia="Times New Roman" w:hAnsi="Times New Roman" w:cs="Times New Roman"/>
                <w:sz w:val="20"/>
                <w:szCs w:val="20"/>
              </w:rPr>
              <w:t>interviewed</w:t>
            </w:r>
            <w:r w:rsidRPr="00644CCA">
              <w:rPr>
                <w:rFonts w:ascii="Times New Roman" w:eastAsia="Times New Roman" w:hAnsi="Times New Roman" w:cs="Times New Roman"/>
                <w:color w:val="000000"/>
                <w:sz w:val="20"/>
                <w:szCs w:val="20"/>
              </w:rPr>
              <w:t xml:space="preserve"> the seniors</w:t>
            </w:r>
            <w:r w:rsidR="00047A8D" w:rsidRPr="00644CCA">
              <w:rPr>
                <w:rFonts w:ascii="Times New Roman" w:eastAsia="Times New Roman" w:hAnsi="Times New Roman" w:cs="Times New Roman"/>
                <w:color w:val="000000"/>
                <w:sz w:val="20"/>
                <w:szCs w:val="20"/>
              </w:rPr>
              <w:t xml:space="preserve"> after providing them with tracking wearable devices and identified several antecedents, such as social influence,</w:t>
            </w:r>
            <w:r w:rsidRPr="00644CCA">
              <w:rPr>
                <w:rFonts w:ascii="Times New Roman" w:eastAsia="Times New Roman" w:hAnsi="Times New Roman" w:cs="Times New Roman"/>
                <w:color w:val="000000"/>
                <w:sz w:val="20"/>
                <w:szCs w:val="20"/>
              </w:rPr>
              <w:t xml:space="preserve"> as factors affecting </w:t>
            </w:r>
            <w:r w:rsidR="0017302A"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 xml:space="preserve">acceptance of wearable devices. Other </w:t>
            </w:r>
            <w:r w:rsidR="0017302A" w:rsidRPr="00644CCA">
              <w:rPr>
                <w:rFonts w:ascii="Times New Roman" w:eastAsia="Times New Roman" w:hAnsi="Times New Roman" w:cs="Times New Roman"/>
                <w:color w:val="000000"/>
                <w:sz w:val="20"/>
                <w:szCs w:val="20"/>
              </w:rPr>
              <w:t>significant</w:t>
            </w:r>
            <w:r w:rsidRPr="00644CCA">
              <w:rPr>
                <w:rFonts w:ascii="Times New Roman" w:eastAsia="Times New Roman" w:hAnsi="Times New Roman" w:cs="Times New Roman"/>
                <w:color w:val="000000"/>
                <w:sz w:val="20"/>
                <w:szCs w:val="20"/>
              </w:rPr>
              <w:t xml:space="preserve"> studies used interview methods mainly focused on </w:t>
            </w:r>
            <w:r w:rsidR="0017302A"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 xml:space="preserve">public </w:t>
            </w:r>
            <w:r w:rsidRPr="00644CCA">
              <w:rPr>
                <w:rFonts w:ascii="Times New Roman" w:eastAsia="Times New Roman" w:hAnsi="Times New Roman" w:cs="Times New Roman"/>
                <w:sz w:val="20"/>
                <w:szCs w:val="20"/>
              </w:rPr>
              <w:t>perception</w:t>
            </w:r>
            <w:r w:rsidRPr="00644CCA">
              <w:rPr>
                <w:rFonts w:ascii="Times New Roman" w:eastAsia="Times New Roman" w:hAnsi="Times New Roman" w:cs="Times New Roman"/>
                <w:color w:val="000000"/>
                <w:sz w:val="20"/>
                <w:szCs w:val="20"/>
              </w:rPr>
              <w:t xml:space="preserve"> of AI in healthcare.</w:t>
            </w:r>
          </w:p>
        </w:tc>
      </w:tr>
      <w:tr w:rsidR="000C2BDF" w:rsidRPr="00644CCA" w14:paraId="1E5F7741" w14:textId="77777777" w:rsidTr="00621097">
        <w:trPr>
          <w:cantSplit/>
          <w:trHeight w:val="20"/>
        </w:trPr>
        <w:tc>
          <w:tcPr>
            <w:tcW w:w="960" w:type="dxa"/>
            <w:vAlign w:val="center"/>
          </w:tcPr>
          <w:p w14:paraId="202C893C"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2</w:t>
            </w:r>
          </w:p>
        </w:tc>
        <w:tc>
          <w:tcPr>
            <w:tcW w:w="1718" w:type="dxa"/>
            <w:vAlign w:val="center"/>
          </w:tcPr>
          <w:p w14:paraId="679996A4" w14:textId="77777777" w:rsidR="000C2BDF" w:rsidRPr="00644CCA" w:rsidRDefault="000C2BDF" w:rsidP="00621097">
            <w:pPr>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Experimental design</w:t>
            </w:r>
          </w:p>
        </w:tc>
        <w:tc>
          <w:tcPr>
            <w:tcW w:w="4927" w:type="dxa"/>
            <w:vAlign w:val="center"/>
          </w:tcPr>
          <w:p w14:paraId="0A34F53D" w14:textId="0D1CCDD0" w:rsidR="000C2BDF" w:rsidRPr="00644CCA" w:rsidRDefault="000C2BDF" w:rsidP="00621097">
            <w:pPr>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Alam and Mueller (2021); Angst and Aggrawal (2009); Balakrishnan and Dwivedi (202</w:t>
            </w:r>
            <w:r w:rsidR="00C079F7" w:rsidRPr="00644CCA">
              <w:rPr>
                <w:rFonts w:ascii="Times New Roman" w:eastAsia="Times New Roman" w:hAnsi="Times New Roman" w:cs="Times New Roman"/>
                <w:sz w:val="20"/>
                <w:szCs w:val="20"/>
              </w:rPr>
              <w:t>1</w:t>
            </w:r>
            <w:r w:rsidRPr="00644CCA">
              <w:rPr>
                <w:rFonts w:ascii="Times New Roman" w:eastAsia="Times New Roman" w:hAnsi="Times New Roman" w:cs="Times New Roman"/>
                <w:sz w:val="20"/>
                <w:szCs w:val="20"/>
              </w:rPr>
              <w:t>); Chita-Tegmark et al. (2019); Esmaeilzadeh (2021); Keel et al. (2018); Kim et al. (2021); Kyung &amp; Kwon (2022); Nurek and Kostopoulou (2023); Park et al. (2022); Pitardi et al. (2023); Puntoni et al. (202</w:t>
            </w:r>
            <w:r w:rsidR="00DF0F85" w:rsidRPr="00644CCA">
              <w:rPr>
                <w:rFonts w:ascii="Times New Roman" w:eastAsia="Times New Roman" w:hAnsi="Times New Roman" w:cs="Times New Roman"/>
                <w:sz w:val="20"/>
                <w:szCs w:val="20"/>
              </w:rPr>
              <w:t>1</w:t>
            </w:r>
            <w:r w:rsidRPr="00644CCA">
              <w:rPr>
                <w:rFonts w:ascii="Times New Roman" w:eastAsia="Times New Roman" w:hAnsi="Times New Roman" w:cs="Times New Roman"/>
                <w:sz w:val="20"/>
                <w:szCs w:val="20"/>
              </w:rPr>
              <w:t>); Sin and Munteanu (2020); Tran et al. (2019); Yun et al. (2020); Zhang et al. (2021a)</w:t>
            </w:r>
          </w:p>
          <w:p w14:paraId="2CB0C89A" w14:textId="77777777" w:rsidR="000C2BDF" w:rsidRPr="00644CCA" w:rsidRDefault="000C2BDF" w:rsidP="00621097">
            <w:pPr>
              <w:jc w:val="both"/>
              <w:rPr>
                <w:rFonts w:ascii="Times New Roman" w:eastAsia="Times New Roman" w:hAnsi="Times New Roman" w:cs="Times New Roman"/>
                <w:sz w:val="20"/>
                <w:szCs w:val="20"/>
              </w:rPr>
            </w:pPr>
          </w:p>
        </w:tc>
        <w:tc>
          <w:tcPr>
            <w:tcW w:w="6480" w:type="dxa"/>
            <w:vAlign w:val="center"/>
          </w:tcPr>
          <w:p w14:paraId="150C9291" w14:textId="1707B1B0" w:rsidR="000C2BDF" w:rsidRPr="00644CCA" w:rsidRDefault="000C2BDF" w:rsidP="00621097">
            <w:pPr>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Nurek and Kostopoulou (2023) conducted a vignette-based experiment to get the public views of physicians using diagnostic decision aids. Zhang et al</w:t>
            </w:r>
            <w:r w:rsidR="00DB37D1"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w:t>
            </w:r>
            <w:r w:rsidR="00DF0F85"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2021</w:t>
            </w:r>
            <w:r w:rsidR="00DF0F85" w:rsidRPr="00644CCA">
              <w:rPr>
                <w:rFonts w:ascii="Times New Roman" w:eastAsia="Times New Roman" w:hAnsi="Times New Roman" w:cs="Times New Roman"/>
                <w:color w:val="000000"/>
                <w:sz w:val="20"/>
                <w:szCs w:val="20"/>
              </w:rPr>
              <w:t>b)</w:t>
            </w:r>
            <w:r w:rsidRPr="00644CCA">
              <w:rPr>
                <w:rFonts w:ascii="Times New Roman" w:eastAsia="Times New Roman" w:hAnsi="Times New Roman" w:cs="Times New Roman"/>
                <w:color w:val="000000"/>
                <w:sz w:val="20"/>
                <w:szCs w:val="20"/>
              </w:rPr>
              <w:t xml:space="preserve"> employed </w:t>
            </w:r>
            <w:r w:rsidR="009938EB" w:rsidRPr="00644CCA">
              <w:rPr>
                <w:rFonts w:ascii="Times New Roman" w:eastAsia="Times New Roman" w:hAnsi="Times New Roman" w:cs="Times New Roman"/>
                <w:color w:val="000000"/>
                <w:sz w:val="20"/>
                <w:szCs w:val="20"/>
              </w:rPr>
              <w:t>a between-subject</w:t>
            </w:r>
            <w:r w:rsidRPr="00644CCA">
              <w:rPr>
                <w:rFonts w:ascii="Times New Roman" w:eastAsia="Times New Roman" w:hAnsi="Times New Roman" w:cs="Times New Roman"/>
                <w:color w:val="000000"/>
                <w:sz w:val="20"/>
                <w:szCs w:val="20"/>
              </w:rPr>
              <w:t xml:space="preserve"> experimental methodology design </w:t>
            </w:r>
            <w:r w:rsidR="0017302A" w:rsidRPr="00644CCA">
              <w:rPr>
                <w:rFonts w:ascii="Times New Roman" w:eastAsia="Times New Roman" w:hAnsi="Times New Roman" w:cs="Times New Roman"/>
                <w:color w:val="000000"/>
                <w:sz w:val="20"/>
                <w:szCs w:val="20"/>
              </w:rPr>
              <w:t>by</w:t>
            </w:r>
            <w:r w:rsidRPr="00644CCA">
              <w:rPr>
                <w:rFonts w:ascii="Times New Roman" w:eastAsia="Times New Roman" w:hAnsi="Times New Roman" w:cs="Times New Roman"/>
                <w:color w:val="000000"/>
                <w:sz w:val="20"/>
                <w:szCs w:val="20"/>
              </w:rPr>
              <w:t xml:space="preserve"> </w:t>
            </w:r>
            <w:r w:rsidR="0017302A" w:rsidRPr="00644CCA">
              <w:rPr>
                <w:rFonts w:ascii="Times New Roman" w:eastAsia="Times New Roman" w:hAnsi="Times New Roman" w:cs="Times New Roman"/>
                <w:color w:val="000000"/>
                <w:sz w:val="20"/>
                <w:szCs w:val="20"/>
              </w:rPr>
              <w:t>creating</w:t>
            </w:r>
            <w:r w:rsidRPr="00644CCA">
              <w:rPr>
                <w:rFonts w:ascii="Times New Roman" w:eastAsia="Times New Roman" w:hAnsi="Times New Roman" w:cs="Times New Roman"/>
                <w:color w:val="000000"/>
                <w:sz w:val="20"/>
                <w:szCs w:val="20"/>
              </w:rPr>
              <w:t xml:space="preserve"> two predictive models using </w:t>
            </w:r>
            <w:r w:rsidR="0017302A" w:rsidRPr="00644CCA">
              <w:rPr>
                <w:rFonts w:ascii="Times New Roman" w:eastAsia="Times New Roman" w:hAnsi="Times New Roman" w:cs="Times New Roman"/>
                <w:color w:val="000000"/>
                <w:sz w:val="20"/>
                <w:szCs w:val="20"/>
              </w:rPr>
              <w:t xml:space="preserve">a </w:t>
            </w:r>
            <w:r w:rsidRPr="00644CCA">
              <w:rPr>
                <w:rFonts w:ascii="Times New Roman" w:eastAsia="Times New Roman" w:hAnsi="Times New Roman" w:cs="Times New Roman"/>
                <w:color w:val="000000"/>
                <w:sz w:val="20"/>
                <w:szCs w:val="20"/>
              </w:rPr>
              <w:t xml:space="preserve">support vector model (SVM) to understand the public perception of AI in healthcare. Balakrishnan and Dwivedi (2020) applied </w:t>
            </w:r>
            <w:r w:rsidR="0017302A" w:rsidRPr="00644CCA">
              <w:rPr>
                <w:rFonts w:ascii="Times New Roman" w:eastAsia="Times New Roman" w:hAnsi="Times New Roman" w:cs="Times New Roman"/>
                <w:color w:val="000000"/>
                <w:sz w:val="20"/>
                <w:szCs w:val="20"/>
              </w:rPr>
              <w:t xml:space="preserve">a </w:t>
            </w:r>
            <w:r w:rsidRPr="00644CCA">
              <w:rPr>
                <w:rFonts w:ascii="Times New Roman" w:eastAsia="Times New Roman" w:hAnsi="Times New Roman" w:cs="Times New Roman"/>
                <w:color w:val="000000"/>
                <w:sz w:val="20"/>
                <w:szCs w:val="20"/>
              </w:rPr>
              <w:t xml:space="preserve">3*3 experimental design to determine the </w:t>
            </w:r>
            <w:r w:rsidR="009938EB" w:rsidRPr="00644CCA">
              <w:rPr>
                <w:rFonts w:ascii="Times New Roman" w:eastAsia="Times New Roman" w:hAnsi="Times New Roman" w:cs="Times New Roman"/>
                <w:color w:val="000000"/>
                <w:sz w:val="20"/>
                <w:szCs w:val="20"/>
              </w:rPr>
              <w:t>intention of continuation of technology usage</w:t>
            </w:r>
            <w:r w:rsidRPr="00644CCA">
              <w:rPr>
                <w:rFonts w:ascii="Times New Roman" w:eastAsia="Times New Roman" w:hAnsi="Times New Roman" w:cs="Times New Roman"/>
                <w:color w:val="000000"/>
                <w:sz w:val="20"/>
                <w:szCs w:val="20"/>
              </w:rPr>
              <w:t xml:space="preserve">. </w:t>
            </w:r>
            <w:r w:rsidR="0017302A" w:rsidRPr="00644CCA">
              <w:rPr>
                <w:rFonts w:ascii="Times New Roman" w:eastAsia="Times New Roman" w:hAnsi="Times New Roman" w:cs="Times New Roman"/>
                <w:color w:val="000000"/>
                <w:sz w:val="20"/>
                <w:szCs w:val="20"/>
              </w:rPr>
              <w:t xml:space="preserve">Most studies utilizing experimental design tried to determine consumers' </w:t>
            </w:r>
            <w:r w:rsidR="001812EB" w:rsidRPr="00644CCA">
              <w:rPr>
                <w:rFonts w:ascii="Times New Roman" w:eastAsia="Times New Roman" w:hAnsi="Times New Roman" w:cs="Times New Roman"/>
                <w:color w:val="000000"/>
                <w:sz w:val="20"/>
                <w:szCs w:val="20"/>
              </w:rPr>
              <w:t>behaviour</w:t>
            </w:r>
            <w:r w:rsidR="0017302A" w:rsidRPr="00644CCA">
              <w:rPr>
                <w:rFonts w:ascii="Times New Roman" w:eastAsia="Times New Roman" w:hAnsi="Times New Roman" w:cs="Times New Roman"/>
                <w:color w:val="000000"/>
                <w:sz w:val="20"/>
                <w:szCs w:val="20"/>
              </w:rPr>
              <w:t>al intentions</w:t>
            </w:r>
            <w:r w:rsidRPr="00644CCA">
              <w:rPr>
                <w:rFonts w:ascii="Times New Roman" w:eastAsia="Times New Roman" w:hAnsi="Times New Roman" w:cs="Times New Roman"/>
                <w:color w:val="000000"/>
                <w:sz w:val="20"/>
                <w:szCs w:val="20"/>
              </w:rPr>
              <w:t>.</w:t>
            </w:r>
          </w:p>
        </w:tc>
      </w:tr>
      <w:tr w:rsidR="000C2BDF" w:rsidRPr="00644CCA" w14:paraId="44B1B23C" w14:textId="77777777" w:rsidTr="00621097">
        <w:trPr>
          <w:cantSplit/>
          <w:trHeight w:val="20"/>
        </w:trPr>
        <w:tc>
          <w:tcPr>
            <w:tcW w:w="960" w:type="dxa"/>
            <w:vAlign w:val="center"/>
          </w:tcPr>
          <w:p w14:paraId="4F6EC364"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3</w:t>
            </w:r>
          </w:p>
        </w:tc>
        <w:tc>
          <w:tcPr>
            <w:tcW w:w="1718" w:type="dxa"/>
            <w:vAlign w:val="center"/>
          </w:tcPr>
          <w:p w14:paraId="674AB7CE" w14:textId="77777777" w:rsidR="000C2BDF" w:rsidRPr="00644CCA" w:rsidRDefault="000C2BDF" w:rsidP="00621097">
            <w:pPr>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Case Study</w:t>
            </w:r>
          </w:p>
        </w:tc>
        <w:tc>
          <w:tcPr>
            <w:tcW w:w="4927" w:type="dxa"/>
            <w:vAlign w:val="center"/>
          </w:tcPr>
          <w:p w14:paraId="387A49EE" w14:textId="1963DC22" w:rsidR="000C2BDF" w:rsidRPr="00644CCA" w:rsidRDefault="000C2BDF" w:rsidP="00621097">
            <w:pPr>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Bellucci et al. (2020); Sin and Munteanu (2020); Strohm et al. (2020)</w:t>
            </w:r>
          </w:p>
        </w:tc>
        <w:tc>
          <w:tcPr>
            <w:tcW w:w="6480" w:type="dxa"/>
            <w:vAlign w:val="center"/>
          </w:tcPr>
          <w:p w14:paraId="4672FF1C" w14:textId="33698733" w:rsidR="000C2BDF" w:rsidRPr="00644CCA" w:rsidRDefault="000C2BDF" w:rsidP="00621097">
            <w:pPr>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Bellucci et al. (2020) </w:t>
            </w:r>
            <w:r w:rsidRPr="00644CCA">
              <w:rPr>
                <w:rFonts w:ascii="Times New Roman" w:eastAsia="Times New Roman" w:hAnsi="Times New Roman" w:cs="Times New Roman"/>
                <w:sz w:val="20"/>
                <w:szCs w:val="20"/>
              </w:rPr>
              <w:t>applied a case</w:t>
            </w:r>
            <w:r w:rsidRPr="00644CCA">
              <w:rPr>
                <w:rFonts w:ascii="Times New Roman" w:eastAsia="Times New Roman" w:hAnsi="Times New Roman" w:cs="Times New Roman"/>
                <w:color w:val="000000"/>
                <w:sz w:val="20"/>
                <w:szCs w:val="20"/>
              </w:rPr>
              <w:t xml:space="preserve"> study method on </w:t>
            </w:r>
            <w:r w:rsidR="0017302A"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 xml:space="preserve">impact of Emotional intelligence on online dispute resolution related to electronic health record (EHR) systems. Sin and Munteanu (2020) </w:t>
            </w:r>
            <w:r w:rsidRPr="00644CCA">
              <w:rPr>
                <w:rFonts w:ascii="Times New Roman" w:eastAsia="Times New Roman" w:hAnsi="Times New Roman" w:cs="Times New Roman"/>
                <w:sz w:val="20"/>
                <w:szCs w:val="20"/>
              </w:rPr>
              <w:t>employed an experiential</w:t>
            </w:r>
            <w:r w:rsidRPr="00644CCA">
              <w:rPr>
                <w:rFonts w:ascii="Times New Roman" w:eastAsia="Times New Roman" w:hAnsi="Times New Roman" w:cs="Times New Roman"/>
                <w:color w:val="000000"/>
                <w:sz w:val="20"/>
                <w:szCs w:val="20"/>
              </w:rPr>
              <w:t xml:space="preserve"> case study method to explain the sociotechnical perspective in </w:t>
            </w:r>
            <w:r w:rsidRPr="00644CCA">
              <w:rPr>
                <w:rFonts w:ascii="Times New Roman" w:eastAsia="Times New Roman" w:hAnsi="Times New Roman" w:cs="Times New Roman"/>
                <w:sz w:val="20"/>
                <w:szCs w:val="20"/>
              </w:rPr>
              <w:t>designing virtual</w:t>
            </w:r>
            <w:r w:rsidRPr="00644CCA">
              <w:rPr>
                <w:rFonts w:ascii="Times New Roman" w:eastAsia="Times New Roman" w:hAnsi="Times New Roman" w:cs="Times New Roman"/>
                <w:color w:val="000000"/>
                <w:sz w:val="20"/>
                <w:szCs w:val="20"/>
              </w:rPr>
              <w:t xml:space="preserve"> agents for </w:t>
            </w:r>
            <w:r w:rsidR="001F3EF7"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elderly population.</w:t>
            </w:r>
          </w:p>
        </w:tc>
      </w:tr>
      <w:tr w:rsidR="000C2BDF" w:rsidRPr="00644CCA" w14:paraId="52986BE8" w14:textId="77777777" w:rsidTr="00621097">
        <w:trPr>
          <w:cantSplit/>
          <w:trHeight w:val="20"/>
        </w:trPr>
        <w:tc>
          <w:tcPr>
            <w:tcW w:w="960" w:type="dxa"/>
            <w:vAlign w:val="center"/>
          </w:tcPr>
          <w:p w14:paraId="700F7233"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4</w:t>
            </w:r>
          </w:p>
        </w:tc>
        <w:tc>
          <w:tcPr>
            <w:tcW w:w="1718" w:type="dxa"/>
            <w:vAlign w:val="center"/>
          </w:tcPr>
          <w:p w14:paraId="1B9CF688" w14:textId="77777777" w:rsidR="000C2BDF" w:rsidRPr="00644CCA" w:rsidRDefault="000C2BDF" w:rsidP="00621097">
            <w:pPr>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Conceptual paper</w:t>
            </w:r>
          </w:p>
        </w:tc>
        <w:tc>
          <w:tcPr>
            <w:tcW w:w="4927" w:type="dxa"/>
            <w:vAlign w:val="center"/>
          </w:tcPr>
          <w:p w14:paraId="6FAA7760" w14:textId="36AA2200" w:rsidR="000C2BDF" w:rsidRPr="00644CCA" w:rsidRDefault="000C2BDF" w:rsidP="00BB338D">
            <w:pPr>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 xml:space="preserve">Amann et al. (2020); Bellis and Johar (2020); </w:t>
            </w:r>
            <w:r w:rsidR="00060C30" w:rsidRPr="00644CCA">
              <w:rPr>
                <w:rFonts w:ascii="Times New Roman" w:eastAsia="Times New Roman" w:hAnsi="Times New Roman" w:cs="Times New Roman"/>
                <w:sz w:val="20"/>
                <w:szCs w:val="20"/>
              </w:rPr>
              <w:t>Čaić</w:t>
            </w:r>
            <w:r w:rsidRPr="00644CCA">
              <w:rPr>
                <w:rFonts w:ascii="Times New Roman" w:eastAsia="Times New Roman" w:hAnsi="Times New Roman" w:cs="Times New Roman"/>
                <w:sz w:val="20"/>
                <w:szCs w:val="20"/>
              </w:rPr>
              <w:t xml:space="preserve"> et al. (2019); Dabla (2021); Dai and Tayur (2022); Dwivedi et al. (2021); Kiener (2021); Rivera et al. (2023); Sha</w:t>
            </w:r>
            <w:r w:rsidR="00060C30" w:rsidRPr="00644CCA">
              <w:rPr>
                <w:rFonts w:ascii="Times New Roman" w:eastAsia="Times New Roman" w:hAnsi="Times New Roman" w:cs="Times New Roman"/>
                <w:sz w:val="20"/>
                <w:szCs w:val="20"/>
              </w:rPr>
              <w:t>w</w:t>
            </w:r>
            <w:r w:rsidRPr="00644CCA">
              <w:rPr>
                <w:rFonts w:ascii="Times New Roman" w:eastAsia="Times New Roman" w:hAnsi="Times New Roman" w:cs="Times New Roman"/>
                <w:sz w:val="20"/>
                <w:szCs w:val="20"/>
              </w:rPr>
              <w:t xml:space="preserve"> et al (2019)</w:t>
            </w:r>
          </w:p>
        </w:tc>
        <w:tc>
          <w:tcPr>
            <w:tcW w:w="6480" w:type="dxa"/>
            <w:vAlign w:val="center"/>
          </w:tcPr>
          <w:p w14:paraId="79B29203" w14:textId="39452048" w:rsidR="000C2BDF" w:rsidRPr="00644CCA" w:rsidRDefault="000C2BDF" w:rsidP="00621097">
            <w:pPr>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Amann et al. (2020) have discussed the </w:t>
            </w:r>
            <w:r w:rsidRPr="00644CCA">
              <w:rPr>
                <w:rFonts w:ascii="Times New Roman" w:eastAsia="Times New Roman" w:hAnsi="Times New Roman" w:cs="Times New Roman"/>
                <w:sz w:val="20"/>
                <w:szCs w:val="20"/>
              </w:rPr>
              <w:t>multidisciplinary</w:t>
            </w:r>
            <w:r w:rsidRPr="00644CCA">
              <w:rPr>
                <w:rFonts w:ascii="Times New Roman" w:eastAsia="Times New Roman" w:hAnsi="Times New Roman" w:cs="Times New Roman"/>
                <w:color w:val="000000"/>
                <w:sz w:val="20"/>
                <w:szCs w:val="20"/>
              </w:rPr>
              <w:t xml:space="preserve"> aspects of </w:t>
            </w:r>
            <w:r w:rsidR="006E18D3"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 xml:space="preserve">relevance of explainability </w:t>
            </w:r>
            <w:r w:rsidR="009938EB" w:rsidRPr="00644CCA">
              <w:rPr>
                <w:rFonts w:ascii="Times New Roman" w:eastAsia="Times New Roman" w:hAnsi="Times New Roman" w:cs="Times New Roman"/>
                <w:color w:val="000000"/>
                <w:sz w:val="20"/>
                <w:szCs w:val="20"/>
              </w:rPr>
              <w:t>from</w:t>
            </w:r>
            <w:r w:rsidRPr="00644CCA">
              <w:rPr>
                <w:rFonts w:ascii="Times New Roman" w:eastAsia="Times New Roman" w:hAnsi="Times New Roman" w:cs="Times New Roman"/>
                <w:color w:val="000000"/>
                <w:sz w:val="20"/>
                <w:szCs w:val="20"/>
              </w:rPr>
              <w:t xml:space="preserve"> the perspective of legal, technology, medical</w:t>
            </w:r>
            <w:r w:rsidR="0017302A"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patient. Dai and Tayur (2022) </w:t>
            </w:r>
            <w:r w:rsidR="00183A1C" w:rsidRPr="00644CCA">
              <w:rPr>
                <w:rFonts w:ascii="Times New Roman" w:eastAsia="Times New Roman" w:hAnsi="Times New Roman" w:cs="Times New Roman"/>
                <w:color w:val="000000"/>
                <w:sz w:val="20"/>
                <w:szCs w:val="20"/>
              </w:rPr>
              <w:t>have</w:t>
            </w:r>
            <w:r w:rsidRPr="00644CCA">
              <w:rPr>
                <w:rFonts w:ascii="Times New Roman" w:eastAsia="Times New Roman" w:hAnsi="Times New Roman" w:cs="Times New Roman"/>
                <w:color w:val="000000"/>
                <w:sz w:val="20"/>
                <w:szCs w:val="20"/>
              </w:rPr>
              <w:t xml:space="preserve"> provided a framework for </w:t>
            </w:r>
            <w:r w:rsidRPr="00644CCA">
              <w:rPr>
                <w:rFonts w:ascii="Times New Roman" w:eastAsia="Times New Roman" w:hAnsi="Times New Roman" w:cs="Times New Roman"/>
                <w:sz w:val="20"/>
                <w:szCs w:val="20"/>
              </w:rPr>
              <w:t>physician</w:t>
            </w:r>
            <w:r w:rsidRPr="00644CCA">
              <w:rPr>
                <w:rFonts w:ascii="Times New Roman" w:eastAsia="Times New Roman" w:hAnsi="Times New Roman" w:cs="Times New Roman"/>
                <w:color w:val="000000"/>
                <w:sz w:val="20"/>
                <w:szCs w:val="20"/>
              </w:rPr>
              <w:t xml:space="preserve"> buy-in and patient acceptance of AI in healthcare. Dwivedi et al. (2021) have provided a </w:t>
            </w:r>
            <w:r w:rsidRPr="00644CCA">
              <w:rPr>
                <w:rFonts w:ascii="Times New Roman" w:eastAsia="Times New Roman" w:hAnsi="Times New Roman" w:cs="Times New Roman"/>
                <w:sz w:val="20"/>
                <w:szCs w:val="20"/>
              </w:rPr>
              <w:t>multidisciplinary</w:t>
            </w:r>
            <w:r w:rsidRPr="00644CCA">
              <w:rPr>
                <w:rFonts w:ascii="Times New Roman" w:eastAsia="Times New Roman" w:hAnsi="Times New Roman" w:cs="Times New Roman"/>
                <w:color w:val="000000"/>
                <w:sz w:val="20"/>
                <w:szCs w:val="20"/>
              </w:rPr>
              <w:t xml:space="preserve"> perspective of AI in different </w:t>
            </w:r>
            <w:r w:rsidR="00183A1C" w:rsidRPr="00644CCA">
              <w:rPr>
                <w:rFonts w:ascii="Times New Roman" w:eastAsia="Times New Roman" w:hAnsi="Times New Roman" w:cs="Times New Roman"/>
                <w:color w:val="000000"/>
                <w:sz w:val="20"/>
                <w:szCs w:val="20"/>
              </w:rPr>
              <w:t>business areas</w:t>
            </w:r>
            <w:r w:rsidRPr="00644CCA">
              <w:rPr>
                <w:rFonts w:ascii="Times New Roman" w:eastAsia="Times New Roman" w:hAnsi="Times New Roman" w:cs="Times New Roman"/>
                <w:color w:val="000000"/>
                <w:sz w:val="20"/>
                <w:szCs w:val="20"/>
              </w:rPr>
              <w:t>.</w:t>
            </w:r>
          </w:p>
        </w:tc>
      </w:tr>
      <w:tr w:rsidR="000C2BDF" w:rsidRPr="00644CCA" w14:paraId="6E793C83" w14:textId="77777777" w:rsidTr="00621097">
        <w:trPr>
          <w:cantSplit/>
          <w:trHeight w:val="20"/>
        </w:trPr>
        <w:tc>
          <w:tcPr>
            <w:tcW w:w="960" w:type="dxa"/>
            <w:vAlign w:val="center"/>
          </w:tcPr>
          <w:p w14:paraId="3C7095FF"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lastRenderedPageBreak/>
              <w:t>5</w:t>
            </w:r>
          </w:p>
        </w:tc>
        <w:tc>
          <w:tcPr>
            <w:tcW w:w="1718" w:type="dxa"/>
            <w:vAlign w:val="center"/>
          </w:tcPr>
          <w:p w14:paraId="463734FF" w14:textId="77777777" w:rsidR="000C2BDF" w:rsidRPr="00644CCA" w:rsidRDefault="000C2BDF" w:rsidP="00621097">
            <w:pPr>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Survey descriptive</w:t>
            </w:r>
          </w:p>
        </w:tc>
        <w:tc>
          <w:tcPr>
            <w:tcW w:w="4927" w:type="dxa"/>
            <w:vAlign w:val="center"/>
          </w:tcPr>
          <w:p w14:paraId="4EF900EA" w14:textId="274B5F73" w:rsidR="000C2BDF" w:rsidRPr="00644CCA" w:rsidRDefault="000C2BDF" w:rsidP="00621097">
            <w:pPr>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Aeknarajindawat et al. (2023); Almalki (2021); Jutzi et al. (2020); Lim et al. (2022); Lennartz et al. (2021); Meyer et al. (2020); Miller et al. (2020); Nadarzynski et al. (2020); Ongena et al. (2020); Palmisciano et al. (2020); Yang et al. (2019); York et al. (2020); Zaman et al. (2023)</w:t>
            </w:r>
          </w:p>
        </w:tc>
        <w:tc>
          <w:tcPr>
            <w:tcW w:w="6480" w:type="dxa"/>
            <w:vAlign w:val="center"/>
          </w:tcPr>
          <w:p w14:paraId="41A4E886" w14:textId="0B484F18" w:rsidR="000C2BDF" w:rsidRPr="00644CCA" w:rsidRDefault="000C2BDF" w:rsidP="00621097">
            <w:pPr>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Miller et al. (2020) have explored patient </w:t>
            </w:r>
            <w:r w:rsidR="001F3EF7" w:rsidRPr="00644CCA">
              <w:rPr>
                <w:rFonts w:ascii="Times New Roman" w:eastAsia="Times New Roman" w:hAnsi="Times New Roman" w:cs="Times New Roman"/>
                <w:color w:val="000000"/>
                <w:sz w:val="20"/>
                <w:szCs w:val="20"/>
              </w:rPr>
              <w:t>attitudes</w:t>
            </w:r>
            <w:r w:rsidRPr="00644CCA">
              <w:rPr>
                <w:rFonts w:ascii="Times New Roman" w:eastAsia="Times New Roman" w:hAnsi="Times New Roman" w:cs="Times New Roman"/>
                <w:color w:val="000000"/>
                <w:sz w:val="20"/>
                <w:szCs w:val="20"/>
              </w:rPr>
              <w:t xml:space="preserve"> </w:t>
            </w:r>
            <w:r w:rsidR="00134B0D" w:rsidRPr="00644CCA">
              <w:rPr>
                <w:rFonts w:ascii="Times New Roman" w:eastAsia="Times New Roman" w:hAnsi="Times New Roman" w:cs="Times New Roman"/>
                <w:color w:val="000000"/>
                <w:sz w:val="20"/>
                <w:szCs w:val="20"/>
              </w:rPr>
              <w:t>toward</w:t>
            </w:r>
            <w:r w:rsidRPr="00644CCA">
              <w:rPr>
                <w:rFonts w:ascii="Times New Roman" w:eastAsia="Times New Roman" w:hAnsi="Times New Roman" w:cs="Times New Roman"/>
                <w:color w:val="000000"/>
                <w:sz w:val="20"/>
                <w:szCs w:val="20"/>
              </w:rPr>
              <w:t xml:space="preserve"> </w:t>
            </w:r>
            <w:r w:rsidR="00183A1C" w:rsidRPr="00644CCA">
              <w:rPr>
                <w:rFonts w:ascii="Times New Roman" w:eastAsia="Times New Roman" w:hAnsi="Times New Roman" w:cs="Times New Roman"/>
                <w:color w:val="000000"/>
                <w:sz w:val="20"/>
                <w:szCs w:val="20"/>
              </w:rPr>
              <w:t>AI-based</w:t>
            </w:r>
            <w:r w:rsidRPr="00644CCA">
              <w:rPr>
                <w:rFonts w:ascii="Times New Roman" w:eastAsia="Times New Roman" w:hAnsi="Times New Roman" w:cs="Times New Roman"/>
                <w:color w:val="000000"/>
                <w:sz w:val="20"/>
                <w:szCs w:val="20"/>
              </w:rPr>
              <w:t xml:space="preserve"> Symptom </w:t>
            </w:r>
            <w:r w:rsidRPr="00644CCA">
              <w:rPr>
                <w:rFonts w:ascii="Times New Roman" w:eastAsia="Times New Roman" w:hAnsi="Times New Roman" w:cs="Times New Roman"/>
                <w:sz w:val="20"/>
                <w:szCs w:val="20"/>
              </w:rPr>
              <w:t>assessment</w:t>
            </w:r>
            <w:r w:rsidRPr="00644CCA">
              <w:rPr>
                <w:rFonts w:ascii="Times New Roman" w:eastAsia="Times New Roman" w:hAnsi="Times New Roman" w:cs="Times New Roman"/>
                <w:color w:val="000000"/>
                <w:sz w:val="20"/>
                <w:szCs w:val="20"/>
              </w:rPr>
              <w:t xml:space="preserve"> and </w:t>
            </w:r>
            <w:r w:rsidR="00183A1C" w:rsidRPr="00644CCA">
              <w:rPr>
                <w:rFonts w:ascii="Times New Roman" w:eastAsia="Times New Roman" w:hAnsi="Times New Roman" w:cs="Times New Roman"/>
                <w:color w:val="000000"/>
                <w:sz w:val="20"/>
                <w:szCs w:val="20"/>
              </w:rPr>
              <w:t>advice</w:t>
            </w:r>
            <w:r w:rsidRPr="00644CCA">
              <w:rPr>
                <w:rFonts w:ascii="Times New Roman" w:eastAsia="Times New Roman" w:hAnsi="Times New Roman" w:cs="Times New Roman"/>
                <w:color w:val="000000"/>
                <w:sz w:val="20"/>
                <w:szCs w:val="20"/>
              </w:rPr>
              <w:t xml:space="preserve"> technology by getting descriptive views of patients. Palmisciano et al. (2020) qualitatively </w:t>
            </w:r>
            <w:r w:rsidRPr="00644CCA">
              <w:rPr>
                <w:rFonts w:ascii="Times New Roman" w:eastAsia="Times New Roman" w:hAnsi="Times New Roman" w:cs="Times New Roman"/>
                <w:sz w:val="20"/>
                <w:szCs w:val="20"/>
              </w:rPr>
              <w:t>assessed</w:t>
            </w:r>
            <w:r w:rsidRPr="00644CCA">
              <w:rPr>
                <w:rFonts w:ascii="Times New Roman" w:eastAsia="Times New Roman" w:hAnsi="Times New Roman" w:cs="Times New Roman"/>
                <w:color w:val="000000"/>
                <w:sz w:val="20"/>
                <w:szCs w:val="20"/>
              </w:rPr>
              <w:t xml:space="preserve"> </w:t>
            </w:r>
            <w:r w:rsidR="00CD12EE" w:rsidRPr="00644CCA">
              <w:rPr>
                <w:rFonts w:ascii="Times New Roman" w:eastAsia="Times New Roman" w:hAnsi="Times New Roman" w:cs="Times New Roman"/>
                <w:color w:val="000000"/>
                <w:sz w:val="20"/>
                <w:szCs w:val="20"/>
              </w:rPr>
              <w:t>patients’</w:t>
            </w:r>
            <w:r w:rsidRPr="00644CCA">
              <w:rPr>
                <w:rFonts w:ascii="Times New Roman" w:eastAsia="Times New Roman" w:hAnsi="Times New Roman" w:cs="Times New Roman"/>
                <w:color w:val="000000"/>
                <w:sz w:val="20"/>
                <w:szCs w:val="20"/>
              </w:rPr>
              <w:t xml:space="preserve"> and their relatives' </w:t>
            </w:r>
            <w:r w:rsidR="00CD12EE" w:rsidRPr="00644CCA">
              <w:rPr>
                <w:rFonts w:ascii="Times New Roman" w:eastAsia="Times New Roman" w:hAnsi="Times New Roman" w:cs="Times New Roman"/>
                <w:color w:val="000000"/>
                <w:sz w:val="20"/>
                <w:szCs w:val="20"/>
              </w:rPr>
              <w:t>attitudes</w:t>
            </w:r>
            <w:r w:rsidRPr="00644CCA">
              <w:rPr>
                <w:rFonts w:ascii="Times New Roman" w:eastAsia="Times New Roman" w:hAnsi="Times New Roman" w:cs="Times New Roman"/>
                <w:color w:val="000000"/>
                <w:sz w:val="20"/>
                <w:szCs w:val="20"/>
              </w:rPr>
              <w:t xml:space="preserve"> toward AI in neurosurgery. Studies in this group have collected data from respondents and performed basic </w:t>
            </w:r>
            <w:r w:rsidRPr="00644CCA">
              <w:rPr>
                <w:rFonts w:ascii="Times New Roman" w:eastAsia="Times New Roman" w:hAnsi="Times New Roman" w:cs="Times New Roman"/>
                <w:sz w:val="20"/>
                <w:szCs w:val="20"/>
              </w:rPr>
              <w:t>descriptive</w:t>
            </w:r>
            <w:r w:rsidRPr="00644CCA">
              <w:rPr>
                <w:rFonts w:ascii="Times New Roman" w:eastAsia="Times New Roman" w:hAnsi="Times New Roman" w:cs="Times New Roman"/>
                <w:color w:val="000000"/>
                <w:sz w:val="20"/>
                <w:szCs w:val="20"/>
              </w:rPr>
              <w:t xml:space="preserve"> statistics like frequency </w:t>
            </w:r>
            <w:r w:rsidRPr="00644CCA">
              <w:rPr>
                <w:rFonts w:ascii="Times New Roman" w:eastAsia="Times New Roman" w:hAnsi="Times New Roman" w:cs="Times New Roman"/>
                <w:sz w:val="20"/>
                <w:szCs w:val="20"/>
              </w:rPr>
              <w:t>analysis</w:t>
            </w:r>
            <w:r w:rsidRPr="00644CCA">
              <w:rPr>
                <w:rFonts w:ascii="Times New Roman" w:eastAsia="Times New Roman" w:hAnsi="Times New Roman" w:cs="Times New Roman"/>
                <w:color w:val="000000"/>
                <w:sz w:val="20"/>
                <w:szCs w:val="20"/>
              </w:rPr>
              <w:t xml:space="preserve"> and percentage analysis.</w:t>
            </w:r>
          </w:p>
        </w:tc>
      </w:tr>
      <w:tr w:rsidR="000C2BDF" w:rsidRPr="00644CCA" w14:paraId="2190A30E" w14:textId="77777777" w:rsidTr="00621097">
        <w:trPr>
          <w:cantSplit/>
          <w:trHeight w:val="20"/>
        </w:trPr>
        <w:tc>
          <w:tcPr>
            <w:tcW w:w="960" w:type="dxa"/>
            <w:vAlign w:val="center"/>
          </w:tcPr>
          <w:p w14:paraId="3C1353A5"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6</w:t>
            </w:r>
          </w:p>
        </w:tc>
        <w:tc>
          <w:tcPr>
            <w:tcW w:w="1718" w:type="dxa"/>
            <w:vAlign w:val="center"/>
          </w:tcPr>
          <w:p w14:paraId="4C7CA3B4"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Survey, Regression</w:t>
            </w:r>
          </w:p>
        </w:tc>
        <w:tc>
          <w:tcPr>
            <w:tcW w:w="4927" w:type="dxa"/>
            <w:vAlign w:val="center"/>
          </w:tcPr>
          <w:p w14:paraId="64A10429" w14:textId="77777777" w:rsidR="000C2BDF" w:rsidRPr="00644CCA" w:rsidRDefault="000C2BDF" w:rsidP="00621097">
            <w:pPr>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Phelps et al. (2000); Sawrikar and Mote (2022)</w:t>
            </w:r>
          </w:p>
        </w:tc>
        <w:tc>
          <w:tcPr>
            <w:tcW w:w="6480" w:type="dxa"/>
            <w:vAlign w:val="center"/>
          </w:tcPr>
          <w:p w14:paraId="10297596" w14:textId="57578892" w:rsidR="000C2BDF" w:rsidRPr="00644CCA" w:rsidRDefault="000C2BDF" w:rsidP="00621097">
            <w:pPr>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Sawrikar and Mote (2022) </w:t>
            </w:r>
            <w:r w:rsidRPr="00644CCA">
              <w:rPr>
                <w:rFonts w:ascii="Times New Roman" w:eastAsia="Times New Roman" w:hAnsi="Times New Roman" w:cs="Times New Roman"/>
                <w:sz w:val="20"/>
                <w:szCs w:val="20"/>
              </w:rPr>
              <w:t>analyzed</w:t>
            </w:r>
            <w:r w:rsidRPr="00644CCA">
              <w:rPr>
                <w:rFonts w:ascii="Times New Roman" w:eastAsia="Times New Roman" w:hAnsi="Times New Roman" w:cs="Times New Roman"/>
                <w:color w:val="000000"/>
                <w:sz w:val="20"/>
                <w:szCs w:val="20"/>
              </w:rPr>
              <w:t xml:space="preserve"> the role of trust in technology acceptance by performing regression analysis. Phelps et al. (2020) </w:t>
            </w:r>
            <w:r w:rsidRPr="00644CCA">
              <w:rPr>
                <w:rFonts w:ascii="Times New Roman" w:eastAsia="Times New Roman" w:hAnsi="Times New Roman" w:cs="Times New Roman"/>
                <w:sz w:val="20"/>
                <w:szCs w:val="20"/>
              </w:rPr>
              <w:t>conceptualized</w:t>
            </w:r>
            <w:r w:rsidRPr="00644CCA">
              <w:rPr>
                <w:rFonts w:ascii="Times New Roman" w:eastAsia="Times New Roman" w:hAnsi="Times New Roman" w:cs="Times New Roman"/>
                <w:color w:val="000000"/>
                <w:sz w:val="20"/>
                <w:szCs w:val="20"/>
              </w:rPr>
              <w:t xml:space="preserve"> and </w:t>
            </w:r>
            <w:r w:rsidR="00183A1C" w:rsidRPr="00644CCA">
              <w:rPr>
                <w:rFonts w:ascii="Times New Roman" w:eastAsia="Times New Roman" w:hAnsi="Times New Roman" w:cs="Times New Roman"/>
                <w:sz w:val="20"/>
                <w:szCs w:val="20"/>
              </w:rPr>
              <w:t>explored</w:t>
            </w:r>
            <w:r w:rsidRPr="00644CCA">
              <w:rPr>
                <w:rFonts w:ascii="Times New Roman" w:eastAsia="Times New Roman" w:hAnsi="Times New Roman" w:cs="Times New Roman"/>
                <w:color w:val="000000"/>
                <w:sz w:val="20"/>
                <w:szCs w:val="20"/>
              </w:rPr>
              <w:t xml:space="preserve"> the relationship between privacy concerns and </w:t>
            </w:r>
            <w:r w:rsidRPr="00644CCA">
              <w:rPr>
                <w:rFonts w:ascii="Times New Roman" w:eastAsia="Times New Roman" w:hAnsi="Times New Roman" w:cs="Times New Roman"/>
                <w:sz w:val="20"/>
                <w:szCs w:val="20"/>
              </w:rPr>
              <w:t>consumer</w:t>
            </w:r>
            <w:r w:rsidRPr="00644CCA">
              <w:rPr>
                <w:rFonts w:ascii="Times New Roman" w:eastAsia="Times New Roman" w:hAnsi="Times New Roman" w:cs="Times New Roman"/>
                <w:color w:val="000000"/>
                <w:sz w:val="20"/>
                <w:szCs w:val="20"/>
              </w:rPr>
              <w:t xml:space="preserve"> willingness to provide personal information through regression analysis.</w:t>
            </w:r>
          </w:p>
        </w:tc>
      </w:tr>
      <w:tr w:rsidR="000C2BDF" w:rsidRPr="00644CCA" w14:paraId="1DD8827A" w14:textId="77777777" w:rsidTr="00621097">
        <w:trPr>
          <w:cantSplit/>
          <w:trHeight w:val="20"/>
        </w:trPr>
        <w:tc>
          <w:tcPr>
            <w:tcW w:w="960" w:type="dxa"/>
            <w:vAlign w:val="center"/>
          </w:tcPr>
          <w:p w14:paraId="44CC2654"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7</w:t>
            </w:r>
          </w:p>
        </w:tc>
        <w:tc>
          <w:tcPr>
            <w:tcW w:w="1718" w:type="dxa"/>
            <w:vAlign w:val="center"/>
          </w:tcPr>
          <w:p w14:paraId="66E740FA"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Survey, SEM</w:t>
            </w:r>
          </w:p>
        </w:tc>
        <w:tc>
          <w:tcPr>
            <w:tcW w:w="4927" w:type="dxa"/>
            <w:vAlign w:val="center"/>
          </w:tcPr>
          <w:p w14:paraId="50B49634" w14:textId="77777777" w:rsidR="000C2BDF" w:rsidRPr="00644CCA" w:rsidRDefault="000C2BDF" w:rsidP="00621097">
            <w:pPr>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Ameen et al. (2021); Antes et al. (2021); Balakrishnan and Dwivedi (2020); Bansal et al. (</w:t>
            </w:r>
            <w:r w:rsidRPr="00644CCA">
              <w:rPr>
                <w:rFonts w:ascii="Times New Roman" w:eastAsia="Times New Roman" w:hAnsi="Times New Roman" w:cs="Times New Roman"/>
                <w:sz w:val="20"/>
                <w:szCs w:val="20"/>
              </w:rPr>
              <w:t>2010); Chen at al. (2023); Chi et al. (2023); Cheung et al. (2021); Dinev et al. (2012); Esmaeilzadeh (2020); Gursoy et al. (2019); Hayat et al. (2022); Hurng et al. (2022); Huang and Yang (2019); Li and Wang (2022); Lin et al (2020); Liu and Tao (2022); Liu et al. (2022); Mishra et al. (2022); Ongena et al. (2020); Ou et al. (2022); Park et al. (2021); Park et al. (2022); Ray et al. (2022); Shahsavar and Chodhury (2023); Uzir et al. (2021); Wang et al. (2021); Wu et al. (2015); Ye et al. (2019); Zhou et al. (2019)</w:t>
            </w:r>
          </w:p>
        </w:tc>
        <w:tc>
          <w:tcPr>
            <w:tcW w:w="6480" w:type="dxa"/>
            <w:vAlign w:val="center"/>
          </w:tcPr>
          <w:p w14:paraId="3AF32B7F" w14:textId="16C934D4" w:rsidR="000C2BDF" w:rsidRPr="00644CCA" w:rsidRDefault="000C2BDF" w:rsidP="00621097">
            <w:pPr>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Among the selected studies for the review, Structural Equation Modeling (SEM) is the most common </w:t>
            </w:r>
            <w:r w:rsidRPr="00644CCA">
              <w:rPr>
                <w:rFonts w:ascii="Times New Roman" w:eastAsia="Times New Roman" w:hAnsi="Times New Roman" w:cs="Times New Roman"/>
                <w:sz w:val="20"/>
                <w:szCs w:val="20"/>
              </w:rPr>
              <w:t>approach</w:t>
            </w:r>
            <w:r w:rsidRPr="00644CCA">
              <w:rPr>
                <w:rFonts w:ascii="Times New Roman" w:eastAsia="Times New Roman" w:hAnsi="Times New Roman" w:cs="Times New Roman"/>
                <w:color w:val="000000"/>
                <w:sz w:val="20"/>
                <w:szCs w:val="20"/>
              </w:rPr>
              <w:t xml:space="preserve"> for designing the conceptual model and data analysis. Some </w:t>
            </w:r>
            <w:r w:rsidR="00183A1C" w:rsidRPr="00644CCA">
              <w:rPr>
                <w:rFonts w:ascii="Times New Roman" w:eastAsia="Times New Roman" w:hAnsi="Times New Roman" w:cs="Times New Roman"/>
                <w:color w:val="000000"/>
                <w:sz w:val="20"/>
                <w:szCs w:val="20"/>
              </w:rPr>
              <w:t xml:space="preserve">researchers have used SPSS AMOS for their data analysis, and some </w:t>
            </w:r>
            <w:r w:rsidRPr="00644CCA">
              <w:rPr>
                <w:rFonts w:ascii="Times New Roman" w:eastAsia="Times New Roman" w:hAnsi="Times New Roman" w:cs="Times New Roman"/>
                <w:color w:val="000000"/>
                <w:sz w:val="20"/>
                <w:szCs w:val="20"/>
              </w:rPr>
              <w:t xml:space="preserve">have used PLS-SEM. </w:t>
            </w:r>
            <w:r w:rsidR="001812EB" w:rsidRPr="00644CCA">
              <w:rPr>
                <w:rFonts w:ascii="Times New Roman" w:eastAsia="Times New Roman" w:hAnsi="Times New Roman" w:cs="Times New Roman"/>
                <w:color w:val="000000"/>
                <w:sz w:val="20"/>
                <w:szCs w:val="20"/>
              </w:rPr>
              <w:t>Behaviour</w:t>
            </w:r>
            <w:r w:rsidR="00183A1C" w:rsidRPr="00644CCA">
              <w:rPr>
                <w:rFonts w:ascii="Times New Roman" w:eastAsia="Times New Roman" w:hAnsi="Times New Roman" w:cs="Times New Roman"/>
                <w:color w:val="000000"/>
                <w:sz w:val="20"/>
                <w:szCs w:val="20"/>
              </w:rPr>
              <w:t>al intention is the most common dependent variable for the customer adoption of AI in healthcare studies</w:t>
            </w:r>
            <w:r w:rsidRPr="00644CCA">
              <w:rPr>
                <w:rFonts w:ascii="Times New Roman" w:eastAsia="Times New Roman" w:hAnsi="Times New Roman" w:cs="Times New Roman"/>
                <w:color w:val="000000"/>
                <w:sz w:val="20"/>
                <w:szCs w:val="20"/>
              </w:rPr>
              <w:t>.</w:t>
            </w:r>
          </w:p>
        </w:tc>
      </w:tr>
      <w:tr w:rsidR="000C2BDF" w:rsidRPr="00644CCA" w14:paraId="496C2E94" w14:textId="77777777" w:rsidTr="00621097">
        <w:trPr>
          <w:cantSplit/>
          <w:trHeight w:val="20"/>
        </w:trPr>
        <w:tc>
          <w:tcPr>
            <w:tcW w:w="960" w:type="dxa"/>
            <w:vAlign w:val="center"/>
          </w:tcPr>
          <w:p w14:paraId="161245E9"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8</w:t>
            </w:r>
          </w:p>
        </w:tc>
        <w:tc>
          <w:tcPr>
            <w:tcW w:w="1718" w:type="dxa"/>
            <w:vAlign w:val="center"/>
          </w:tcPr>
          <w:p w14:paraId="5610A8FA" w14:textId="77777777" w:rsidR="000C2BDF" w:rsidRPr="00644CCA" w:rsidRDefault="000C2BDF" w:rsidP="00621097">
            <w:pPr>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Mixed method</w:t>
            </w:r>
          </w:p>
        </w:tc>
        <w:tc>
          <w:tcPr>
            <w:tcW w:w="4927" w:type="dxa"/>
            <w:vAlign w:val="center"/>
          </w:tcPr>
          <w:p w14:paraId="582F548A" w14:textId="77777777" w:rsidR="000C2BDF" w:rsidRPr="00644CCA" w:rsidRDefault="000C2BDF" w:rsidP="00621097">
            <w:pPr>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Betria et al. (2021); Beuscher et al. (2017); Biro et al. (2023); Chang et al. (2022); Gonsard et al. (2023); Hebesberger et al. (2017); Holthöwer and Doorn (2023); Jauk et al (2021); Kidwel et al. (2008); Longoni et al. (2019); Mettler et al (2017); Musbahi et al. (2021); Nadarzynski et al. (2019); Pitardi et al. (2022)</w:t>
            </w:r>
          </w:p>
        </w:tc>
        <w:tc>
          <w:tcPr>
            <w:tcW w:w="6480" w:type="dxa"/>
            <w:vAlign w:val="center"/>
          </w:tcPr>
          <w:p w14:paraId="2ACB042E" w14:textId="516EE703" w:rsidR="000C2BDF" w:rsidRPr="00644CCA" w:rsidRDefault="000C2BDF" w:rsidP="00621097">
            <w:pPr>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Nadarzynski et al. (2019) explored the acceptability of </w:t>
            </w:r>
            <w:r w:rsidR="00CD12EE" w:rsidRPr="00644CCA">
              <w:rPr>
                <w:rFonts w:ascii="Times New Roman" w:eastAsia="Times New Roman" w:hAnsi="Times New Roman" w:cs="Times New Roman"/>
                <w:color w:val="000000"/>
                <w:sz w:val="20"/>
                <w:szCs w:val="20"/>
              </w:rPr>
              <w:t>chatbots</w:t>
            </w:r>
            <w:r w:rsidRPr="00644CCA">
              <w:rPr>
                <w:rFonts w:ascii="Times New Roman" w:eastAsia="Times New Roman" w:hAnsi="Times New Roman" w:cs="Times New Roman"/>
                <w:color w:val="000000"/>
                <w:sz w:val="20"/>
                <w:szCs w:val="20"/>
              </w:rPr>
              <w:t xml:space="preserve"> in healthcare </w:t>
            </w:r>
            <w:r w:rsidR="00CD12EE" w:rsidRPr="00644CCA">
              <w:rPr>
                <w:rFonts w:ascii="Times New Roman" w:eastAsia="Times New Roman" w:hAnsi="Times New Roman" w:cs="Times New Roman"/>
                <w:color w:val="000000"/>
                <w:sz w:val="20"/>
                <w:szCs w:val="20"/>
              </w:rPr>
              <w:t>using</w:t>
            </w:r>
            <w:r w:rsidRPr="00644CCA">
              <w:rPr>
                <w:rFonts w:ascii="Times New Roman" w:eastAsia="Times New Roman" w:hAnsi="Times New Roman" w:cs="Times New Roman"/>
                <w:color w:val="000000"/>
                <w:sz w:val="20"/>
                <w:szCs w:val="20"/>
              </w:rPr>
              <w:t xml:space="preserve"> mixed </w:t>
            </w:r>
            <w:r w:rsidRPr="00644CCA">
              <w:rPr>
                <w:rFonts w:ascii="Times New Roman" w:eastAsia="Times New Roman" w:hAnsi="Times New Roman" w:cs="Times New Roman"/>
                <w:sz w:val="20"/>
                <w:szCs w:val="20"/>
              </w:rPr>
              <w:t>methods</w:t>
            </w:r>
            <w:r w:rsidR="009938EB" w:rsidRPr="00644CCA">
              <w:rPr>
                <w:rFonts w:ascii="Times New Roman" w:eastAsia="Times New Roman" w:hAnsi="Times New Roman" w:cs="Times New Roman"/>
                <w:sz w:val="20"/>
                <w:szCs w:val="20"/>
              </w:rPr>
              <w:t>,</w:t>
            </w:r>
            <w:r w:rsidR="00CD12EE" w:rsidRPr="00644CCA">
              <w:rPr>
                <w:rFonts w:ascii="Times New Roman" w:eastAsia="Times New Roman" w:hAnsi="Times New Roman" w:cs="Times New Roman"/>
                <w:color w:val="000000"/>
                <w:sz w:val="20"/>
                <w:szCs w:val="20"/>
              </w:rPr>
              <w:t xml:space="preserve"> starting</w:t>
            </w:r>
            <w:r w:rsidRPr="00644CCA">
              <w:rPr>
                <w:rFonts w:ascii="Times New Roman" w:eastAsia="Times New Roman" w:hAnsi="Times New Roman" w:cs="Times New Roman"/>
                <w:color w:val="000000"/>
                <w:sz w:val="20"/>
                <w:szCs w:val="20"/>
              </w:rPr>
              <w:t xml:space="preserve"> </w:t>
            </w:r>
            <w:r w:rsidRPr="00644CCA">
              <w:rPr>
                <w:rFonts w:ascii="Times New Roman" w:eastAsia="Times New Roman" w:hAnsi="Times New Roman" w:cs="Times New Roman"/>
                <w:sz w:val="20"/>
                <w:szCs w:val="20"/>
              </w:rPr>
              <w:t>with a semi-structured</w:t>
            </w:r>
            <w:r w:rsidRPr="00644CCA">
              <w:rPr>
                <w:rFonts w:ascii="Times New Roman" w:eastAsia="Times New Roman" w:hAnsi="Times New Roman" w:cs="Times New Roman"/>
                <w:color w:val="000000"/>
                <w:sz w:val="20"/>
                <w:szCs w:val="20"/>
              </w:rPr>
              <w:t xml:space="preserve"> interview followed </w:t>
            </w:r>
            <w:r w:rsidRPr="00644CCA">
              <w:rPr>
                <w:rFonts w:ascii="Times New Roman" w:eastAsia="Times New Roman" w:hAnsi="Times New Roman" w:cs="Times New Roman"/>
                <w:sz w:val="20"/>
                <w:szCs w:val="20"/>
              </w:rPr>
              <w:t>by an online</w:t>
            </w:r>
            <w:r w:rsidRPr="00644CCA">
              <w:rPr>
                <w:rFonts w:ascii="Times New Roman" w:eastAsia="Times New Roman" w:hAnsi="Times New Roman" w:cs="Times New Roman"/>
                <w:color w:val="000000"/>
                <w:sz w:val="20"/>
                <w:szCs w:val="20"/>
              </w:rPr>
              <w:t xml:space="preserve"> survey. Data collected from the interview and survey was </w:t>
            </w:r>
            <w:r w:rsidRPr="00644CCA">
              <w:rPr>
                <w:rFonts w:ascii="Times New Roman" w:eastAsia="Times New Roman" w:hAnsi="Times New Roman" w:cs="Times New Roman"/>
                <w:sz w:val="20"/>
                <w:szCs w:val="20"/>
              </w:rPr>
              <w:t>analyzed</w:t>
            </w:r>
            <w:r w:rsidRPr="00644CCA">
              <w:rPr>
                <w:rFonts w:ascii="Times New Roman" w:eastAsia="Times New Roman" w:hAnsi="Times New Roman" w:cs="Times New Roman"/>
                <w:color w:val="000000"/>
                <w:sz w:val="20"/>
                <w:szCs w:val="20"/>
              </w:rPr>
              <w:t xml:space="preserve"> through thematic </w:t>
            </w:r>
            <w:r w:rsidR="00BE0D47" w:rsidRPr="00644CCA">
              <w:rPr>
                <w:rFonts w:ascii="Times New Roman" w:eastAsia="Times New Roman" w:hAnsi="Times New Roman" w:cs="Times New Roman"/>
                <w:color w:val="000000"/>
                <w:sz w:val="20"/>
                <w:szCs w:val="20"/>
              </w:rPr>
              <w:t>and basic descriptive analysis</w:t>
            </w:r>
            <w:r w:rsidRPr="00644CCA">
              <w:rPr>
                <w:rFonts w:ascii="Times New Roman" w:eastAsia="Times New Roman" w:hAnsi="Times New Roman" w:cs="Times New Roman"/>
                <w:color w:val="000000"/>
                <w:sz w:val="20"/>
                <w:szCs w:val="20"/>
              </w:rPr>
              <w:t xml:space="preserve">. Gonsard et al. (2023) extracted the views of children and their parents </w:t>
            </w:r>
            <w:r w:rsidR="00134B0D" w:rsidRPr="00644CCA">
              <w:rPr>
                <w:rFonts w:ascii="Times New Roman" w:eastAsia="Times New Roman" w:hAnsi="Times New Roman" w:cs="Times New Roman"/>
                <w:color w:val="000000"/>
                <w:sz w:val="20"/>
                <w:szCs w:val="20"/>
              </w:rPr>
              <w:t>through interviews and surveys</w:t>
            </w:r>
            <w:r w:rsidRPr="00644CCA">
              <w:rPr>
                <w:rFonts w:ascii="Times New Roman" w:eastAsia="Times New Roman" w:hAnsi="Times New Roman" w:cs="Times New Roman"/>
                <w:color w:val="000000"/>
                <w:sz w:val="20"/>
                <w:szCs w:val="20"/>
              </w:rPr>
              <w:t xml:space="preserve">. Studies followed mixed </w:t>
            </w:r>
            <w:r w:rsidR="00BE0D47" w:rsidRPr="00644CCA">
              <w:rPr>
                <w:rFonts w:ascii="Times New Roman" w:eastAsia="Times New Roman" w:hAnsi="Times New Roman" w:cs="Times New Roman"/>
                <w:color w:val="000000"/>
                <w:sz w:val="20"/>
                <w:szCs w:val="20"/>
              </w:rPr>
              <w:t>methods</w:t>
            </w:r>
            <w:r w:rsidRPr="00644CCA">
              <w:rPr>
                <w:rFonts w:ascii="Times New Roman" w:eastAsia="Times New Roman" w:hAnsi="Times New Roman" w:cs="Times New Roman"/>
                <w:color w:val="000000"/>
                <w:sz w:val="20"/>
                <w:szCs w:val="20"/>
              </w:rPr>
              <w:t xml:space="preserve"> </w:t>
            </w:r>
            <w:r w:rsidR="00BE0D47" w:rsidRPr="00644CCA">
              <w:rPr>
                <w:rFonts w:ascii="Times New Roman" w:eastAsia="Times New Roman" w:hAnsi="Times New Roman" w:cs="Times New Roman"/>
                <w:color w:val="000000"/>
                <w:sz w:val="20"/>
                <w:szCs w:val="20"/>
              </w:rPr>
              <w:t xml:space="preserve">and </w:t>
            </w:r>
            <w:r w:rsidRPr="00644CCA">
              <w:rPr>
                <w:rFonts w:ascii="Times New Roman" w:eastAsia="Times New Roman" w:hAnsi="Times New Roman" w:cs="Times New Roman"/>
                <w:color w:val="000000"/>
                <w:sz w:val="20"/>
                <w:szCs w:val="20"/>
              </w:rPr>
              <w:t xml:space="preserve">applied two more methods in their </w:t>
            </w:r>
            <w:r w:rsidR="00BE0D47" w:rsidRPr="00644CCA">
              <w:rPr>
                <w:rFonts w:ascii="Times New Roman" w:eastAsia="Times New Roman" w:hAnsi="Times New Roman" w:cs="Times New Roman"/>
                <w:color w:val="000000"/>
                <w:sz w:val="20"/>
                <w:szCs w:val="20"/>
              </w:rPr>
              <w:t>research</w:t>
            </w:r>
            <w:r w:rsidRPr="00644CCA">
              <w:rPr>
                <w:rFonts w:ascii="Times New Roman" w:eastAsia="Times New Roman" w:hAnsi="Times New Roman" w:cs="Times New Roman"/>
                <w:color w:val="000000"/>
                <w:sz w:val="20"/>
                <w:szCs w:val="20"/>
              </w:rPr>
              <w:t>.</w:t>
            </w:r>
          </w:p>
        </w:tc>
      </w:tr>
      <w:tr w:rsidR="000C2BDF" w:rsidRPr="00644CCA" w14:paraId="77507EF6" w14:textId="77777777" w:rsidTr="00621097">
        <w:trPr>
          <w:cantSplit/>
          <w:trHeight w:val="20"/>
        </w:trPr>
        <w:tc>
          <w:tcPr>
            <w:tcW w:w="960" w:type="dxa"/>
            <w:vAlign w:val="center"/>
          </w:tcPr>
          <w:p w14:paraId="5643C3BF" w14:textId="77777777" w:rsidR="000C2BDF" w:rsidRPr="00644CCA" w:rsidRDefault="000C2BDF" w:rsidP="00621097">
            <w:pPr>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9</w:t>
            </w:r>
          </w:p>
        </w:tc>
        <w:tc>
          <w:tcPr>
            <w:tcW w:w="1718" w:type="dxa"/>
            <w:vAlign w:val="center"/>
          </w:tcPr>
          <w:p w14:paraId="00B96A61" w14:textId="5FF8CD85" w:rsidR="000C2BDF" w:rsidRPr="00644CCA" w:rsidRDefault="000C2BDF" w:rsidP="00621097">
            <w:pPr>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 xml:space="preserve">Content Analysis/Text </w:t>
            </w:r>
            <w:r w:rsidR="00BE0D47" w:rsidRPr="00644CCA">
              <w:rPr>
                <w:rFonts w:ascii="Times New Roman" w:eastAsia="Times New Roman" w:hAnsi="Times New Roman" w:cs="Times New Roman"/>
                <w:sz w:val="20"/>
                <w:szCs w:val="20"/>
              </w:rPr>
              <w:t>Analysis</w:t>
            </w:r>
          </w:p>
        </w:tc>
        <w:tc>
          <w:tcPr>
            <w:tcW w:w="4927" w:type="dxa"/>
            <w:vAlign w:val="center"/>
          </w:tcPr>
          <w:p w14:paraId="6432C59B" w14:textId="77777777" w:rsidR="000C2BDF" w:rsidRPr="00644CCA" w:rsidRDefault="000C2BDF" w:rsidP="00621097">
            <w:pPr>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Duke (2022); Gao et al. (2020); Pal et al. (2023); Park et al. (2018)</w:t>
            </w:r>
          </w:p>
        </w:tc>
        <w:tc>
          <w:tcPr>
            <w:tcW w:w="6480" w:type="dxa"/>
            <w:vAlign w:val="center"/>
          </w:tcPr>
          <w:p w14:paraId="0AD3B842" w14:textId="0EEBBA4E" w:rsidR="000C2BDF" w:rsidRPr="00644CCA" w:rsidRDefault="000C2BDF" w:rsidP="00621097">
            <w:pPr>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Gao et al. (2020) explored </w:t>
            </w:r>
            <w:r w:rsidR="00CD12EE"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 xml:space="preserve">public perception </w:t>
            </w:r>
            <w:r w:rsidR="00CD12EE" w:rsidRPr="00644CCA">
              <w:rPr>
                <w:rFonts w:ascii="Times New Roman" w:eastAsia="Times New Roman" w:hAnsi="Times New Roman" w:cs="Times New Roman"/>
                <w:color w:val="000000"/>
                <w:sz w:val="20"/>
                <w:szCs w:val="20"/>
              </w:rPr>
              <w:t xml:space="preserve">of </w:t>
            </w:r>
            <w:r w:rsidRPr="00644CCA">
              <w:rPr>
                <w:rFonts w:ascii="Times New Roman" w:eastAsia="Times New Roman" w:hAnsi="Times New Roman" w:cs="Times New Roman"/>
                <w:color w:val="000000"/>
                <w:sz w:val="20"/>
                <w:szCs w:val="20"/>
              </w:rPr>
              <w:t xml:space="preserve">AI in healthcare through content </w:t>
            </w:r>
            <w:r w:rsidRPr="00644CCA">
              <w:rPr>
                <w:rFonts w:ascii="Times New Roman" w:eastAsia="Times New Roman" w:hAnsi="Times New Roman" w:cs="Times New Roman"/>
                <w:sz w:val="20"/>
                <w:szCs w:val="20"/>
              </w:rPr>
              <w:t>analysis</w:t>
            </w:r>
            <w:r w:rsidRPr="00644CCA">
              <w:rPr>
                <w:rFonts w:ascii="Times New Roman" w:eastAsia="Times New Roman" w:hAnsi="Times New Roman" w:cs="Times New Roman"/>
                <w:color w:val="000000"/>
                <w:sz w:val="20"/>
                <w:szCs w:val="20"/>
              </w:rPr>
              <w:t xml:space="preserve"> of data from social media. </w:t>
            </w:r>
            <w:r w:rsidR="00BE0D47" w:rsidRPr="00644CCA">
              <w:rPr>
                <w:rFonts w:ascii="Times New Roman" w:eastAsia="Times New Roman" w:hAnsi="Times New Roman" w:cs="Times New Roman"/>
                <w:color w:val="000000"/>
                <w:sz w:val="20"/>
                <w:szCs w:val="20"/>
              </w:rPr>
              <w:t>Using text analysis, Pal et al. (2023) examined factors affecting customer experiences in mHealth applications</w:t>
            </w:r>
            <w:r w:rsidRPr="00644CCA">
              <w:rPr>
                <w:rFonts w:ascii="Times New Roman" w:eastAsia="Times New Roman" w:hAnsi="Times New Roman" w:cs="Times New Roman"/>
                <w:color w:val="000000"/>
                <w:sz w:val="20"/>
                <w:szCs w:val="20"/>
              </w:rPr>
              <w:t xml:space="preserve">. Other studies have </w:t>
            </w:r>
            <w:r w:rsidRPr="00644CCA">
              <w:rPr>
                <w:rFonts w:ascii="Times New Roman" w:eastAsia="Times New Roman" w:hAnsi="Times New Roman" w:cs="Times New Roman"/>
                <w:sz w:val="20"/>
                <w:szCs w:val="20"/>
              </w:rPr>
              <w:t>utilized</w:t>
            </w:r>
            <w:r w:rsidRPr="00644CCA">
              <w:rPr>
                <w:rFonts w:ascii="Times New Roman" w:eastAsia="Times New Roman" w:hAnsi="Times New Roman" w:cs="Times New Roman"/>
                <w:color w:val="000000"/>
                <w:sz w:val="20"/>
                <w:szCs w:val="20"/>
              </w:rPr>
              <w:t xml:space="preserve"> content </w:t>
            </w:r>
            <w:r w:rsidR="00CD12EE" w:rsidRPr="00644CCA">
              <w:rPr>
                <w:rFonts w:ascii="Times New Roman" w:eastAsia="Times New Roman" w:hAnsi="Times New Roman" w:cs="Times New Roman"/>
                <w:sz w:val="20"/>
                <w:szCs w:val="20"/>
              </w:rPr>
              <w:t>and text analysis for their research</w:t>
            </w:r>
            <w:r w:rsidRPr="00644CCA">
              <w:rPr>
                <w:rFonts w:ascii="Times New Roman" w:eastAsia="Times New Roman" w:hAnsi="Times New Roman" w:cs="Times New Roman"/>
                <w:color w:val="000000"/>
                <w:sz w:val="20"/>
                <w:szCs w:val="20"/>
              </w:rPr>
              <w:t>.</w:t>
            </w:r>
          </w:p>
        </w:tc>
      </w:tr>
    </w:tbl>
    <w:p w14:paraId="66238C0A" w14:textId="77777777" w:rsidR="000C2BDF" w:rsidRPr="00644CCA" w:rsidRDefault="000C2BDF" w:rsidP="000C2BDF">
      <w:pPr>
        <w:spacing w:line="240" w:lineRule="auto"/>
        <w:rPr>
          <w:rFonts w:ascii="Times New Roman" w:eastAsia="Times New Roman" w:hAnsi="Times New Roman" w:cs="Times New Roman"/>
          <w:sz w:val="20"/>
          <w:szCs w:val="20"/>
        </w:rPr>
        <w:sectPr w:rsidR="000C2BDF" w:rsidRPr="00644CCA">
          <w:pgSz w:w="16839" w:h="11907" w:orient="landscape"/>
          <w:pgMar w:top="1440" w:right="1440" w:bottom="1440" w:left="1440" w:header="720" w:footer="720" w:gutter="0"/>
          <w:cols w:space="720"/>
        </w:sectPr>
      </w:pPr>
    </w:p>
    <w:p w14:paraId="518BF64D" w14:textId="2EFC8B54" w:rsidR="000C2BDF" w:rsidRPr="00644CCA" w:rsidRDefault="000C2BDF" w:rsidP="000C2BDF">
      <w:pPr>
        <w:spacing w:line="240" w:lineRule="auto"/>
        <w:jc w:val="both"/>
        <w:rPr>
          <w:rFonts w:ascii="Times New Roman" w:eastAsia="Times New Roman" w:hAnsi="Times New Roman" w:cs="Times New Roman"/>
          <w:i/>
          <w:sz w:val="20"/>
          <w:szCs w:val="20"/>
        </w:rPr>
      </w:pPr>
      <w:r w:rsidRPr="00644CCA">
        <w:rPr>
          <w:rFonts w:ascii="Times New Roman" w:eastAsia="Times New Roman" w:hAnsi="Times New Roman" w:cs="Times New Roman"/>
          <w:b/>
          <w:sz w:val="20"/>
          <w:szCs w:val="20"/>
        </w:rPr>
        <w:lastRenderedPageBreak/>
        <w:t xml:space="preserve">Table </w:t>
      </w:r>
      <w:r w:rsidR="00151BD0" w:rsidRPr="00644CCA">
        <w:rPr>
          <w:rFonts w:ascii="Times New Roman" w:eastAsia="Times New Roman" w:hAnsi="Times New Roman" w:cs="Times New Roman"/>
          <w:b/>
          <w:sz w:val="20"/>
          <w:szCs w:val="20"/>
        </w:rPr>
        <w:t>4</w:t>
      </w:r>
      <w:r w:rsidRPr="00644CCA">
        <w:rPr>
          <w:rFonts w:ascii="Times New Roman" w:eastAsia="Times New Roman" w:hAnsi="Times New Roman" w:cs="Times New Roman"/>
          <w:b/>
          <w:sz w:val="20"/>
          <w:szCs w:val="20"/>
        </w:rPr>
        <w:t xml:space="preserve"> </w:t>
      </w:r>
      <w:r w:rsidRPr="00644CCA">
        <w:rPr>
          <w:rFonts w:ascii="Times New Roman" w:eastAsia="Times New Roman" w:hAnsi="Times New Roman" w:cs="Times New Roman"/>
          <w:iCs/>
          <w:sz w:val="20"/>
          <w:szCs w:val="20"/>
        </w:rPr>
        <w:t>Functionalities depicted in the articles</w:t>
      </w:r>
    </w:p>
    <w:tbl>
      <w:tblPr>
        <w:tblW w:w="14450" w:type="dxa"/>
        <w:tblInd w:w="-133" w:type="dxa"/>
        <w:tblLayout w:type="fixed"/>
        <w:tblLook w:val="0400" w:firstRow="0" w:lastRow="0" w:firstColumn="0" w:lastColumn="0" w:noHBand="0" w:noVBand="1"/>
      </w:tblPr>
      <w:tblGrid>
        <w:gridCol w:w="698"/>
        <w:gridCol w:w="1800"/>
        <w:gridCol w:w="3312"/>
        <w:gridCol w:w="8640"/>
      </w:tblGrid>
      <w:tr w:rsidR="000C2BDF" w:rsidRPr="00644CCA" w14:paraId="61FEAD9A" w14:textId="77777777" w:rsidTr="00621097">
        <w:trPr>
          <w:cantSplit/>
          <w:trHeight w:val="20"/>
          <w:tblHeader/>
        </w:trPr>
        <w:tc>
          <w:tcPr>
            <w:tcW w:w="6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4CA5C" w14:textId="77777777" w:rsidR="000C2BDF" w:rsidRPr="00644CCA" w:rsidRDefault="000C2BDF" w:rsidP="00621097">
            <w:pPr>
              <w:spacing w:after="0" w:line="240" w:lineRule="auto"/>
              <w:jc w:val="center"/>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Sl. No.</w:t>
            </w:r>
          </w:p>
        </w:tc>
        <w:tc>
          <w:tcPr>
            <w:tcW w:w="1800" w:type="dxa"/>
            <w:tcBorders>
              <w:top w:val="single" w:sz="4" w:space="0" w:color="000000"/>
              <w:left w:val="nil"/>
              <w:bottom w:val="single" w:sz="4" w:space="0" w:color="000000"/>
              <w:right w:val="single" w:sz="4" w:space="0" w:color="000000"/>
            </w:tcBorders>
            <w:shd w:val="clear" w:color="auto" w:fill="auto"/>
            <w:vAlign w:val="center"/>
          </w:tcPr>
          <w:p w14:paraId="7883CB7D" w14:textId="77777777" w:rsidR="000C2BDF" w:rsidRPr="00644CCA" w:rsidRDefault="000C2BDF" w:rsidP="00621097">
            <w:pPr>
              <w:spacing w:after="0" w:line="240" w:lineRule="auto"/>
              <w:jc w:val="center"/>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Functionalities</w:t>
            </w:r>
          </w:p>
        </w:tc>
        <w:tc>
          <w:tcPr>
            <w:tcW w:w="3312" w:type="dxa"/>
            <w:tcBorders>
              <w:top w:val="single" w:sz="4" w:space="0" w:color="000000"/>
              <w:left w:val="nil"/>
              <w:bottom w:val="single" w:sz="4" w:space="0" w:color="000000"/>
              <w:right w:val="single" w:sz="4" w:space="0" w:color="000000"/>
            </w:tcBorders>
            <w:shd w:val="clear" w:color="auto" w:fill="auto"/>
            <w:vAlign w:val="center"/>
          </w:tcPr>
          <w:p w14:paraId="732270B8" w14:textId="77777777" w:rsidR="000C2BDF" w:rsidRPr="00644CCA" w:rsidRDefault="000C2BDF" w:rsidP="00621097">
            <w:pPr>
              <w:spacing w:after="0" w:line="240" w:lineRule="auto"/>
              <w:jc w:val="both"/>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Articles</w:t>
            </w:r>
          </w:p>
        </w:tc>
        <w:tc>
          <w:tcPr>
            <w:tcW w:w="8640" w:type="dxa"/>
            <w:tcBorders>
              <w:top w:val="single" w:sz="4" w:space="0" w:color="000000"/>
              <w:left w:val="nil"/>
              <w:bottom w:val="single" w:sz="4" w:space="0" w:color="000000"/>
              <w:right w:val="single" w:sz="4" w:space="0" w:color="000000"/>
            </w:tcBorders>
            <w:shd w:val="clear" w:color="auto" w:fill="auto"/>
            <w:vAlign w:val="center"/>
          </w:tcPr>
          <w:p w14:paraId="0B4B4765" w14:textId="77777777" w:rsidR="000C2BDF" w:rsidRPr="00644CCA" w:rsidRDefault="000C2BDF" w:rsidP="00621097">
            <w:pPr>
              <w:spacing w:after="0" w:line="240" w:lineRule="auto"/>
              <w:jc w:val="both"/>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Remarks</w:t>
            </w:r>
          </w:p>
        </w:tc>
      </w:tr>
      <w:tr w:rsidR="000C2BDF" w:rsidRPr="00644CCA" w14:paraId="2DE04B85" w14:textId="77777777" w:rsidTr="00621097">
        <w:trPr>
          <w:cantSplit/>
          <w:trHeight w:val="20"/>
        </w:trPr>
        <w:tc>
          <w:tcPr>
            <w:tcW w:w="698" w:type="dxa"/>
            <w:tcBorders>
              <w:top w:val="nil"/>
              <w:left w:val="single" w:sz="4" w:space="0" w:color="000000"/>
              <w:bottom w:val="single" w:sz="4" w:space="0" w:color="000000"/>
              <w:right w:val="single" w:sz="4" w:space="0" w:color="000000"/>
            </w:tcBorders>
            <w:shd w:val="clear" w:color="auto" w:fill="auto"/>
            <w:vAlign w:val="center"/>
          </w:tcPr>
          <w:p w14:paraId="0256EAD4"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w:t>
            </w:r>
          </w:p>
        </w:tc>
        <w:tc>
          <w:tcPr>
            <w:tcW w:w="1800" w:type="dxa"/>
            <w:tcBorders>
              <w:top w:val="nil"/>
              <w:left w:val="nil"/>
              <w:bottom w:val="single" w:sz="4" w:space="0" w:color="000000"/>
              <w:right w:val="single" w:sz="4" w:space="0" w:color="000000"/>
            </w:tcBorders>
            <w:shd w:val="clear" w:color="auto" w:fill="auto"/>
            <w:vAlign w:val="center"/>
          </w:tcPr>
          <w:p w14:paraId="5B7B807C" w14:textId="192C1AEE"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AI in healthcare</w:t>
            </w:r>
            <w:r w:rsidR="006E3AC3"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in general</w:t>
            </w:r>
          </w:p>
        </w:tc>
        <w:tc>
          <w:tcPr>
            <w:tcW w:w="3312" w:type="dxa"/>
            <w:tcBorders>
              <w:top w:val="nil"/>
              <w:left w:val="nil"/>
              <w:bottom w:val="single" w:sz="4" w:space="0" w:color="000000"/>
              <w:right w:val="single" w:sz="4" w:space="0" w:color="000000"/>
            </w:tcBorders>
            <w:shd w:val="clear" w:color="auto" w:fill="auto"/>
            <w:vAlign w:val="center"/>
          </w:tcPr>
          <w:p w14:paraId="2BFCFB1A"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Adams et al. (2020); Amann et al. (2020); Bala et al. (2020); Bhatt (2022); Gonsard et al. (2023); Ho et al. (2023); Holliday et al. (2015); Juravle et al. (2020); Jutzi et al. (2020); Lennartz et al. (2021); Liu and Tao (2022); Longoni et al. (2019); Musbahi et al. (2021); Park et al. (2022); Pelly et al. (2023); Schaarup et al. (2023); Stai et al. (2020); Sujan et al. (2022); Yang et al. (2019); Yap et al. (2022); Ye et al. (2019); Zaman et al. (2023)</w:t>
            </w:r>
          </w:p>
          <w:p w14:paraId="2339EE10"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p>
        </w:tc>
        <w:tc>
          <w:tcPr>
            <w:tcW w:w="8640" w:type="dxa"/>
            <w:tcBorders>
              <w:top w:val="nil"/>
              <w:left w:val="nil"/>
              <w:bottom w:val="single" w:sz="4" w:space="0" w:color="000000"/>
              <w:right w:val="single" w:sz="4" w:space="0" w:color="000000"/>
            </w:tcBorders>
            <w:shd w:val="clear" w:color="auto" w:fill="auto"/>
            <w:vAlign w:val="center"/>
          </w:tcPr>
          <w:p w14:paraId="006E9895" w14:textId="1BFCFA29"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Studies show that anthropomorphizing (and </w:t>
            </w:r>
            <w:r w:rsidR="006E3AC3" w:rsidRPr="00644CCA">
              <w:rPr>
                <w:rFonts w:ascii="Times New Roman" w:eastAsia="Times New Roman" w:hAnsi="Times New Roman" w:cs="Times New Roman"/>
                <w:color w:val="000000"/>
                <w:sz w:val="20"/>
                <w:szCs w:val="20"/>
              </w:rPr>
              <w:t>female-gendering</w:t>
            </w:r>
            <w:r w:rsidRPr="00644CCA">
              <w:rPr>
                <w:rFonts w:ascii="Times New Roman" w:eastAsia="Times New Roman" w:hAnsi="Times New Roman" w:cs="Times New Roman"/>
                <w:color w:val="000000"/>
                <w:sz w:val="20"/>
                <w:szCs w:val="20"/>
              </w:rPr>
              <w:t xml:space="preserve">) AI healthcare bots </w:t>
            </w:r>
            <w:r w:rsidR="006E3AC3" w:rsidRPr="00644CCA">
              <w:rPr>
                <w:rFonts w:ascii="Times New Roman" w:eastAsia="Times New Roman" w:hAnsi="Times New Roman" w:cs="Times New Roman"/>
                <w:color w:val="000000"/>
                <w:sz w:val="20"/>
                <w:szCs w:val="20"/>
              </w:rPr>
              <w:t>help</w:t>
            </w:r>
            <w:r w:rsidRPr="00644CCA">
              <w:rPr>
                <w:rFonts w:ascii="Times New Roman" w:eastAsia="Times New Roman" w:hAnsi="Times New Roman" w:cs="Times New Roman"/>
                <w:color w:val="000000"/>
                <w:sz w:val="20"/>
                <w:szCs w:val="20"/>
              </w:rPr>
              <w:t xml:space="preserve"> increase the probability of customer acceptance as they tend to be perceived as more humane. It also helps </w:t>
            </w:r>
            <w:r w:rsidRPr="00644CCA">
              <w:rPr>
                <w:rFonts w:ascii="Times New Roman" w:eastAsia="Times New Roman" w:hAnsi="Times New Roman" w:cs="Times New Roman"/>
                <w:sz w:val="20"/>
                <w:szCs w:val="20"/>
              </w:rPr>
              <w:t>increase credibility</w:t>
            </w:r>
            <w:r w:rsidRPr="00644CCA">
              <w:rPr>
                <w:rFonts w:ascii="Times New Roman" w:eastAsia="Times New Roman" w:hAnsi="Times New Roman" w:cs="Times New Roman"/>
                <w:color w:val="000000"/>
                <w:sz w:val="20"/>
                <w:szCs w:val="20"/>
              </w:rPr>
              <w:t xml:space="preserve"> and trust. Smiling and </w:t>
            </w:r>
            <w:r w:rsidRPr="00644CCA">
              <w:rPr>
                <w:rFonts w:ascii="Times New Roman" w:eastAsia="Times New Roman" w:hAnsi="Times New Roman" w:cs="Times New Roman"/>
                <w:sz w:val="20"/>
                <w:szCs w:val="20"/>
              </w:rPr>
              <w:t>using first</w:t>
            </w:r>
            <w:r w:rsidRPr="00644CCA">
              <w:rPr>
                <w:rFonts w:ascii="Times New Roman" w:eastAsia="Times New Roman" w:hAnsi="Times New Roman" w:cs="Times New Roman"/>
                <w:color w:val="000000"/>
                <w:sz w:val="20"/>
                <w:szCs w:val="20"/>
              </w:rPr>
              <w:t xml:space="preserve"> names by the healthcare AI while dealing with patients also </w:t>
            </w:r>
            <w:r w:rsidR="002B1830" w:rsidRPr="00644CCA">
              <w:rPr>
                <w:rFonts w:ascii="Times New Roman" w:eastAsia="Times New Roman" w:hAnsi="Times New Roman" w:cs="Times New Roman"/>
                <w:color w:val="000000"/>
                <w:sz w:val="20"/>
                <w:szCs w:val="20"/>
              </w:rPr>
              <w:t>positively affects its acceptance level</w:t>
            </w:r>
            <w:r w:rsidRPr="00644CCA">
              <w:rPr>
                <w:rFonts w:ascii="Times New Roman" w:eastAsia="Times New Roman" w:hAnsi="Times New Roman" w:cs="Times New Roman"/>
                <w:color w:val="000000"/>
                <w:sz w:val="20"/>
                <w:szCs w:val="20"/>
              </w:rPr>
              <w:t>. Apart from this, people familiar with the use of technology (the "digital-native" generation) and people who have suffered a chronic ailment and support early detection show the most acceptance of medical AI. Concerns about data protection, impersonality, susceptibility to errors</w:t>
            </w:r>
            <w:r w:rsidR="002B1830"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uniqueness neglect were identified as some of the factors hindering healthcare AI acceptance. Safety assurance practices, safety regulations, ethical considerations</w:t>
            </w:r>
            <w:r w:rsidR="002B1830"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cyber security measures are important aspects of the infusion of AI in healthcare. Also, patients prefer AI-assisted services over AI-performed ones. The use of AI systems is not readily favored as it is perceived to disrupt the clinician-patient relationship. </w:t>
            </w:r>
          </w:p>
        </w:tc>
      </w:tr>
      <w:tr w:rsidR="000C2BDF" w:rsidRPr="00644CCA" w14:paraId="4CCDC0AF" w14:textId="77777777" w:rsidTr="00621097">
        <w:trPr>
          <w:cantSplit/>
          <w:trHeight w:val="20"/>
        </w:trPr>
        <w:tc>
          <w:tcPr>
            <w:tcW w:w="698" w:type="dxa"/>
            <w:tcBorders>
              <w:top w:val="nil"/>
              <w:left w:val="single" w:sz="4" w:space="0" w:color="000000"/>
              <w:bottom w:val="single" w:sz="4" w:space="0" w:color="000000"/>
              <w:right w:val="single" w:sz="4" w:space="0" w:color="000000"/>
            </w:tcBorders>
            <w:shd w:val="clear" w:color="auto" w:fill="auto"/>
            <w:vAlign w:val="center"/>
          </w:tcPr>
          <w:p w14:paraId="10BDFA6C"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2</w:t>
            </w:r>
          </w:p>
        </w:tc>
        <w:tc>
          <w:tcPr>
            <w:tcW w:w="1800" w:type="dxa"/>
            <w:tcBorders>
              <w:top w:val="nil"/>
              <w:left w:val="nil"/>
              <w:bottom w:val="single" w:sz="4" w:space="0" w:color="000000"/>
              <w:right w:val="single" w:sz="4" w:space="0" w:color="000000"/>
            </w:tcBorders>
            <w:shd w:val="clear" w:color="auto" w:fill="auto"/>
            <w:vAlign w:val="center"/>
          </w:tcPr>
          <w:p w14:paraId="633CBCB0"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Diagnosis</w:t>
            </w:r>
          </w:p>
        </w:tc>
        <w:tc>
          <w:tcPr>
            <w:tcW w:w="3312" w:type="dxa"/>
            <w:tcBorders>
              <w:top w:val="nil"/>
              <w:left w:val="nil"/>
              <w:bottom w:val="single" w:sz="4" w:space="0" w:color="000000"/>
              <w:right w:val="single" w:sz="4" w:space="0" w:color="000000"/>
            </w:tcBorders>
            <w:shd w:val="clear" w:color="auto" w:fill="auto"/>
            <w:vAlign w:val="center"/>
          </w:tcPr>
          <w:p w14:paraId="2C1F9E04"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Antes et al. (2021); Haan et al. (2019); Jauk et al. (2021); Keel et al. (2018); Lim et al. (2022); Miller et al. (2020); Nelson et al. (2020); Nurek and Kostopoulou (2023); Ongena et al. (2020); Strohm et al. (2020); Zhang et al. (2021)</w:t>
            </w:r>
          </w:p>
        </w:tc>
        <w:tc>
          <w:tcPr>
            <w:tcW w:w="8640" w:type="dxa"/>
            <w:tcBorders>
              <w:top w:val="nil"/>
              <w:left w:val="nil"/>
              <w:bottom w:val="single" w:sz="4" w:space="0" w:color="000000"/>
              <w:right w:val="single" w:sz="4" w:space="0" w:color="000000"/>
            </w:tcBorders>
            <w:shd w:val="clear" w:color="auto" w:fill="auto"/>
            <w:vAlign w:val="center"/>
          </w:tcPr>
          <w:p w14:paraId="53FDDB2A" w14:textId="05CAB1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In diagnosis, customers usually tend to have a positive attitude </w:t>
            </w:r>
            <w:r w:rsidR="002B1830" w:rsidRPr="00644CCA">
              <w:rPr>
                <w:rFonts w:ascii="Times New Roman" w:eastAsia="Times New Roman" w:hAnsi="Times New Roman" w:cs="Times New Roman"/>
                <w:color w:val="000000"/>
                <w:sz w:val="20"/>
                <w:szCs w:val="20"/>
              </w:rPr>
              <w:t>toward</w:t>
            </w:r>
            <w:r w:rsidRPr="00644CCA">
              <w:rPr>
                <w:rFonts w:ascii="Times New Roman" w:eastAsia="Times New Roman" w:hAnsi="Times New Roman" w:cs="Times New Roman"/>
                <w:color w:val="000000"/>
                <w:sz w:val="20"/>
                <w:szCs w:val="20"/>
              </w:rPr>
              <w:t xml:space="preserve"> healthcare AI. Studies have investigated the implementation of AI in Diabetic Retinography, Skin Cancer Diagnosis, Radiology, Diagnostic Decision aids</w:t>
            </w:r>
            <w:r w:rsidR="002B1830"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w:t>
            </w:r>
            <w:r w:rsidR="002B1830" w:rsidRPr="00644CCA">
              <w:rPr>
                <w:rFonts w:ascii="Times New Roman" w:eastAsia="Times New Roman" w:hAnsi="Times New Roman" w:cs="Times New Roman"/>
                <w:color w:val="000000"/>
                <w:sz w:val="20"/>
                <w:szCs w:val="20"/>
              </w:rPr>
              <w:t>AI-based</w:t>
            </w:r>
            <w:r w:rsidRPr="00644CCA">
              <w:rPr>
                <w:rFonts w:ascii="Times New Roman" w:eastAsia="Times New Roman" w:hAnsi="Times New Roman" w:cs="Times New Roman"/>
                <w:color w:val="000000"/>
                <w:sz w:val="20"/>
                <w:szCs w:val="20"/>
              </w:rPr>
              <w:t xml:space="preserve"> Symptom assessment and advice technology. The general attitude of the patients was that of </w:t>
            </w:r>
            <w:r w:rsidRPr="00644CCA">
              <w:rPr>
                <w:rFonts w:ascii="Times New Roman" w:eastAsia="Times New Roman" w:hAnsi="Times New Roman" w:cs="Times New Roman"/>
                <w:sz w:val="20"/>
                <w:szCs w:val="20"/>
              </w:rPr>
              <w:t>openness</w:t>
            </w:r>
            <w:r w:rsidRPr="00644CCA">
              <w:rPr>
                <w:rFonts w:ascii="Times New Roman" w:eastAsia="Times New Roman" w:hAnsi="Times New Roman" w:cs="Times New Roman"/>
                <w:color w:val="000000"/>
                <w:sz w:val="20"/>
                <w:szCs w:val="20"/>
              </w:rPr>
              <w:t xml:space="preserve"> to AI in these areas if </w:t>
            </w:r>
            <w:r w:rsidR="00A94C57" w:rsidRPr="00644CCA">
              <w:rPr>
                <w:rFonts w:ascii="Times New Roman" w:eastAsia="Times New Roman" w:hAnsi="Times New Roman" w:cs="Times New Roman"/>
                <w:color w:val="000000"/>
                <w:sz w:val="20"/>
                <w:szCs w:val="20"/>
              </w:rPr>
              <w:t>a human healthcare worker operated it</w:t>
            </w:r>
            <w:r w:rsidRPr="00644CCA">
              <w:rPr>
                <w:rFonts w:ascii="Times New Roman" w:eastAsia="Times New Roman" w:hAnsi="Times New Roman" w:cs="Times New Roman"/>
                <w:color w:val="000000"/>
                <w:sz w:val="20"/>
                <w:szCs w:val="20"/>
              </w:rPr>
              <w:t xml:space="preserve">. </w:t>
            </w:r>
          </w:p>
        </w:tc>
      </w:tr>
      <w:tr w:rsidR="000C2BDF" w:rsidRPr="00644CCA" w14:paraId="4D27F46E" w14:textId="77777777" w:rsidTr="00621097">
        <w:trPr>
          <w:cantSplit/>
          <w:trHeight w:val="20"/>
        </w:trPr>
        <w:tc>
          <w:tcPr>
            <w:tcW w:w="698" w:type="dxa"/>
            <w:tcBorders>
              <w:top w:val="nil"/>
              <w:left w:val="single" w:sz="4" w:space="0" w:color="000000"/>
              <w:bottom w:val="single" w:sz="4" w:space="0" w:color="000000"/>
              <w:right w:val="single" w:sz="4" w:space="0" w:color="000000"/>
            </w:tcBorders>
            <w:shd w:val="clear" w:color="auto" w:fill="auto"/>
            <w:vAlign w:val="center"/>
          </w:tcPr>
          <w:p w14:paraId="0C65DF08"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3</w:t>
            </w:r>
          </w:p>
        </w:tc>
        <w:tc>
          <w:tcPr>
            <w:tcW w:w="1800" w:type="dxa"/>
            <w:tcBorders>
              <w:top w:val="nil"/>
              <w:left w:val="nil"/>
              <w:bottom w:val="single" w:sz="4" w:space="0" w:color="000000"/>
              <w:right w:val="single" w:sz="4" w:space="0" w:color="000000"/>
            </w:tcBorders>
            <w:shd w:val="clear" w:color="auto" w:fill="auto"/>
            <w:vAlign w:val="center"/>
          </w:tcPr>
          <w:p w14:paraId="3B29E722" w14:textId="255ED908"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Robotic/</w:t>
            </w:r>
            <w:r w:rsidR="00A94C57" w:rsidRPr="00644CCA">
              <w:rPr>
                <w:rFonts w:ascii="Times New Roman" w:eastAsia="Times New Roman" w:hAnsi="Times New Roman" w:cs="Times New Roman"/>
                <w:sz w:val="20"/>
                <w:szCs w:val="20"/>
              </w:rPr>
              <w:t>Robot-Assisted</w:t>
            </w:r>
            <w:r w:rsidRPr="00644CCA">
              <w:rPr>
                <w:rFonts w:ascii="Times New Roman" w:eastAsia="Times New Roman" w:hAnsi="Times New Roman" w:cs="Times New Roman"/>
                <w:sz w:val="20"/>
                <w:szCs w:val="20"/>
              </w:rPr>
              <w:t xml:space="preserve"> Surgery</w:t>
            </w:r>
          </w:p>
        </w:tc>
        <w:tc>
          <w:tcPr>
            <w:tcW w:w="3312" w:type="dxa"/>
            <w:tcBorders>
              <w:top w:val="nil"/>
              <w:left w:val="nil"/>
              <w:bottom w:val="single" w:sz="4" w:space="0" w:color="000000"/>
              <w:right w:val="single" w:sz="4" w:space="0" w:color="000000"/>
            </w:tcBorders>
            <w:shd w:val="clear" w:color="auto" w:fill="auto"/>
            <w:vAlign w:val="center"/>
          </w:tcPr>
          <w:p w14:paraId="5194EA27"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Algethami et al. (2023); Ammer et al. (2022); Boys et al. (2015); Buabbas et al. (2020); Irani et al. (2016); Liu et al. (2022); McDermott et al. (2020); Muaddi et al. (2022); Palmisciano et al. (2020); Sellens et al. (2021)</w:t>
            </w:r>
          </w:p>
        </w:tc>
        <w:tc>
          <w:tcPr>
            <w:tcW w:w="8640" w:type="dxa"/>
            <w:tcBorders>
              <w:top w:val="nil"/>
              <w:left w:val="nil"/>
              <w:bottom w:val="single" w:sz="4" w:space="0" w:color="000000"/>
              <w:right w:val="single" w:sz="4" w:space="0" w:color="000000"/>
            </w:tcBorders>
            <w:shd w:val="clear" w:color="auto" w:fill="auto"/>
            <w:vAlign w:val="center"/>
          </w:tcPr>
          <w:p w14:paraId="58E7BC19" w14:textId="08815C90"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The acceptance of RAS </w:t>
            </w:r>
            <w:r w:rsidR="00A94C57" w:rsidRPr="00644CCA">
              <w:rPr>
                <w:rFonts w:ascii="Times New Roman" w:eastAsia="Times New Roman" w:hAnsi="Times New Roman" w:cs="Times New Roman"/>
                <w:color w:val="000000"/>
                <w:sz w:val="20"/>
                <w:szCs w:val="20"/>
              </w:rPr>
              <w:t>depends</w:t>
            </w:r>
            <w:r w:rsidRPr="00644CCA">
              <w:rPr>
                <w:rFonts w:ascii="Times New Roman" w:eastAsia="Times New Roman" w:hAnsi="Times New Roman" w:cs="Times New Roman"/>
                <w:color w:val="000000"/>
                <w:sz w:val="20"/>
                <w:szCs w:val="20"/>
              </w:rPr>
              <w:t xml:space="preserve"> on where it is </w:t>
            </w:r>
            <w:r w:rsidR="006E3AC3" w:rsidRPr="00644CCA">
              <w:rPr>
                <w:rFonts w:ascii="Times New Roman" w:eastAsia="Times New Roman" w:hAnsi="Times New Roman" w:cs="Times New Roman"/>
                <w:color w:val="000000"/>
                <w:sz w:val="20"/>
                <w:szCs w:val="20"/>
              </w:rPr>
              <w:t>used,</w:t>
            </w:r>
            <w:r w:rsidRPr="00644CCA">
              <w:rPr>
                <w:rFonts w:ascii="Times New Roman" w:eastAsia="Times New Roman" w:hAnsi="Times New Roman" w:cs="Times New Roman"/>
                <w:color w:val="000000"/>
                <w:sz w:val="20"/>
                <w:szCs w:val="20"/>
              </w:rPr>
              <w:t xml:space="preserve"> e.g., pediatric surgery, </w:t>
            </w:r>
            <w:r w:rsidRPr="00644CCA">
              <w:rPr>
                <w:rFonts w:ascii="Times New Roman" w:eastAsia="Times New Roman" w:hAnsi="Times New Roman" w:cs="Times New Roman"/>
                <w:sz w:val="20"/>
                <w:szCs w:val="20"/>
              </w:rPr>
              <w:t>gynecology</w:t>
            </w:r>
            <w:r w:rsidRPr="00644CCA">
              <w:rPr>
                <w:rFonts w:ascii="Times New Roman" w:eastAsia="Times New Roman" w:hAnsi="Times New Roman" w:cs="Times New Roman"/>
                <w:color w:val="000000"/>
                <w:sz w:val="20"/>
                <w:szCs w:val="20"/>
              </w:rPr>
              <w:t>, neurosurgery</w:t>
            </w:r>
            <w:r w:rsidR="006E3AC3"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etc. Awareness about RAS should be raised among the public. However, it </w:t>
            </w:r>
            <w:r w:rsidR="009938EB" w:rsidRPr="00644CCA">
              <w:rPr>
                <w:rFonts w:ascii="Times New Roman" w:eastAsia="Times New Roman" w:hAnsi="Times New Roman" w:cs="Times New Roman"/>
                <w:color w:val="000000"/>
                <w:sz w:val="20"/>
                <w:szCs w:val="20"/>
              </w:rPr>
              <w:t xml:space="preserve">has been noticed that the rapid RAS incorporation is due more to marketing, surgeon, and hospital factors </w:t>
            </w:r>
            <w:r w:rsidRPr="00644CCA">
              <w:rPr>
                <w:rFonts w:ascii="Times New Roman" w:eastAsia="Times New Roman" w:hAnsi="Times New Roman" w:cs="Times New Roman"/>
                <w:color w:val="000000"/>
                <w:sz w:val="20"/>
                <w:szCs w:val="20"/>
              </w:rPr>
              <w:t>than public demand.</w:t>
            </w:r>
          </w:p>
        </w:tc>
      </w:tr>
      <w:tr w:rsidR="000C2BDF" w:rsidRPr="00644CCA" w14:paraId="26832D12" w14:textId="77777777" w:rsidTr="00621097">
        <w:trPr>
          <w:cantSplit/>
          <w:trHeight w:val="20"/>
        </w:trPr>
        <w:tc>
          <w:tcPr>
            <w:tcW w:w="698" w:type="dxa"/>
            <w:tcBorders>
              <w:top w:val="nil"/>
              <w:left w:val="single" w:sz="4" w:space="0" w:color="000000"/>
              <w:bottom w:val="single" w:sz="4" w:space="0" w:color="000000"/>
              <w:right w:val="single" w:sz="4" w:space="0" w:color="000000"/>
            </w:tcBorders>
            <w:shd w:val="clear" w:color="auto" w:fill="auto"/>
            <w:vAlign w:val="center"/>
          </w:tcPr>
          <w:p w14:paraId="10D908A4"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4</w:t>
            </w:r>
          </w:p>
        </w:tc>
        <w:tc>
          <w:tcPr>
            <w:tcW w:w="1800" w:type="dxa"/>
            <w:tcBorders>
              <w:top w:val="nil"/>
              <w:left w:val="nil"/>
              <w:bottom w:val="single" w:sz="4" w:space="0" w:color="000000"/>
              <w:right w:val="single" w:sz="4" w:space="0" w:color="000000"/>
            </w:tcBorders>
            <w:shd w:val="clear" w:color="auto" w:fill="auto"/>
            <w:vAlign w:val="center"/>
          </w:tcPr>
          <w:p w14:paraId="712D2589"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Wearable devices</w:t>
            </w:r>
          </w:p>
        </w:tc>
        <w:tc>
          <w:tcPr>
            <w:tcW w:w="3312" w:type="dxa"/>
            <w:tcBorders>
              <w:top w:val="nil"/>
              <w:left w:val="nil"/>
              <w:bottom w:val="single" w:sz="4" w:space="0" w:color="000000"/>
              <w:right w:val="single" w:sz="4" w:space="0" w:color="000000"/>
            </w:tcBorders>
            <w:shd w:val="clear" w:color="auto" w:fill="auto"/>
            <w:vAlign w:val="center"/>
          </w:tcPr>
          <w:p w14:paraId="6C05EE2E"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Abouzahra and Ghasemaghaei (2020); Cheung et al. (2021); Hayat et al. (2022); Huarng et al. (2022); Iyanna et al. (2022); Tran et al. (2019); Uzir et al. (2021); Wu et al. (2015)</w:t>
            </w:r>
          </w:p>
        </w:tc>
        <w:tc>
          <w:tcPr>
            <w:tcW w:w="8640" w:type="dxa"/>
            <w:tcBorders>
              <w:top w:val="nil"/>
              <w:left w:val="nil"/>
              <w:bottom w:val="single" w:sz="4" w:space="0" w:color="000000"/>
              <w:right w:val="single" w:sz="4" w:space="0" w:color="000000"/>
            </w:tcBorders>
            <w:shd w:val="clear" w:color="auto" w:fill="auto"/>
            <w:vAlign w:val="center"/>
          </w:tcPr>
          <w:p w14:paraId="3A8F4CD4" w14:textId="5051473F"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The use of wearable devices improves reactivity in care</w:t>
            </w:r>
            <w:r w:rsidR="00A94C57"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but it is an inadequate replacement </w:t>
            </w:r>
            <w:r w:rsidRPr="00644CCA">
              <w:rPr>
                <w:rFonts w:ascii="Times New Roman" w:eastAsia="Times New Roman" w:hAnsi="Times New Roman" w:cs="Times New Roman"/>
                <w:sz w:val="20"/>
                <w:szCs w:val="20"/>
              </w:rPr>
              <w:t>for human</w:t>
            </w:r>
            <w:r w:rsidRPr="00644CCA">
              <w:rPr>
                <w:rFonts w:ascii="Times New Roman" w:eastAsia="Times New Roman" w:hAnsi="Times New Roman" w:cs="Times New Roman"/>
                <w:color w:val="000000"/>
                <w:sz w:val="20"/>
                <w:szCs w:val="20"/>
              </w:rPr>
              <w:t xml:space="preserve"> intelligence. There are also privacy </w:t>
            </w:r>
            <w:r w:rsidRPr="00644CCA">
              <w:rPr>
                <w:rFonts w:ascii="Times New Roman" w:eastAsia="Times New Roman" w:hAnsi="Times New Roman" w:cs="Times New Roman"/>
                <w:sz w:val="20"/>
                <w:szCs w:val="20"/>
              </w:rPr>
              <w:t>concerns</w:t>
            </w:r>
            <w:r w:rsidRPr="00644CCA">
              <w:rPr>
                <w:rFonts w:ascii="Times New Roman" w:eastAsia="Times New Roman" w:hAnsi="Times New Roman" w:cs="Times New Roman"/>
                <w:color w:val="000000"/>
                <w:sz w:val="20"/>
                <w:szCs w:val="20"/>
              </w:rPr>
              <w:t xml:space="preserve"> surrounding its usage.</w:t>
            </w:r>
            <w:r w:rsidRPr="00644CCA">
              <w:rPr>
                <w:rFonts w:ascii="Times New Roman" w:eastAsia="Times New Roman" w:hAnsi="Times New Roman" w:cs="Times New Roman"/>
                <w:sz w:val="20"/>
                <w:szCs w:val="20"/>
              </w:rPr>
              <w:t xml:space="preserve"> (X. Liu et al.</w:t>
            </w:r>
            <w:r w:rsidR="009938EB"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2022; Vallerand</w:t>
            </w:r>
            <w:r w:rsidR="009938EB" w:rsidRPr="00644CCA">
              <w:rPr>
                <w:rFonts w:ascii="Times New Roman" w:eastAsia="Times New Roman" w:hAnsi="Times New Roman" w:cs="Times New Roman"/>
                <w:sz w:val="20"/>
                <w:szCs w:val="20"/>
              </w:rPr>
              <w:t>,</w:t>
            </w:r>
            <w:r w:rsidRPr="00644CCA">
              <w:rPr>
                <w:rFonts w:ascii="Times New Roman" w:eastAsia="Times New Roman" w:hAnsi="Times New Roman" w:cs="Times New Roman"/>
                <w:sz w:val="20"/>
                <w:szCs w:val="20"/>
              </w:rPr>
              <w:t xml:space="preserve"> 1997)</w:t>
            </w:r>
            <w:r w:rsidRPr="00644CCA">
              <w:rPr>
                <w:rFonts w:ascii="Times New Roman" w:eastAsia="Times New Roman" w:hAnsi="Times New Roman" w:cs="Times New Roman"/>
                <w:color w:val="000000"/>
                <w:sz w:val="20"/>
                <w:szCs w:val="20"/>
              </w:rPr>
              <w:t xml:space="preserve">. Huarng et al. (2022) </w:t>
            </w:r>
            <w:r w:rsidR="00A94C57" w:rsidRPr="00644CCA">
              <w:rPr>
                <w:rFonts w:ascii="Times New Roman" w:eastAsia="Times New Roman" w:hAnsi="Times New Roman" w:cs="Times New Roman"/>
                <w:color w:val="000000"/>
                <w:sz w:val="20"/>
                <w:szCs w:val="20"/>
              </w:rPr>
              <w:t>put</w:t>
            </w:r>
            <w:r w:rsidRPr="00644CCA">
              <w:rPr>
                <w:rFonts w:ascii="Times New Roman" w:eastAsia="Times New Roman" w:hAnsi="Times New Roman" w:cs="Times New Roman"/>
                <w:color w:val="000000"/>
                <w:sz w:val="20"/>
                <w:szCs w:val="20"/>
              </w:rPr>
              <w:t xml:space="preserve"> forth an adoption model for wearable devices in healthcare.</w:t>
            </w:r>
          </w:p>
        </w:tc>
      </w:tr>
      <w:tr w:rsidR="000C2BDF" w:rsidRPr="00644CCA" w14:paraId="766C2EF6" w14:textId="77777777" w:rsidTr="00621097">
        <w:trPr>
          <w:cantSplit/>
          <w:trHeight w:val="20"/>
        </w:trPr>
        <w:tc>
          <w:tcPr>
            <w:tcW w:w="698" w:type="dxa"/>
            <w:tcBorders>
              <w:top w:val="nil"/>
              <w:left w:val="single" w:sz="4" w:space="0" w:color="000000"/>
              <w:bottom w:val="single" w:sz="4" w:space="0" w:color="000000"/>
              <w:right w:val="single" w:sz="4" w:space="0" w:color="000000"/>
            </w:tcBorders>
            <w:shd w:val="clear" w:color="auto" w:fill="auto"/>
            <w:vAlign w:val="center"/>
          </w:tcPr>
          <w:p w14:paraId="1164CD08"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lastRenderedPageBreak/>
              <w:t>5</w:t>
            </w:r>
          </w:p>
        </w:tc>
        <w:tc>
          <w:tcPr>
            <w:tcW w:w="1800" w:type="dxa"/>
            <w:tcBorders>
              <w:top w:val="nil"/>
              <w:left w:val="nil"/>
              <w:bottom w:val="single" w:sz="4" w:space="0" w:color="000000"/>
              <w:right w:val="single" w:sz="4" w:space="0" w:color="000000"/>
            </w:tcBorders>
            <w:shd w:val="clear" w:color="auto" w:fill="auto"/>
            <w:vAlign w:val="center"/>
          </w:tcPr>
          <w:p w14:paraId="631A55F0"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Chatbot</w:t>
            </w:r>
          </w:p>
        </w:tc>
        <w:tc>
          <w:tcPr>
            <w:tcW w:w="3312" w:type="dxa"/>
            <w:tcBorders>
              <w:top w:val="nil"/>
              <w:left w:val="nil"/>
              <w:bottom w:val="single" w:sz="4" w:space="0" w:color="000000"/>
              <w:right w:val="single" w:sz="4" w:space="0" w:color="000000"/>
            </w:tcBorders>
            <w:shd w:val="clear" w:color="auto" w:fill="auto"/>
            <w:vAlign w:val="center"/>
          </w:tcPr>
          <w:p w14:paraId="045FD493"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Biro et al. (2023); Jaisie Sin and Cosmin Munteanu (2020); Mishra et al. (2022); Nadarzynski et al. (2019); Nadarzynski et al. (2020); Shahsavar and Chodhury (2023); Wang et al. (2021)</w:t>
            </w:r>
          </w:p>
        </w:tc>
        <w:tc>
          <w:tcPr>
            <w:tcW w:w="8640" w:type="dxa"/>
            <w:tcBorders>
              <w:top w:val="nil"/>
              <w:left w:val="nil"/>
              <w:bottom w:val="single" w:sz="4" w:space="0" w:color="000000"/>
              <w:right w:val="single" w:sz="4" w:space="0" w:color="000000"/>
            </w:tcBorders>
            <w:shd w:val="clear" w:color="auto" w:fill="auto"/>
            <w:vAlign w:val="center"/>
          </w:tcPr>
          <w:p w14:paraId="6B6AAC98" w14:textId="43CA465F"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The adoption of chatbots faces hurdles such as </w:t>
            </w:r>
            <w:r w:rsidR="00A94C57"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digital divide among users, dislike for talking to customers</w:t>
            </w:r>
            <w:r w:rsidR="004D44B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perceived poor IT skills. Playfulness and escapism positively influence hedonic </w:t>
            </w:r>
            <w:r w:rsidR="004D44BB" w:rsidRPr="00644CCA">
              <w:rPr>
                <w:rFonts w:ascii="Times New Roman" w:eastAsia="Times New Roman" w:hAnsi="Times New Roman" w:cs="Times New Roman"/>
                <w:color w:val="000000"/>
                <w:sz w:val="20"/>
                <w:szCs w:val="20"/>
              </w:rPr>
              <w:t>attitudes,</w:t>
            </w:r>
            <w:r w:rsidRPr="00644CCA">
              <w:rPr>
                <w:rFonts w:ascii="Times New Roman" w:eastAsia="Times New Roman" w:hAnsi="Times New Roman" w:cs="Times New Roman"/>
                <w:color w:val="000000"/>
                <w:sz w:val="20"/>
                <w:szCs w:val="20"/>
              </w:rPr>
              <w:t xml:space="preserve"> whereas </w:t>
            </w:r>
            <w:r w:rsidRPr="00644CCA">
              <w:rPr>
                <w:rFonts w:ascii="Times New Roman" w:eastAsia="Times New Roman" w:hAnsi="Times New Roman" w:cs="Times New Roman"/>
                <w:sz w:val="20"/>
                <w:szCs w:val="20"/>
              </w:rPr>
              <w:t>anthropomorphism</w:t>
            </w:r>
            <w:r w:rsidRPr="00644CCA">
              <w:rPr>
                <w:rFonts w:ascii="Times New Roman" w:eastAsia="Times New Roman" w:hAnsi="Times New Roman" w:cs="Times New Roman"/>
                <w:color w:val="000000"/>
                <w:sz w:val="20"/>
                <w:szCs w:val="20"/>
              </w:rPr>
              <w:t>, visual appeal</w:t>
            </w:r>
            <w:r w:rsidR="004D44B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social presence determine utilitarian </w:t>
            </w:r>
            <w:r w:rsidR="006E3AC3" w:rsidRPr="00644CCA">
              <w:rPr>
                <w:rFonts w:ascii="Times New Roman" w:eastAsia="Times New Roman" w:hAnsi="Times New Roman" w:cs="Times New Roman"/>
                <w:color w:val="000000"/>
                <w:sz w:val="20"/>
                <w:szCs w:val="20"/>
              </w:rPr>
              <w:t>perspectives</w:t>
            </w:r>
            <w:r w:rsidRPr="00644CCA">
              <w:rPr>
                <w:rFonts w:ascii="Times New Roman" w:eastAsia="Times New Roman" w:hAnsi="Times New Roman" w:cs="Times New Roman"/>
                <w:color w:val="000000"/>
                <w:sz w:val="20"/>
                <w:szCs w:val="20"/>
              </w:rPr>
              <w:t>.</w:t>
            </w:r>
          </w:p>
        </w:tc>
      </w:tr>
      <w:tr w:rsidR="000C2BDF" w:rsidRPr="00644CCA" w14:paraId="1C025579" w14:textId="77777777" w:rsidTr="00621097">
        <w:trPr>
          <w:cantSplit/>
          <w:trHeight w:val="20"/>
        </w:trPr>
        <w:tc>
          <w:tcPr>
            <w:tcW w:w="698" w:type="dxa"/>
            <w:tcBorders>
              <w:top w:val="nil"/>
              <w:left w:val="single" w:sz="4" w:space="0" w:color="000000"/>
              <w:bottom w:val="single" w:sz="4" w:space="0" w:color="000000"/>
              <w:right w:val="single" w:sz="4" w:space="0" w:color="000000"/>
            </w:tcBorders>
            <w:shd w:val="clear" w:color="auto" w:fill="auto"/>
            <w:vAlign w:val="center"/>
          </w:tcPr>
          <w:p w14:paraId="2F529B5D"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6</w:t>
            </w:r>
          </w:p>
        </w:tc>
        <w:tc>
          <w:tcPr>
            <w:tcW w:w="1800" w:type="dxa"/>
            <w:tcBorders>
              <w:top w:val="nil"/>
              <w:left w:val="nil"/>
              <w:bottom w:val="single" w:sz="4" w:space="0" w:color="000000"/>
              <w:right w:val="single" w:sz="4" w:space="0" w:color="000000"/>
            </w:tcBorders>
            <w:shd w:val="clear" w:color="auto" w:fill="auto"/>
            <w:vAlign w:val="center"/>
          </w:tcPr>
          <w:p w14:paraId="0F1F0C57"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Carebot</w:t>
            </w:r>
          </w:p>
        </w:tc>
        <w:tc>
          <w:tcPr>
            <w:tcW w:w="3312" w:type="dxa"/>
            <w:tcBorders>
              <w:top w:val="nil"/>
              <w:left w:val="nil"/>
              <w:bottom w:val="single" w:sz="4" w:space="0" w:color="000000"/>
              <w:right w:val="single" w:sz="4" w:space="0" w:color="000000"/>
            </w:tcBorders>
            <w:shd w:val="clear" w:color="auto" w:fill="auto"/>
            <w:vAlign w:val="center"/>
          </w:tcPr>
          <w:p w14:paraId="35291902" w14:textId="1321887C"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 xml:space="preserve">Aeknarajindawat, et al. (2023); Andtfolk et al. (2022); Betria et al. (2021); Beuscher et al. (2017); </w:t>
            </w:r>
            <w:r w:rsidR="00060C30" w:rsidRPr="00644CCA">
              <w:rPr>
                <w:rFonts w:ascii="Times New Roman" w:eastAsia="Times New Roman" w:hAnsi="Times New Roman" w:cs="Times New Roman"/>
                <w:sz w:val="20"/>
                <w:szCs w:val="20"/>
              </w:rPr>
              <w:t>Čaić</w:t>
            </w:r>
            <w:r w:rsidRPr="00644CCA">
              <w:rPr>
                <w:rFonts w:ascii="Times New Roman" w:eastAsia="Times New Roman" w:hAnsi="Times New Roman" w:cs="Times New Roman"/>
                <w:sz w:val="20"/>
                <w:szCs w:val="20"/>
              </w:rPr>
              <w:t xml:space="preserve"> et al. (2019); Carradore (2021); Cavallo et al. (2018); Chi et al. (2023); Chita-Tegmark et al. (2019); Harrington et al. (2023); Hebesberger et al. (2017); Holthöwer and Doorn (2023); Mettler et al. (2017); Papadopoulos et al. (2022); Pitardi et al. (2023) </w:t>
            </w:r>
          </w:p>
        </w:tc>
        <w:tc>
          <w:tcPr>
            <w:tcW w:w="8640" w:type="dxa"/>
            <w:tcBorders>
              <w:top w:val="nil"/>
              <w:left w:val="nil"/>
              <w:bottom w:val="single" w:sz="4" w:space="0" w:color="000000"/>
              <w:right w:val="single" w:sz="4" w:space="0" w:color="000000"/>
            </w:tcBorders>
            <w:shd w:val="clear" w:color="auto" w:fill="auto"/>
            <w:vAlign w:val="center"/>
          </w:tcPr>
          <w:p w14:paraId="04B12C6F" w14:textId="71F5629F"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Carebots are greatly helpful </w:t>
            </w:r>
            <w:r w:rsidR="006E3AC3" w:rsidRPr="00644CCA">
              <w:rPr>
                <w:rFonts w:ascii="Times New Roman" w:eastAsia="Times New Roman" w:hAnsi="Times New Roman" w:cs="Times New Roman"/>
                <w:color w:val="000000"/>
                <w:sz w:val="20"/>
                <w:szCs w:val="20"/>
              </w:rPr>
              <w:t>in</w:t>
            </w:r>
            <w:r w:rsidRPr="00644CCA">
              <w:rPr>
                <w:rFonts w:ascii="Times New Roman" w:eastAsia="Times New Roman" w:hAnsi="Times New Roman" w:cs="Times New Roman"/>
                <w:color w:val="000000"/>
                <w:sz w:val="20"/>
                <w:szCs w:val="20"/>
              </w:rPr>
              <w:t xml:space="preserve"> improving the quality of elderly care. Work </w:t>
            </w:r>
            <w:r w:rsidR="006E3AC3" w:rsidRPr="00644CCA">
              <w:rPr>
                <w:rFonts w:ascii="Times New Roman" w:eastAsia="Times New Roman" w:hAnsi="Times New Roman" w:cs="Times New Roman"/>
                <w:color w:val="000000"/>
                <w:sz w:val="20"/>
                <w:szCs w:val="20"/>
              </w:rPr>
              <w:t>must</w:t>
            </w:r>
            <w:r w:rsidRPr="00644CCA">
              <w:rPr>
                <w:rFonts w:ascii="Times New Roman" w:eastAsia="Times New Roman" w:hAnsi="Times New Roman" w:cs="Times New Roman"/>
                <w:color w:val="000000"/>
                <w:sz w:val="20"/>
                <w:szCs w:val="20"/>
              </w:rPr>
              <w:t xml:space="preserve"> be done </w:t>
            </w:r>
            <w:r w:rsidR="004D44BB" w:rsidRPr="00644CCA">
              <w:rPr>
                <w:rFonts w:ascii="Times New Roman" w:eastAsia="Times New Roman" w:hAnsi="Times New Roman" w:cs="Times New Roman"/>
                <w:color w:val="000000"/>
                <w:sz w:val="20"/>
                <w:szCs w:val="20"/>
              </w:rPr>
              <w:t xml:space="preserve">to preserve the fidelity and functionality of dialogue </w:t>
            </w:r>
            <w:r w:rsidR="006E3AC3" w:rsidRPr="00644CCA">
              <w:rPr>
                <w:rFonts w:ascii="Times New Roman" w:eastAsia="Times New Roman" w:hAnsi="Times New Roman" w:cs="Times New Roman"/>
                <w:color w:val="000000"/>
                <w:sz w:val="20"/>
                <w:szCs w:val="20"/>
              </w:rPr>
              <w:t>conversations</w:t>
            </w:r>
            <w:r w:rsidR="004D44BB" w:rsidRPr="00644CCA">
              <w:rPr>
                <w:rFonts w:ascii="Times New Roman" w:eastAsia="Times New Roman" w:hAnsi="Times New Roman" w:cs="Times New Roman"/>
                <w:color w:val="000000"/>
                <w:sz w:val="20"/>
                <w:szCs w:val="20"/>
              </w:rPr>
              <w:t xml:space="preserve"> and ensure the</w:t>
            </w:r>
            <w:r w:rsidRPr="00644CCA">
              <w:rPr>
                <w:rFonts w:ascii="Times New Roman" w:eastAsia="Times New Roman" w:hAnsi="Times New Roman" w:cs="Times New Roman"/>
                <w:color w:val="000000"/>
                <w:sz w:val="20"/>
                <w:szCs w:val="20"/>
              </w:rPr>
              <w:t xml:space="preserve"> safety and security of using healthcare robots. Those with higher educational </w:t>
            </w:r>
            <w:r w:rsidRPr="00644CCA">
              <w:rPr>
                <w:rFonts w:ascii="Times New Roman" w:eastAsia="Times New Roman" w:hAnsi="Times New Roman" w:cs="Times New Roman"/>
                <w:sz w:val="20"/>
                <w:szCs w:val="20"/>
              </w:rPr>
              <w:t>qualifications</w:t>
            </w:r>
            <w:r w:rsidRPr="00644CCA">
              <w:rPr>
                <w:rFonts w:ascii="Times New Roman" w:eastAsia="Times New Roman" w:hAnsi="Times New Roman" w:cs="Times New Roman"/>
                <w:color w:val="000000"/>
                <w:sz w:val="20"/>
                <w:szCs w:val="20"/>
              </w:rPr>
              <w:t xml:space="preserve"> are more welcoming.</w:t>
            </w:r>
          </w:p>
        </w:tc>
      </w:tr>
      <w:tr w:rsidR="000C2BDF" w:rsidRPr="00644CCA" w14:paraId="017D0A36" w14:textId="77777777" w:rsidTr="00621097">
        <w:trPr>
          <w:cantSplit/>
          <w:trHeight w:val="20"/>
        </w:trPr>
        <w:tc>
          <w:tcPr>
            <w:tcW w:w="698" w:type="dxa"/>
            <w:tcBorders>
              <w:top w:val="nil"/>
              <w:left w:val="single" w:sz="4" w:space="0" w:color="000000"/>
              <w:bottom w:val="single" w:sz="4" w:space="0" w:color="000000"/>
              <w:right w:val="single" w:sz="4" w:space="0" w:color="000000"/>
            </w:tcBorders>
            <w:shd w:val="clear" w:color="auto" w:fill="auto"/>
            <w:vAlign w:val="center"/>
          </w:tcPr>
          <w:p w14:paraId="2095D0CF"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7</w:t>
            </w:r>
          </w:p>
        </w:tc>
        <w:tc>
          <w:tcPr>
            <w:tcW w:w="1800" w:type="dxa"/>
            <w:tcBorders>
              <w:top w:val="nil"/>
              <w:left w:val="nil"/>
              <w:bottom w:val="single" w:sz="4" w:space="0" w:color="000000"/>
              <w:right w:val="single" w:sz="4" w:space="0" w:color="000000"/>
            </w:tcBorders>
            <w:shd w:val="clear" w:color="auto" w:fill="auto"/>
            <w:vAlign w:val="center"/>
          </w:tcPr>
          <w:p w14:paraId="2E78647A"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Telemedicine</w:t>
            </w:r>
          </w:p>
        </w:tc>
        <w:tc>
          <w:tcPr>
            <w:tcW w:w="3312" w:type="dxa"/>
            <w:tcBorders>
              <w:top w:val="nil"/>
              <w:left w:val="nil"/>
              <w:bottom w:val="single" w:sz="4" w:space="0" w:color="000000"/>
              <w:right w:val="single" w:sz="4" w:space="0" w:color="000000"/>
            </w:tcBorders>
            <w:shd w:val="clear" w:color="auto" w:fill="auto"/>
            <w:vAlign w:val="center"/>
          </w:tcPr>
          <w:p w14:paraId="5BB3568A" w14:textId="624DB93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Dabla (2021); Lim et al. (202</w:t>
            </w:r>
            <w:r w:rsidR="00CC41CB" w:rsidRPr="00644CCA">
              <w:rPr>
                <w:rFonts w:ascii="Times New Roman" w:eastAsia="Times New Roman" w:hAnsi="Times New Roman" w:cs="Times New Roman"/>
                <w:sz w:val="20"/>
                <w:szCs w:val="20"/>
              </w:rPr>
              <w:t>2</w:t>
            </w:r>
            <w:r w:rsidRPr="00644CCA">
              <w:rPr>
                <w:rFonts w:ascii="Times New Roman" w:eastAsia="Times New Roman" w:hAnsi="Times New Roman" w:cs="Times New Roman"/>
                <w:sz w:val="20"/>
                <w:szCs w:val="20"/>
              </w:rPr>
              <w:t>); Meyer et al. (2020); Nadarzynski et al. (2020); Pal et al. (2023); Ray et al. (2022); Sawrikar and Mote (2022); Zhou et al. (2019)</w:t>
            </w:r>
          </w:p>
        </w:tc>
        <w:tc>
          <w:tcPr>
            <w:tcW w:w="8640" w:type="dxa"/>
            <w:tcBorders>
              <w:top w:val="nil"/>
              <w:left w:val="nil"/>
              <w:bottom w:val="single" w:sz="4" w:space="0" w:color="000000"/>
              <w:right w:val="single" w:sz="4" w:space="0" w:color="000000"/>
            </w:tcBorders>
            <w:shd w:val="clear" w:color="auto" w:fill="auto"/>
            <w:vAlign w:val="center"/>
          </w:tcPr>
          <w:p w14:paraId="0A0BCB25" w14:textId="592A7904"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Telemedicine incorporates technologies such as virtual doctor consultation, symptom </w:t>
            </w:r>
            <w:r w:rsidR="004D44BB" w:rsidRPr="00644CCA">
              <w:rPr>
                <w:rFonts w:ascii="Times New Roman" w:eastAsia="Times New Roman" w:hAnsi="Times New Roman" w:cs="Times New Roman"/>
                <w:color w:val="000000"/>
                <w:sz w:val="20"/>
                <w:szCs w:val="20"/>
              </w:rPr>
              <w:t>checkers,</w:t>
            </w:r>
            <w:r w:rsidRPr="00644CCA">
              <w:rPr>
                <w:rFonts w:ascii="Times New Roman" w:eastAsia="Times New Roman" w:hAnsi="Times New Roman" w:cs="Times New Roman"/>
                <w:color w:val="000000"/>
                <w:sz w:val="20"/>
                <w:szCs w:val="20"/>
              </w:rPr>
              <w:t xml:space="preserve"> etc., which provide seamless access to primary healthcare which is consistent, time-efficient</w:t>
            </w:r>
            <w:r w:rsidR="004D44B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readily available. It also raises concerns regarding harmed </w:t>
            </w:r>
            <w:r w:rsidR="006E3AC3" w:rsidRPr="00644CCA">
              <w:rPr>
                <w:rFonts w:ascii="Times New Roman" w:eastAsia="Times New Roman" w:hAnsi="Times New Roman" w:cs="Times New Roman"/>
                <w:color w:val="000000"/>
                <w:sz w:val="20"/>
                <w:szCs w:val="20"/>
              </w:rPr>
              <w:t>doctor-patient</w:t>
            </w:r>
            <w:r w:rsidRPr="00644CCA">
              <w:rPr>
                <w:rFonts w:ascii="Times New Roman" w:eastAsia="Times New Roman" w:hAnsi="Times New Roman" w:cs="Times New Roman"/>
                <w:color w:val="000000"/>
                <w:sz w:val="20"/>
                <w:szCs w:val="20"/>
              </w:rPr>
              <w:t xml:space="preserve"> </w:t>
            </w:r>
            <w:r w:rsidR="006E3AC3" w:rsidRPr="00644CCA">
              <w:rPr>
                <w:rFonts w:ascii="Times New Roman" w:eastAsia="Times New Roman" w:hAnsi="Times New Roman" w:cs="Times New Roman"/>
                <w:color w:val="000000"/>
                <w:sz w:val="20"/>
                <w:szCs w:val="20"/>
              </w:rPr>
              <w:t>relationships</w:t>
            </w:r>
            <w:r w:rsidRPr="00644CCA">
              <w:rPr>
                <w:rFonts w:ascii="Times New Roman" w:eastAsia="Times New Roman" w:hAnsi="Times New Roman" w:cs="Times New Roman"/>
                <w:color w:val="000000"/>
                <w:sz w:val="20"/>
                <w:szCs w:val="20"/>
              </w:rPr>
              <w:t>, reliability</w:t>
            </w:r>
            <w:r w:rsidR="000E6CFF"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data privacy. Public awareness is needed for the new way of healthcare.</w:t>
            </w:r>
          </w:p>
        </w:tc>
      </w:tr>
      <w:tr w:rsidR="000C2BDF" w:rsidRPr="00644CCA" w14:paraId="4A026672" w14:textId="77777777" w:rsidTr="00621097">
        <w:trPr>
          <w:cantSplit/>
          <w:trHeight w:val="20"/>
        </w:trPr>
        <w:tc>
          <w:tcPr>
            <w:tcW w:w="698" w:type="dxa"/>
            <w:tcBorders>
              <w:top w:val="nil"/>
              <w:left w:val="single" w:sz="4" w:space="0" w:color="000000"/>
              <w:bottom w:val="single" w:sz="4" w:space="0" w:color="000000"/>
              <w:right w:val="single" w:sz="4" w:space="0" w:color="000000"/>
            </w:tcBorders>
            <w:shd w:val="clear" w:color="auto" w:fill="auto"/>
            <w:vAlign w:val="center"/>
          </w:tcPr>
          <w:p w14:paraId="34FD5CD6"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8</w:t>
            </w:r>
          </w:p>
        </w:tc>
        <w:tc>
          <w:tcPr>
            <w:tcW w:w="1800" w:type="dxa"/>
            <w:tcBorders>
              <w:top w:val="nil"/>
              <w:left w:val="nil"/>
              <w:bottom w:val="single" w:sz="4" w:space="0" w:color="000000"/>
              <w:right w:val="single" w:sz="4" w:space="0" w:color="000000"/>
            </w:tcBorders>
            <w:shd w:val="clear" w:color="auto" w:fill="auto"/>
            <w:vAlign w:val="center"/>
          </w:tcPr>
          <w:p w14:paraId="76DF3F74"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sz w:val="20"/>
                <w:szCs w:val="20"/>
              </w:rPr>
              <w:t>Electronic</w:t>
            </w:r>
            <w:r w:rsidRPr="00644CCA">
              <w:rPr>
                <w:rFonts w:ascii="Times New Roman" w:eastAsia="Times New Roman" w:hAnsi="Times New Roman" w:cs="Times New Roman"/>
                <w:color w:val="000000"/>
                <w:sz w:val="20"/>
                <w:szCs w:val="20"/>
              </w:rPr>
              <w:t xml:space="preserve"> health record</w:t>
            </w:r>
          </w:p>
        </w:tc>
        <w:tc>
          <w:tcPr>
            <w:tcW w:w="3312" w:type="dxa"/>
            <w:tcBorders>
              <w:top w:val="nil"/>
              <w:left w:val="nil"/>
              <w:bottom w:val="single" w:sz="4" w:space="0" w:color="000000"/>
              <w:right w:val="single" w:sz="4" w:space="0" w:color="000000"/>
            </w:tcBorders>
            <w:shd w:val="clear" w:color="auto" w:fill="auto"/>
            <w:vAlign w:val="center"/>
          </w:tcPr>
          <w:p w14:paraId="6D9235F1"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Angst and Aggrawal (2009); Bellucci et al. (2020); Martin-Hammond et al. (2019); Zhang et al. (2021a)</w:t>
            </w:r>
          </w:p>
        </w:tc>
        <w:tc>
          <w:tcPr>
            <w:tcW w:w="8640" w:type="dxa"/>
            <w:tcBorders>
              <w:top w:val="nil"/>
              <w:left w:val="nil"/>
              <w:bottom w:val="single" w:sz="4" w:space="0" w:color="000000"/>
              <w:right w:val="single" w:sz="4" w:space="0" w:color="000000"/>
            </w:tcBorders>
            <w:shd w:val="clear" w:color="auto" w:fill="auto"/>
            <w:vAlign w:val="center"/>
          </w:tcPr>
          <w:p w14:paraId="1D2C5D42" w14:textId="7632D338"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EHRs </w:t>
            </w:r>
            <w:r w:rsidR="000E6CFF" w:rsidRPr="00644CCA">
              <w:rPr>
                <w:rFonts w:ascii="Times New Roman" w:eastAsia="Times New Roman" w:hAnsi="Times New Roman" w:cs="Times New Roman"/>
                <w:color w:val="000000"/>
                <w:sz w:val="20"/>
                <w:szCs w:val="20"/>
              </w:rPr>
              <w:t>help share</w:t>
            </w:r>
            <w:r w:rsidRPr="00644CCA">
              <w:rPr>
                <w:rFonts w:ascii="Times New Roman" w:eastAsia="Times New Roman" w:hAnsi="Times New Roman" w:cs="Times New Roman"/>
                <w:color w:val="000000"/>
                <w:sz w:val="20"/>
                <w:szCs w:val="20"/>
              </w:rPr>
              <w:t xml:space="preserve"> anonymized medical data </w:t>
            </w:r>
            <w:r w:rsidR="000E6CFF" w:rsidRPr="00644CCA">
              <w:rPr>
                <w:rFonts w:ascii="Times New Roman" w:eastAsia="Times New Roman" w:hAnsi="Times New Roman" w:cs="Times New Roman"/>
                <w:color w:val="000000"/>
                <w:sz w:val="20"/>
                <w:szCs w:val="20"/>
              </w:rPr>
              <w:t>to</w:t>
            </w:r>
            <w:r w:rsidRPr="00644CCA">
              <w:rPr>
                <w:rFonts w:ascii="Times New Roman" w:eastAsia="Times New Roman" w:hAnsi="Times New Roman" w:cs="Times New Roman"/>
                <w:color w:val="000000"/>
                <w:sz w:val="20"/>
                <w:szCs w:val="20"/>
              </w:rPr>
              <w:t xml:space="preserve"> aid in the development of healthcare AI systems. However, this raises privacy </w:t>
            </w:r>
            <w:r w:rsidRPr="00644CCA">
              <w:rPr>
                <w:rFonts w:ascii="Times New Roman" w:eastAsia="Times New Roman" w:hAnsi="Times New Roman" w:cs="Times New Roman"/>
                <w:sz w:val="20"/>
                <w:szCs w:val="20"/>
              </w:rPr>
              <w:t>concerns</w:t>
            </w:r>
            <w:r w:rsidRPr="00644CCA">
              <w:rPr>
                <w:rFonts w:ascii="Times New Roman" w:eastAsia="Times New Roman" w:hAnsi="Times New Roman" w:cs="Times New Roman"/>
                <w:color w:val="000000"/>
                <w:sz w:val="20"/>
                <w:szCs w:val="20"/>
              </w:rPr>
              <w:t xml:space="preserve"> and jeopardizes its extent of usage among patients. According to Angst and Aga</w:t>
            </w:r>
            <w:r w:rsidR="002D5548" w:rsidRPr="00644CCA">
              <w:rPr>
                <w:rFonts w:ascii="Times New Roman" w:eastAsia="Times New Roman" w:hAnsi="Times New Roman" w:cs="Times New Roman"/>
                <w:color w:val="000000"/>
                <w:sz w:val="20"/>
                <w:szCs w:val="20"/>
              </w:rPr>
              <w:t>r</w:t>
            </w:r>
            <w:r w:rsidRPr="00644CCA">
              <w:rPr>
                <w:rFonts w:ascii="Times New Roman" w:eastAsia="Times New Roman" w:hAnsi="Times New Roman" w:cs="Times New Roman"/>
                <w:color w:val="000000"/>
                <w:sz w:val="20"/>
                <w:szCs w:val="20"/>
              </w:rPr>
              <w:t xml:space="preserve">wal (2009), even when people have </w:t>
            </w:r>
            <w:r w:rsidR="006E3AC3" w:rsidRPr="00644CCA">
              <w:rPr>
                <w:rFonts w:ascii="Times New Roman" w:eastAsia="Times New Roman" w:hAnsi="Times New Roman" w:cs="Times New Roman"/>
                <w:color w:val="000000"/>
                <w:sz w:val="20"/>
                <w:szCs w:val="20"/>
              </w:rPr>
              <w:t>deep</w:t>
            </w:r>
            <w:r w:rsidRPr="00644CCA">
              <w:rPr>
                <w:rFonts w:ascii="Times New Roman" w:eastAsia="Times New Roman" w:hAnsi="Times New Roman" w:cs="Times New Roman"/>
                <w:color w:val="000000"/>
                <w:sz w:val="20"/>
                <w:szCs w:val="20"/>
              </w:rPr>
              <w:t xml:space="preserve"> concerns for privacy, their attitudes can be positively altered with appropriate message framing.</w:t>
            </w:r>
          </w:p>
        </w:tc>
      </w:tr>
      <w:tr w:rsidR="000C2BDF" w:rsidRPr="00644CCA" w14:paraId="433158E9" w14:textId="77777777" w:rsidTr="00621097">
        <w:trPr>
          <w:cantSplit/>
          <w:trHeight w:val="20"/>
        </w:trPr>
        <w:tc>
          <w:tcPr>
            <w:tcW w:w="698" w:type="dxa"/>
            <w:tcBorders>
              <w:top w:val="nil"/>
              <w:left w:val="single" w:sz="4" w:space="0" w:color="000000"/>
              <w:bottom w:val="single" w:sz="4" w:space="0" w:color="000000"/>
              <w:right w:val="single" w:sz="4" w:space="0" w:color="000000"/>
            </w:tcBorders>
            <w:shd w:val="clear" w:color="auto" w:fill="auto"/>
            <w:vAlign w:val="center"/>
          </w:tcPr>
          <w:p w14:paraId="59210977"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9</w:t>
            </w:r>
          </w:p>
        </w:tc>
        <w:tc>
          <w:tcPr>
            <w:tcW w:w="1800" w:type="dxa"/>
            <w:tcBorders>
              <w:top w:val="nil"/>
              <w:left w:val="nil"/>
              <w:bottom w:val="single" w:sz="4" w:space="0" w:color="000000"/>
              <w:right w:val="single" w:sz="4" w:space="0" w:color="000000"/>
            </w:tcBorders>
            <w:shd w:val="clear" w:color="auto" w:fill="auto"/>
            <w:vAlign w:val="center"/>
          </w:tcPr>
          <w:p w14:paraId="63750334"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Clinical decision making</w:t>
            </w:r>
          </w:p>
        </w:tc>
        <w:tc>
          <w:tcPr>
            <w:tcW w:w="3312" w:type="dxa"/>
            <w:tcBorders>
              <w:top w:val="nil"/>
              <w:left w:val="nil"/>
              <w:bottom w:val="single" w:sz="4" w:space="0" w:color="000000"/>
              <w:right w:val="single" w:sz="4" w:space="0" w:color="000000"/>
            </w:tcBorders>
            <w:shd w:val="clear" w:color="auto" w:fill="auto"/>
            <w:vAlign w:val="center"/>
          </w:tcPr>
          <w:p w14:paraId="1B08CE17"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Esmaeilzadeh (2020)</w:t>
            </w:r>
          </w:p>
        </w:tc>
        <w:tc>
          <w:tcPr>
            <w:tcW w:w="8640" w:type="dxa"/>
            <w:tcBorders>
              <w:top w:val="nil"/>
              <w:left w:val="nil"/>
              <w:bottom w:val="single" w:sz="4" w:space="0" w:color="000000"/>
              <w:right w:val="single" w:sz="4" w:space="0" w:color="000000"/>
            </w:tcBorders>
            <w:shd w:val="clear" w:color="auto" w:fill="auto"/>
            <w:vAlign w:val="center"/>
          </w:tcPr>
          <w:p w14:paraId="3BD706EC" w14:textId="0F8EB028"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Esmaeilzadeh (2020) states that </w:t>
            </w:r>
            <w:r w:rsidR="006E3AC3" w:rsidRPr="00644CCA">
              <w:rPr>
                <w:rFonts w:ascii="Times New Roman" w:eastAsia="Times New Roman" w:hAnsi="Times New Roman" w:cs="Times New Roman"/>
                <w:color w:val="000000"/>
                <w:sz w:val="20"/>
                <w:szCs w:val="20"/>
              </w:rPr>
              <w:t>AI-based healthcare tools</w:t>
            </w:r>
            <w:r w:rsidRPr="00644CCA">
              <w:rPr>
                <w:rFonts w:ascii="Times New Roman" w:eastAsia="Times New Roman" w:hAnsi="Times New Roman" w:cs="Times New Roman"/>
                <w:color w:val="000000"/>
                <w:sz w:val="20"/>
                <w:szCs w:val="20"/>
              </w:rPr>
              <w:t xml:space="preserve"> may improve prognosis, diagnostics</w:t>
            </w:r>
            <w:r w:rsidR="006E3AC3"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care planning. However, despite Clinical Decision Support (CDS) systems providing primary and immediate assistance to patients at home, it </w:t>
            </w:r>
            <w:r w:rsidR="00F81CEF" w:rsidRPr="00644CCA">
              <w:rPr>
                <w:rFonts w:ascii="Times New Roman" w:eastAsia="Times New Roman" w:hAnsi="Times New Roman" w:cs="Times New Roman"/>
                <w:color w:val="000000"/>
                <w:sz w:val="20"/>
                <w:szCs w:val="20"/>
              </w:rPr>
              <w:t>only enjoys</w:t>
            </w:r>
            <w:r w:rsidRPr="00644CCA">
              <w:rPr>
                <w:rFonts w:ascii="Times New Roman" w:eastAsia="Times New Roman" w:hAnsi="Times New Roman" w:cs="Times New Roman"/>
                <w:color w:val="000000"/>
                <w:sz w:val="20"/>
                <w:szCs w:val="20"/>
              </w:rPr>
              <w:t xml:space="preserve"> wider </w:t>
            </w:r>
            <w:r w:rsidRPr="00644CCA">
              <w:rPr>
                <w:rFonts w:ascii="Times New Roman" w:eastAsia="Times New Roman" w:hAnsi="Times New Roman" w:cs="Times New Roman"/>
                <w:sz w:val="20"/>
                <w:szCs w:val="20"/>
              </w:rPr>
              <w:t>acceptability</w:t>
            </w:r>
            <w:r w:rsidRPr="00644CCA">
              <w:rPr>
                <w:rFonts w:ascii="Times New Roman" w:eastAsia="Times New Roman" w:hAnsi="Times New Roman" w:cs="Times New Roman"/>
                <w:color w:val="000000"/>
                <w:sz w:val="20"/>
                <w:szCs w:val="20"/>
              </w:rPr>
              <w:t xml:space="preserve"> owing to its novelty and concerns relating to usage.</w:t>
            </w:r>
          </w:p>
        </w:tc>
      </w:tr>
    </w:tbl>
    <w:p w14:paraId="572CBFEE" w14:textId="77777777" w:rsidR="000C2BDF" w:rsidRPr="00644CCA" w:rsidRDefault="000C2BDF" w:rsidP="000C2BDF">
      <w:pPr>
        <w:spacing w:after="0" w:line="240" w:lineRule="auto"/>
        <w:rPr>
          <w:rFonts w:ascii="Times New Roman" w:eastAsia="Times New Roman" w:hAnsi="Times New Roman" w:cs="Times New Roman"/>
          <w:b/>
          <w:sz w:val="20"/>
          <w:szCs w:val="20"/>
        </w:rPr>
        <w:sectPr w:rsidR="000C2BDF" w:rsidRPr="00644CCA" w:rsidSect="00E36C5C">
          <w:pgSz w:w="16839" w:h="11907" w:orient="landscape"/>
          <w:pgMar w:top="1440" w:right="1440" w:bottom="1440" w:left="1440" w:header="720" w:footer="720" w:gutter="0"/>
          <w:cols w:space="720"/>
          <w:docGrid w:linePitch="299"/>
        </w:sectPr>
      </w:pPr>
    </w:p>
    <w:p w14:paraId="3F38336D" w14:textId="77777777" w:rsidR="000C2BDF" w:rsidRPr="00644CCA" w:rsidRDefault="000C2BDF" w:rsidP="000C2BDF">
      <w:pPr>
        <w:spacing w:line="240" w:lineRule="auto"/>
        <w:jc w:val="both"/>
        <w:rPr>
          <w:rFonts w:ascii="Times New Roman" w:eastAsia="Times New Roman" w:hAnsi="Times New Roman" w:cs="Times New Roman"/>
          <w:b/>
          <w:sz w:val="20"/>
          <w:szCs w:val="20"/>
        </w:rPr>
      </w:pPr>
    </w:p>
    <w:p w14:paraId="6A19A6C6" w14:textId="6B008118" w:rsidR="000C2BDF" w:rsidRPr="00644CCA" w:rsidRDefault="000C2BDF" w:rsidP="000C2BDF">
      <w:pPr>
        <w:spacing w:line="240" w:lineRule="auto"/>
        <w:jc w:val="both"/>
        <w:rPr>
          <w:rFonts w:ascii="Times New Roman" w:eastAsia="Times New Roman" w:hAnsi="Times New Roman" w:cs="Times New Roman"/>
          <w:i/>
          <w:sz w:val="20"/>
          <w:szCs w:val="20"/>
        </w:rPr>
      </w:pPr>
      <w:r w:rsidRPr="00644CCA">
        <w:rPr>
          <w:rFonts w:ascii="Times New Roman" w:eastAsia="Times New Roman" w:hAnsi="Times New Roman" w:cs="Times New Roman"/>
          <w:b/>
          <w:sz w:val="20"/>
          <w:szCs w:val="20"/>
        </w:rPr>
        <w:t xml:space="preserve">Table </w:t>
      </w:r>
      <w:r w:rsidR="00151BD0" w:rsidRPr="00644CCA">
        <w:rPr>
          <w:rFonts w:ascii="Times New Roman" w:eastAsia="Times New Roman" w:hAnsi="Times New Roman" w:cs="Times New Roman"/>
          <w:b/>
          <w:sz w:val="20"/>
          <w:szCs w:val="20"/>
        </w:rPr>
        <w:t>5</w:t>
      </w:r>
      <w:r w:rsidRPr="00644CCA">
        <w:rPr>
          <w:rFonts w:ascii="Times New Roman" w:eastAsia="Times New Roman" w:hAnsi="Times New Roman" w:cs="Times New Roman"/>
          <w:b/>
          <w:sz w:val="20"/>
          <w:szCs w:val="20"/>
        </w:rPr>
        <w:t xml:space="preserve"> </w:t>
      </w:r>
      <w:r w:rsidRPr="00644CCA">
        <w:rPr>
          <w:rFonts w:ascii="Times New Roman" w:eastAsia="Times New Roman" w:hAnsi="Times New Roman" w:cs="Times New Roman"/>
          <w:iCs/>
          <w:sz w:val="20"/>
          <w:szCs w:val="20"/>
        </w:rPr>
        <w:t>Constructs used in the articles</w:t>
      </w:r>
    </w:p>
    <w:tbl>
      <w:tblPr>
        <w:tblW w:w="0" w:type="auto"/>
        <w:tblInd w:w="83" w:type="dxa"/>
        <w:tblLayout w:type="fixed"/>
        <w:tblLook w:val="04A0" w:firstRow="1" w:lastRow="0" w:firstColumn="1" w:lastColumn="0" w:noHBand="0" w:noVBand="1"/>
      </w:tblPr>
      <w:tblGrid>
        <w:gridCol w:w="570"/>
        <w:gridCol w:w="1584"/>
        <w:gridCol w:w="2110"/>
        <w:gridCol w:w="3495"/>
        <w:gridCol w:w="6192"/>
      </w:tblGrid>
      <w:tr w:rsidR="000C2BDF" w:rsidRPr="00644CCA" w14:paraId="78D5B8A4" w14:textId="77777777" w:rsidTr="00621097">
        <w:trPr>
          <w:cantSplit/>
          <w:trHeight w:val="20"/>
          <w:tblHeader/>
        </w:trPr>
        <w:tc>
          <w:tcPr>
            <w:tcW w:w="57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51FF363" w14:textId="77777777" w:rsidR="000C2BDF" w:rsidRPr="00644CCA" w:rsidRDefault="000C2BDF" w:rsidP="00621097">
            <w:pPr>
              <w:spacing w:after="0" w:line="240" w:lineRule="auto"/>
              <w:jc w:val="center"/>
              <w:rPr>
                <w:rFonts w:ascii="Times New Roman" w:eastAsia="Times New Roman" w:hAnsi="Times New Roman" w:cs="Times New Roman"/>
                <w:b/>
                <w:bCs/>
                <w:color w:val="000000"/>
                <w:sz w:val="20"/>
                <w:szCs w:val="20"/>
              </w:rPr>
            </w:pPr>
            <w:r w:rsidRPr="00644CCA">
              <w:rPr>
                <w:rFonts w:ascii="Times New Roman" w:eastAsia="Times New Roman" w:hAnsi="Times New Roman" w:cs="Times New Roman"/>
                <w:b/>
                <w:bCs/>
                <w:color w:val="000000"/>
                <w:sz w:val="20"/>
                <w:szCs w:val="20"/>
              </w:rPr>
              <w:t>Sl. No.</w:t>
            </w:r>
          </w:p>
        </w:tc>
        <w:tc>
          <w:tcPr>
            <w:tcW w:w="1584" w:type="dxa"/>
            <w:tcBorders>
              <w:top w:val="single" w:sz="8" w:space="0" w:color="000000"/>
              <w:left w:val="nil"/>
              <w:bottom w:val="single" w:sz="8" w:space="0" w:color="000000"/>
              <w:right w:val="single" w:sz="8" w:space="0" w:color="000000"/>
            </w:tcBorders>
            <w:shd w:val="clear" w:color="auto" w:fill="auto"/>
            <w:vAlign w:val="center"/>
            <w:hideMark/>
          </w:tcPr>
          <w:p w14:paraId="65C907A9" w14:textId="77777777" w:rsidR="000C2BDF" w:rsidRPr="00644CCA" w:rsidRDefault="000C2BDF" w:rsidP="00621097">
            <w:pPr>
              <w:spacing w:after="0" w:line="240" w:lineRule="auto"/>
              <w:jc w:val="center"/>
              <w:rPr>
                <w:rFonts w:ascii="Times New Roman" w:eastAsia="Times New Roman" w:hAnsi="Times New Roman" w:cs="Times New Roman"/>
                <w:b/>
                <w:bCs/>
                <w:color w:val="000000"/>
                <w:sz w:val="20"/>
                <w:szCs w:val="20"/>
              </w:rPr>
            </w:pPr>
            <w:r w:rsidRPr="00644CCA">
              <w:rPr>
                <w:rFonts w:ascii="Times New Roman" w:eastAsia="Times New Roman" w:hAnsi="Times New Roman" w:cs="Times New Roman"/>
                <w:b/>
                <w:bCs/>
                <w:color w:val="000000"/>
                <w:sz w:val="20"/>
                <w:szCs w:val="20"/>
              </w:rPr>
              <w:t>Type of factors</w:t>
            </w:r>
          </w:p>
        </w:tc>
        <w:tc>
          <w:tcPr>
            <w:tcW w:w="2110" w:type="dxa"/>
            <w:tcBorders>
              <w:top w:val="single" w:sz="8" w:space="0" w:color="000000"/>
              <w:left w:val="nil"/>
              <w:bottom w:val="single" w:sz="8" w:space="0" w:color="000000"/>
              <w:right w:val="single" w:sz="8" w:space="0" w:color="000000"/>
            </w:tcBorders>
            <w:shd w:val="clear" w:color="auto" w:fill="auto"/>
            <w:vAlign w:val="center"/>
            <w:hideMark/>
          </w:tcPr>
          <w:p w14:paraId="6C37D168" w14:textId="77777777" w:rsidR="000C2BDF" w:rsidRPr="00644CCA" w:rsidRDefault="000C2BDF" w:rsidP="00621097">
            <w:pPr>
              <w:spacing w:after="0" w:line="240" w:lineRule="auto"/>
              <w:jc w:val="center"/>
              <w:rPr>
                <w:rFonts w:ascii="Times New Roman" w:eastAsia="Times New Roman" w:hAnsi="Times New Roman" w:cs="Times New Roman"/>
                <w:b/>
                <w:bCs/>
                <w:color w:val="000000"/>
                <w:sz w:val="20"/>
                <w:szCs w:val="20"/>
              </w:rPr>
            </w:pPr>
            <w:r w:rsidRPr="00644CCA">
              <w:rPr>
                <w:rFonts w:ascii="Times New Roman" w:eastAsia="Times New Roman" w:hAnsi="Times New Roman" w:cs="Times New Roman"/>
                <w:b/>
                <w:bCs/>
                <w:color w:val="000000"/>
                <w:sz w:val="20"/>
                <w:szCs w:val="20"/>
              </w:rPr>
              <w:t>Constructs</w:t>
            </w:r>
          </w:p>
        </w:tc>
        <w:tc>
          <w:tcPr>
            <w:tcW w:w="3495" w:type="dxa"/>
            <w:tcBorders>
              <w:top w:val="single" w:sz="8" w:space="0" w:color="000000"/>
              <w:left w:val="nil"/>
              <w:bottom w:val="single" w:sz="8" w:space="0" w:color="000000"/>
              <w:right w:val="single" w:sz="8" w:space="0" w:color="000000"/>
            </w:tcBorders>
            <w:shd w:val="clear" w:color="auto" w:fill="auto"/>
            <w:vAlign w:val="center"/>
            <w:hideMark/>
          </w:tcPr>
          <w:p w14:paraId="34697C04" w14:textId="77777777" w:rsidR="000C2BDF" w:rsidRPr="00644CCA" w:rsidRDefault="000C2BDF" w:rsidP="00621097">
            <w:pPr>
              <w:spacing w:after="0" w:line="240" w:lineRule="auto"/>
              <w:jc w:val="center"/>
              <w:rPr>
                <w:rFonts w:ascii="Times New Roman" w:eastAsia="Times New Roman" w:hAnsi="Times New Roman" w:cs="Times New Roman"/>
                <w:b/>
                <w:bCs/>
                <w:color w:val="000000"/>
                <w:sz w:val="20"/>
                <w:szCs w:val="20"/>
              </w:rPr>
            </w:pPr>
            <w:r w:rsidRPr="00644CCA">
              <w:rPr>
                <w:rFonts w:ascii="Times New Roman" w:eastAsia="Times New Roman" w:hAnsi="Times New Roman" w:cs="Times New Roman"/>
                <w:b/>
                <w:bCs/>
                <w:color w:val="000000"/>
                <w:sz w:val="20"/>
                <w:szCs w:val="20"/>
              </w:rPr>
              <w:t>Articles</w:t>
            </w:r>
          </w:p>
        </w:tc>
        <w:tc>
          <w:tcPr>
            <w:tcW w:w="6192" w:type="dxa"/>
            <w:tcBorders>
              <w:top w:val="single" w:sz="8" w:space="0" w:color="000000"/>
              <w:left w:val="nil"/>
              <w:bottom w:val="single" w:sz="8" w:space="0" w:color="000000"/>
              <w:right w:val="single" w:sz="8" w:space="0" w:color="000000"/>
            </w:tcBorders>
            <w:shd w:val="clear" w:color="auto" w:fill="auto"/>
            <w:vAlign w:val="center"/>
            <w:hideMark/>
          </w:tcPr>
          <w:p w14:paraId="4DC77B65" w14:textId="77777777" w:rsidR="000C2BDF" w:rsidRPr="00644CCA" w:rsidRDefault="000C2BDF" w:rsidP="00621097">
            <w:pPr>
              <w:spacing w:after="0" w:line="240" w:lineRule="auto"/>
              <w:jc w:val="center"/>
              <w:rPr>
                <w:rFonts w:ascii="Times New Roman" w:eastAsia="Times New Roman" w:hAnsi="Times New Roman" w:cs="Times New Roman"/>
                <w:b/>
                <w:bCs/>
                <w:color w:val="000000"/>
                <w:sz w:val="20"/>
                <w:szCs w:val="20"/>
              </w:rPr>
            </w:pPr>
            <w:r w:rsidRPr="00644CCA">
              <w:rPr>
                <w:rFonts w:ascii="Times New Roman" w:eastAsia="Times New Roman" w:hAnsi="Times New Roman" w:cs="Times New Roman"/>
                <w:b/>
                <w:bCs/>
                <w:color w:val="000000"/>
                <w:sz w:val="20"/>
                <w:szCs w:val="20"/>
              </w:rPr>
              <w:t>Remarks</w:t>
            </w:r>
          </w:p>
        </w:tc>
      </w:tr>
      <w:tr w:rsidR="000C2BDF" w:rsidRPr="00644CCA" w14:paraId="3B877AED" w14:textId="77777777" w:rsidTr="00621097">
        <w:trPr>
          <w:cantSplit/>
          <w:trHeight w:val="20"/>
        </w:trPr>
        <w:tc>
          <w:tcPr>
            <w:tcW w:w="570" w:type="dxa"/>
            <w:vMerge w:val="restart"/>
            <w:tcBorders>
              <w:top w:val="nil"/>
              <w:left w:val="single" w:sz="8" w:space="0" w:color="000000"/>
              <w:bottom w:val="nil"/>
              <w:right w:val="single" w:sz="8" w:space="0" w:color="000000"/>
            </w:tcBorders>
            <w:shd w:val="clear" w:color="auto" w:fill="auto"/>
            <w:vAlign w:val="center"/>
            <w:hideMark/>
          </w:tcPr>
          <w:p w14:paraId="3A195B72"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w:t>
            </w:r>
          </w:p>
        </w:tc>
        <w:tc>
          <w:tcPr>
            <w:tcW w:w="1584" w:type="dxa"/>
            <w:vMerge w:val="restart"/>
            <w:tcBorders>
              <w:top w:val="nil"/>
              <w:left w:val="single" w:sz="8" w:space="0" w:color="000000"/>
              <w:bottom w:val="nil"/>
              <w:right w:val="single" w:sz="8" w:space="0" w:color="000000"/>
            </w:tcBorders>
            <w:shd w:val="clear" w:color="auto" w:fill="auto"/>
            <w:vAlign w:val="center"/>
            <w:hideMark/>
          </w:tcPr>
          <w:p w14:paraId="79D60598"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Benefits</w:t>
            </w:r>
          </w:p>
        </w:tc>
        <w:tc>
          <w:tcPr>
            <w:tcW w:w="2110" w:type="dxa"/>
            <w:tcBorders>
              <w:top w:val="nil"/>
              <w:left w:val="nil"/>
              <w:bottom w:val="single" w:sz="8" w:space="0" w:color="000000"/>
              <w:right w:val="single" w:sz="8" w:space="0" w:color="000000"/>
            </w:tcBorders>
            <w:shd w:val="clear" w:color="auto" w:fill="auto"/>
            <w:vAlign w:val="center"/>
            <w:hideMark/>
          </w:tcPr>
          <w:p w14:paraId="22A1889D"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Performance efficacy</w:t>
            </w:r>
          </w:p>
        </w:tc>
        <w:tc>
          <w:tcPr>
            <w:tcW w:w="3495" w:type="dxa"/>
            <w:tcBorders>
              <w:top w:val="nil"/>
              <w:left w:val="nil"/>
              <w:bottom w:val="single" w:sz="8" w:space="0" w:color="000000"/>
              <w:right w:val="single" w:sz="8" w:space="0" w:color="000000"/>
            </w:tcBorders>
            <w:shd w:val="clear" w:color="auto" w:fill="auto"/>
            <w:vAlign w:val="center"/>
            <w:hideMark/>
          </w:tcPr>
          <w:p w14:paraId="2A02B432"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Almalki (2021)</w:t>
            </w:r>
          </w:p>
        </w:tc>
        <w:tc>
          <w:tcPr>
            <w:tcW w:w="6192" w:type="dxa"/>
            <w:tcBorders>
              <w:top w:val="nil"/>
              <w:left w:val="nil"/>
              <w:bottom w:val="single" w:sz="8" w:space="0" w:color="000000"/>
              <w:right w:val="single" w:sz="8" w:space="0" w:color="000000"/>
            </w:tcBorders>
            <w:shd w:val="clear" w:color="auto" w:fill="auto"/>
            <w:vAlign w:val="center"/>
            <w:hideMark/>
          </w:tcPr>
          <w:p w14:paraId="44C7AEBE" w14:textId="7369F5AC"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Almalki (2021) operationally defined performance efficacy as the degree to which </w:t>
            </w:r>
            <w:r w:rsidR="00F81CEF" w:rsidRPr="00644CCA">
              <w:rPr>
                <w:rFonts w:ascii="Times New Roman" w:eastAsia="Times New Roman" w:hAnsi="Times New Roman" w:cs="Times New Roman"/>
                <w:color w:val="000000"/>
                <w:sz w:val="20"/>
                <w:szCs w:val="20"/>
              </w:rPr>
              <w:t>AI-based</w:t>
            </w:r>
            <w:r w:rsidRPr="00644CCA">
              <w:rPr>
                <w:rFonts w:ascii="Times New Roman" w:eastAsia="Times New Roman" w:hAnsi="Times New Roman" w:cs="Times New Roman"/>
                <w:color w:val="000000"/>
                <w:sz w:val="20"/>
                <w:szCs w:val="20"/>
              </w:rPr>
              <w:t xml:space="preserve"> solutions can give consistent service to customers.</w:t>
            </w:r>
          </w:p>
        </w:tc>
      </w:tr>
      <w:tr w:rsidR="000C2BDF" w:rsidRPr="00644CCA" w14:paraId="418D2CE1" w14:textId="77777777" w:rsidTr="00621097">
        <w:trPr>
          <w:trHeight w:val="20"/>
        </w:trPr>
        <w:tc>
          <w:tcPr>
            <w:tcW w:w="570" w:type="dxa"/>
            <w:vMerge/>
            <w:tcBorders>
              <w:top w:val="nil"/>
              <w:left w:val="single" w:sz="8" w:space="0" w:color="000000"/>
              <w:bottom w:val="nil"/>
              <w:right w:val="single" w:sz="8" w:space="0" w:color="000000"/>
            </w:tcBorders>
            <w:vAlign w:val="center"/>
            <w:hideMark/>
          </w:tcPr>
          <w:p w14:paraId="5783B003"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nil"/>
              <w:right w:val="single" w:sz="8" w:space="0" w:color="000000"/>
            </w:tcBorders>
            <w:vAlign w:val="center"/>
            <w:hideMark/>
          </w:tcPr>
          <w:p w14:paraId="72043BBA"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27744A34"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Quality and Accuracy</w:t>
            </w:r>
          </w:p>
        </w:tc>
        <w:tc>
          <w:tcPr>
            <w:tcW w:w="3495" w:type="dxa"/>
            <w:tcBorders>
              <w:top w:val="nil"/>
              <w:left w:val="nil"/>
              <w:bottom w:val="single" w:sz="8" w:space="0" w:color="000000"/>
              <w:right w:val="single" w:sz="8" w:space="0" w:color="000000"/>
            </w:tcBorders>
            <w:shd w:val="clear" w:color="auto" w:fill="auto"/>
            <w:vAlign w:val="center"/>
            <w:hideMark/>
          </w:tcPr>
          <w:p w14:paraId="334F7BA4"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437EBD">
              <w:rPr>
                <w:rFonts w:ascii="Times New Roman" w:eastAsia="Times New Roman" w:hAnsi="Times New Roman" w:cs="Times New Roman"/>
                <w:color w:val="000000"/>
                <w:sz w:val="20"/>
                <w:szCs w:val="20"/>
                <w:lang w:val="pt-PT"/>
              </w:rPr>
              <w:t xml:space="preserve">Antes et al. (2021); Uzir et al. </w:t>
            </w:r>
            <w:r w:rsidRPr="00644CCA">
              <w:rPr>
                <w:rFonts w:ascii="Times New Roman" w:eastAsia="Times New Roman" w:hAnsi="Times New Roman" w:cs="Times New Roman"/>
                <w:color w:val="000000"/>
                <w:sz w:val="20"/>
                <w:szCs w:val="20"/>
              </w:rPr>
              <w:t>(2021)</w:t>
            </w:r>
          </w:p>
        </w:tc>
        <w:tc>
          <w:tcPr>
            <w:tcW w:w="6192" w:type="dxa"/>
            <w:tcBorders>
              <w:top w:val="nil"/>
              <w:left w:val="nil"/>
              <w:bottom w:val="single" w:sz="8" w:space="0" w:color="000000"/>
              <w:right w:val="single" w:sz="8" w:space="0" w:color="000000"/>
            </w:tcBorders>
            <w:shd w:val="clear" w:color="auto" w:fill="auto"/>
            <w:vAlign w:val="center"/>
            <w:hideMark/>
          </w:tcPr>
          <w:p w14:paraId="0B4718C0"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Antes et al. (2021) operationally defined quality and accuracy as the expected benefit of AI solutions in increasing the effectiveness of healthcare.</w:t>
            </w:r>
          </w:p>
        </w:tc>
      </w:tr>
      <w:tr w:rsidR="000C2BDF" w:rsidRPr="00644CCA" w14:paraId="0F9A219B" w14:textId="77777777" w:rsidTr="00621097">
        <w:trPr>
          <w:trHeight w:val="20"/>
        </w:trPr>
        <w:tc>
          <w:tcPr>
            <w:tcW w:w="570" w:type="dxa"/>
            <w:vMerge/>
            <w:tcBorders>
              <w:top w:val="nil"/>
              <w:left w:val="single" w:sz="8" w:space="0" w:color="000000"/>
              <w:bottom w:val="nil"/>
              <w:right w:val="single" w:sz="8" w:space="0" w:color="000000"/>
            </w:tcBorders>
            <w:vAlign w:val="center"/>
            <w:hideMark/>
          </w:tcPr>
          <w:p w14:paraId="5FFF973E"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nil"/>
              <w:right w:val="single" w:sz="8" w:space="0" w:color="000000"/>
            </w:tcBorders>
            <w:vAlign w:val="center"/>
            <w:hideMark/>
          </w:tcPr>
          <w:p w14:paraId="6B5A07C1"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77E855F8"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Perceived enjoyment</w:t>
            </w:r>
          </w:p>
        </w:tc>
        <w:tc>
          <w:tcPr>
            <w:tcW w:w="3495" w:type="dxa"/>
            <w:tcBorders>
              <w:top w:val="nil"/>
              <w:left w:val="nil"/>
              <w:bottom w:val="single" w:sz="8" w:space="0" w:color="000000"/>
              <w:right w:val="single" w:sz="8" w:space="0" w:color="000000"/>
            </w:tcBorders>
            <w:shd w:val="clear" w:color="auto" w:fill="auto"/>
            <w:vAlign w:val="center"/>
            <w:hideMark/>
          </w:tcPr>
          <w:p w14:paraId="273709CD"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Liu et al. (2022), Wang et al. (2021)</w:t>
            </w:r>
          </w:p>
        </w:tc>
        <w:tc>
          <w:tcPr>
            <w:tcW w:w="6192" w:type="dxa"/>
            <w:tcBorders>
              <w:top w:val="nil"/>
              <w:left w:val="nil"/>
              <w:bottom w:val="single" w:sz="8" w:space="0" w:color="000000"/>
              <w:right w:val="single" w:sz="8" w:space="0" w:color="000000"/>
            </w:tcBorders>
            <w:shd w:val="clear" w:color="auto" w:fill="auto"/>
            <w:vAlign w:val="center"/>
            <w:hideMark/>
          </w:tcPr>
          <w:p w14:paraId="057FB6F2" w14:textId="024404A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Perceived enjoyment refers to the perception of pleasure when accepting a new technology (X. Liu et al.</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2022; Vallerand</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1997)</w:t>
            </w:r>
          </w:p>
        </w:tc>
      </w:tr>
      <w:tr w:rsidR="000C2BDF" w:rsidRPr="00644CCA" w14:paraId="7CB401F2" w14:textId="77777777" w:rsidTr="00621097">
        <w:trPr>
          <w:trHeight w:val="20"/>
        </w:trPr>
        <w:tc>
          <w:tcPr>
            <w:tcW w:w="570" w:type="dxa"/>
            <w:vMerge/>
            <w:tcBorders>
              <w:top w:val="nil"/>
              <w:left w:val="single" w:sz="8" w:space="0" w:color="000000"/>
              <w:bottom w:val="nil"/>
              <w:right w:val="single" w:sz="8" w:space="0" w:color="000000"/>
            </w:tcBorders>
            <w:vAlign w:val="center"/>
            <w:hideMark/>
          </w:tcPr>
          <w:p w14:paraId="2707F9EC"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nil"/>
              <w:right w:val="single" w:sz="8" w:space="0" w:color="000000"/>
            </w:tcBorders>
            <w:vAlign w:val="center"/>
            <w:hideMark/>
          </w:tcPr>
          <w:p w14:paraId="780B9890"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6FE8D79A"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Access and convenience</w:t>
            </w:r>
          </w:p>
        </w:tc>
        <w:tc>
          <w:tcPr>
            <w:tcW w:w="3495" w:type="dxa"/>
            <w:tcBorders>
              <w:top w:val="nil"/>
              <w:left w:val="nil"/>
              <w:bottom w:val="single" w:sz="8" w:space="0" w:color="000000"/>
              <w:right w:val="single" w:sz="8" w:space="0" w:color="000000"/>
            </w:tcBorders>
            <w:shd w:val="clear" w:color="auto" w:fill="auto"/>
            <w:vAlign w:val="center"/>
            <w:hideMark/>
          </w:tcPr>
          <w:p w14:paraId="52A4228F"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437EBD">
              <w:rPr>
                <w:rFonts w:ascii="Times New Roman" w:eastAsia="Times New Roman" w:hAnsi="Times New Roman" w:cs="Times New Roman"/>
                <w:color w:val="000000"/>
                <w:sz w:val="20"/>
                <w:szCs w:val="20"/>
                <w:lang w:val="pt-PT"/>
              </w:rPr>
              <w:t xml:space="preserve">Antes et al. (2021); Uzir et al. </w:t>
            </w:r>
            <w:r w:rsidRPr="00644CCA">
              <w:rPr>
                <w:rFonts w:ascii="Times New Roman" w:eastAsia="Times New Roman" w:hAnsi="Times New Roman" w:cs="Times New Roman"/>
                <w:color w:val="000000"/>
                <w:sz w:val="20"/>
                <w:szCs w:val="20"/>
              </w:rPr>
              <w:t>(2021)</w:t>
            </w:r>
          </w:p>
        </w:tc>
        <w:tc>
          <w:tcPr>
            <w:tcW w:w="6192" w:type="dxa"/>
            <w:tcBorders>
              <w:top w:val="nil"/>
              <w:left w:val="nil"/>
              <w:bottom w:val="single" w:sz="8" w:space="0" w:color="000000"/>
              <w:right w:val="single" w:sz="8" w:space="0" w:color="000000"/>
            </w:tcBorders>
            <w:shd w:val="clear" w:color="auto" w:fill="auto"/>
            <w:vAlign w:val="center"/>
            <w:hideMark/>
          </w:tcPr>
          <w:p w14:paraId="7DCEAC46" w14:textId="0E4A95C3"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Access and convenience </w:t>
            </w:r>
            <w:r w:rsidR="00F81CEF" w:rsidRPr="00644CCA">
              <w:rPr>
                <w:rFonts w:ascii="Times New Roman" w:eastAsia="Times New Roman" w:hAnsi="Times New Roman" w:cs="Times New Roman"/>
                <w:color w:val="000000"/>
                <w:sz w:val="20"/>
                <w:szCs w:val="20"/>
              </w:rPr>
              <w:t xml:space="preserve">are </w:t>
            </w:r>
            <w:r w:rsidRPr="00644CCA">
              <w:rPr>
                <w:rFonts w:ascii="Times New Roman" w:eastAsia="Times New Roman" w:hAnsi="Times New Roman" w:cs="Times New Roman"/>
                <w:color w:val="000000"/>
                <w:sz w:val="20"/>
                <w:szCs w:val="20"/>
              </w:rPr>
              <w:t xml:space="preserve">operationally defined as the expected benefit of AI in making healthcare </w:t>
            </w:r>
            <w:r w:rsidR="00F81CEF" w:rsidRPr="00644CCA">
              <w:rPr>
                <w:rFonts w:ascii="Times New Roman" w:eastAsia="Times New Roman" w:hAnsi="Times New Roman" w:cs="Times New Roman"/>
                <w:color w:val="000000"/>
                <w:sz w:val="20"/>
                <w:szCs w:val="20"/>
              </w:rPr>
              <w:t>readily</w:t>
            </w:r>
            <w:r w:rsidRPr="00644CCA">
              <w:rPr>
                <w:rFonts w:ascii="Times New Roman" w:eastAsia="Times New Roman" w:hAnsi="Times New Roman" w:cs="Times New Roman"/>
                <w:color w:val="000000"/>
                <w:sz w:val="20"/>
                <w:szCs w:val="20"/>
              </w:rPr>
              <w:t xml:space="preserve"> available to people (Antes et al.</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2021</w:t>
            </w:r>
            <w:r w:rsidRPr="00644CCA">
              <w:rPr>
                <w:rFonts w:ascii="Times New Roman" w:eastAsia="Times New Roman" w:hAnsi="Times New Roman" w:cs="Times New Roman"/>
                <w:color w:val="000000"/>
                <w:sz w:val="20"/>
                <w:szCs w:val="20"/>
              </w:rPr>
              <w:fldChar w:fldCharType="begin"/>
            </w:r>
            <w:r w:rsidRPr="00644CCA">
              <w:rPr>
                <w:rFonts w:ascii="Times New Roman" w:eastAsia="Times New Roman" w:hAnsi="Times New Roman" w:cs="Times New Roman"/>
                <w:color w:val="000000"/>
                <w:sz w:val="20"/>
                <w:szCs w:val="20"/>
              </w:rPr>
              <w:instrText xml:space="preserve"> ADDIN ZOTERO_ITEM CSL_CITATION {"citationID":"IxmKMzhM","properties":{"formattedCitation":"(Mousavi et al., 2022)","plainCitation":"(Mousavi et al., 2022)","noteIndex":0},"citationItems":[{"id":725,"uris":["http://zotero.org/users/11774353/items/SU95DFKM"],"itemData":{"id":725,"type":"article-journal","container-title":"Behaviour &amp; Information Technology","DOI":"10.1080/0144929X.2020.1795258","ISSN":"0144-929X, 1362-3001","issue":"1","journalAbbreviation":"Behaviour &amp; Information Technology","language":"en","page":"51-71","source":"DOI.org (Crossref)","title":"The role of dissonance reduction and co-creation strategies in shaping smart service satisfaction – the case of Uber","volume":"41","author":[{"family":"Mousavi","given":"Reza"},{"family":"Hazarika","given":"Bidyut"},{"family":"Chen","given":"Kuanchin"},{"family":"Rienzo","given":"Thomas"}],"issued":{"date-parts":[["2022",1,2]]}}}],"schema":"https://github.com/citation-style-language/schema/raw/master/csl-citation.json"} </w:instrText>
            </w:r>
            <w:r w:rsidRPr="00644CCA">
              <w:rPr>
                <w:rFonts w:ascii="Times New Roman" w:eastAsia="Times New Roman" w:hAnsi="Times New Roman" w:cs="Times New Roman"/>
                <w:color w:val="000000"/>
                <w:sz w:val="20"/>
                <w:szCs w:val="20"/>
              </w:rPr>
              <w:fldChar w:fldCharType="separate"/>
            </w:r>
            <w:r w:rsidRPr="00644CCA">
              <w:rPr>
                <w:rFonts w:ascii="Times New Roman" w:hAnsi="Times New Roman" w:cs="Times New Roman"/>
                <w:sz w:val="20"/>
                <w:szCs w:val="20"/>
              </w:rPr>
              <w:t>; Mousavi et al.</w:t>
            </w:r>
            <w:r w:rsidR="009938EB" w:rsidRPr="00644CCA">
              <w:rPr>
                <w:rFonts w:ascii="Times New Roman" w:hAnsi="Times New Roman" w:cs="Times New Roman"/>
                <w:sz w:val="20"/>
                <w:szCs w:val="20"/>
              </w:rPr>
              <w:t>,</w:t>
            </w:r>
            <w:r w:rsidRPr="00644CCA">
              <w:rPr>
                <w:rFonts w:ascii="Times New Roman" w:hAnsi="Times New Roman" w:cs="Times New Roman"/>
                <w:sz w:val="20"/>
                <w:szCs w:val="20"/>
              </w:rPr>
              <w:t xml:space="preserve"> 2022)</w:t>
            </w:r>
            <w:r w:rsidRPr="00644CCA">
              <w:rPr>
                <w:rFonts w:ascii="Times New Roman" w:eastAsia="Times New Roman" w:hAnsi="Times New Roman" w:cs="Times New Roman"/>
                <w:color w:val="000000"/>
                <w:sz w:val="20"/>
                <w:szCs w:val="20"/>
              </w:rPr>
              <w:fldChar w:fldCharType="end"/>
            </w:r>
            <w:r w:rsidRPr="00644CCA">
              <w:rPr>
                <w:rFonts w:ascii="Times New Roman" w:eastAsia="Times New Roman" w:hAnsi="Times New Roman" w:cs="Times New Roman"/>
                <w:color w:val="000000"/>
                <w:sz w:val="20"/>
                <w:szCs w:val="20"/>
              </w:rPr>
              <w:t>).</w:t>
            </w:r>
          </w:p>
        </w:tc>
      </w:tr>
      <w:tr w:rsidR="000C2BDF" w:rsidRPr="00644CCA" w14:paraId="52D0B764" w14:textId="77777777" w:rsidTr="00621097">
        <w:trPr>
          <w:trHeight w:val="20"/>
        </w:trPr>
        <w:tc>
          <w:tcPr>
            <w:tcW w:w="570" w:type="dxa"/>
            <w:vMerge/>
            <w:tcBorders>
              <w:top w:val="nil"/>
              <w:left w:val="single" w:sz="8" w:space="0" w:color="000000"/>
              <w:bottom w:val="nil"/>
              <w:right w:val="single" w:sz="8" w:space="0" w:color="000000"/>
            </w:tcBorders>
            <w:vAlign w:val="center"/>
            <w:hideMark/>
          </w:tcPr>
          <w:p w14:paraId="20BB9F52"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nil"/>
              <w:right w:val="single" w:sz="8" w:space="0" w:color="000000"/>
            </w:tcBorders>
            <w:vAlign w:val="center"/>
            <w:hideMark/>
          </w:tcPr>
          <w:p w14:paraId="58DBD0BF"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03E425ED"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Transparency</w:t>
            </w:r>
          </w:p>
        </w:tc>
        <w:tc>
          <w:tcPr>
            <w:tcW w:w="3495" w:type="dxa"/>
            <w:tcBorders>
              <w:top w:val="nil"/>
              <w:left w:val="nil"/>
              <w:bottom w:val="single" w:sz="8" w:space="0" w:color="000000"/>
              <w:right w:val="single" w:sz="8" w:space="0" w:color="000000"/>
            </w:tcBorders>
            <w:shd w:val="clear" w:color="auto" w:fill="auto"/>
            <w:vAlign w:val="center"/>
            <w:hideMark/>
          </w:tcPr>
          <w:p w14:paraId="628FB635"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Antes et al. (2021); Chen et al. (2023); Dai and Tayur (2022); Dinev et al. (2012); Esmaeilzadeh (2021)</w:t>
            </w:r>
          </w:p>
        </w:tc>
        <w:tc>
          <w:tcPr>
            <w:tcW w:w="6192" w:type="dxa"/>
            <w:tcBorders>
              <w:top w:val="nil"/>
              <w:left w:val="nil"/>
              <w:bottom w:val="single" w:sz="8" w:space="0" w:color="000000"/>
              <w:right w:val="single" w:sz="8" w:space="0" w:color="000000"/>
            </w:tcBorders>
            <w:shd w:val="clear" w:color="auto" w:fill="auto"/>
            <w:vAlign w:val="center"/>
            <w:hideMark/>
          </w:tcPr>
          <w:p w14:paraId="3E4E098A" w14:textId="271644AD"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Transparency can be defined as </w:t>
            </w:r>
            <w:r w:rsidR="00F81CEF" w:rsidRPr="00644CCA">
              <w:rPr>
                <w:rFonts w:ascii="Times New Roman" w:eastAsia="Times New Roman" w:hAnsi="Times New Roman" w:cs="Times New Roman"/>
                <w:color w:val="000000"/>
                <w:sz w:val="20"/>
                <w:szCs w:val="20"/>
              </w:rPr>
              <w:t>consumers’ awareness</w:t>
            </w:r>
            <w:r w:rsidRPr="00644CCA">
              <w:rPr>
                <w:rFonts w:ascii="Times New Roman" w:eastAsia="Times New Roman" w:hAnsi="Times New Roman" w:cs="Times New Roman"/>
                <w:color w:val="000000"/>
                <w:sz w:val="20"/>
                <w:szCs w:val="20"/>
              </w:rPr>
              <w:t xml:space="preserve"> regarding the details of data collection, such as what information is being collected and </w:t>
            </w:r>
            <w:r w:rsidR="00F81CEF" w:rsidRPr="00644CCA">
              <w:rPr>
                <w:rFonts w:ascii="Times New Roman" w:eastAsia="Times New Roman" w:hAnsi="Times New Roman" w:cs="Times New Roman"/>
                <w:color w:val="000000"/>
                <w:sz w:val="20"/>
                <w:szCs w:val="20"/>
              </w:rPr>
              <w:t xml:space="preserve">the purpose of information collection </w:t>
            </w:r>
            <w:r w:rsidRPr="00644CCA">
              <w:rPr>
                <w:rFonts w:ascii="Times New Roman" w:eastAsia="Times New Roman" w:hAnsi="Times New Roman" w:cs="Times New Roman"/>
                <w:color w:val="000000"/>
                <w:sz w:val="20"/>
                <w:szCs w:val="20"/>
              </w:rPr>
              <w:t>(Chen et al.</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2023; </w:t>
            </w:r>
            <w:r w:rsidRPr="00644CCA">
              <w:rPr>
                <w:rFonts w:ascii="Times New Roman" w:eastAsia="Times New Roman" w:hAnsi="Times New Roman" w:cs="Times New Roman"/>
                <w:color w:val="000000"/>
                <w:sz w:val="20"/>
                <w:szCs w:val="20"/>
              </w:rPr>
              <w:fldChar w:fldCharType="begin"/>
            </w:r>
            <w:r w:rsidRPr="00644CCA">
              <w:rPr>
                <w:rFonts w:ascii="Times New Roman" w:eastAsia="Times New Roman" w:hAnsi="Times New Roman" w:cs="Times New Roman"/>
                <w:color w:val="000000"/>
                <w:sz w:val="20"/>
                <w:szCs w:val="20"/>
              </w:rPr>
              <w:instrText xml:space="preserve"> ADDIN ZOTERO_ITEM CSL_CITATION {"citationID":"K3n57GRq","properties":{"formattedCitation":"(Morey et al., 2015)","plainCitation":"(Morey et al., 2015)","noteIndex":0},"citationItems":[{"id":726,"uris":["http://zotero.org/users/11774353/items/ZYY5RM75"],"itemData":{"id":726,"type":"document","publisher":"Harvard Business Review","title":"Customer Data: Designing for Transparency and Trust","author":[{"family":"Morey","given":"Timothy"},{"family":"Forbath","given":"Theodore \"Theo\""},{"family":"Schoop","given":"Allison"}],"issued":{"date-parts":[["2015",5]]}}}],"schema":"https://github.com/citation-style-language/schema/raw/master/csl-citation.json"} </w:instrText>
            </w:r>
            <w:r w:rsidRPr="00644CCA">
              <w:rPr>
                <w:rFonts w:ascii="Times New Roman" w:eastAsia="Times New Roman" w:hAnsi="Times New Roman" w:cs="Times New Roman"/>
                <w:color w:val="000000"/>
                <w:sz w:val="20"/>
                <w:szCs w:val="20"/>
              </w:rPr>
              <w:fldChar w:fldCharType="separate"/>
            </w:r>
            <w:r w:rsidRPr="00644CCA">
              <w:rPr>
                <w:rFonts w:ascii="Times New Roman" w:hAnsi="Times New Roman" w:cs="Times New Roman"/>
                <w:sz w:val="20"/>
                <w:szCs w:val="20"/>
              </w:rPr>
              <w:t>Morey et al.</w:t>
            </w:r>
            <w:r w:rsidR="009938EB" w:rsidRPr="00644CCA">
              <w:rPr>
                <w:rFonts w:ascii="Times New Roman" w:hAnsi="Times New Roman" w:cs="Times New Roman"/>
                <w:sz w:val="20"/>
                <w:szCs w:val="20"/>
              </w:rPr>
              <w:t>,</w:t>
            </w:r>
            <w:r w:rsidRPr="00644CCA">
              <w:rPr>
                <w:rFonts w:ascii="Times New Roman" w:hAnsi="Times New Roman" w:cs="Times New Roman"/>
                <w:sz w:val="20"/>
                <w:szCs w:val="20"/>
              </w:rPr>
              <w:t xml:space="preserve"> 2015)</w:t>
            </w:r>
            <w:r w:rsidRPr="00644CCA">
              <w:rPr>
                <w:rFonts w:ascii="Times New Roman" w:eastAsia="Times New Roman" w:hAnsi="Times New Roman" w:cs="Times New Roman"/>
                <w:color w:val="000000"/>
                <w:sz w:val="20"/>
                <w:szCs w:val="20"/>
              </w:rPr>
              <w:fldChar w:fldCharType="end"/>
            </w:r>
            <w:r w:rsidRPr="00644CCA">
              <w:rPr>
                <w:rFonts w:ascii="Times New Roman" w:eastAsia="Times New Roman" w:hAnsi="Times New Roman" w:cs="Times New Roman"/>
                <w:color w:val="000000"/>
                <w:sz w:val="20"/>
                <w:szCs w:val="20"/>
              </w:rPr>
              <w:t>.</w:t>
            </w:r>
          </w:p>
        </w:tc>
      </w:tr>
      <w:tr w:rsidR="000C2BDF" w:rsidRPr="00644CCA" w14:paraId="5AC90FF3" w14:textId="77777777" w:rsidTr="00621097">
        <w:trPr>
          <w:trHeight w:val="20"/>
        </w:trPr>
        <w:tc>
          <w:tcPr>
            <w:tcW w:w="570" w:type="dxa"/>
            <w:vMerge/>
            <w:tcBorders>
              <w:top w:val="nil"/>
              <w:left w:val="single" w:sz="8" w:space="0" w:color="000000"/>
              <w:bottom w:val="nil"/>
              <w:right w:val="single" w:sz="8" w:space="0" w:color="000000"/>
            </w:tcBorders>
            <w:vAlign w:val="center"/>
            <w:hideMark/>
          </w:tcPr>
          <w:p w14:paraId="2C186360"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nil"/>
              <w:right w:val="single" w:sz="8" w:space="0" w:color="000000"/>
            </w:tcBorders>
            <w:vAlign w:val="center"/>
            <w:hideMark/>
          </w:tcPr>
          <w:p w14:paraId="3EA930DE"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7BC48A10"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Health Improvement Expectancy</w:t>
            </w:r>
          </w:p>
        </w:tc>
        <w:tc>
          <w:tcPr>
            <w:tcW w:w="3495" w:type="dxa"/>
            <w:tcBorders>
              <w:top w:val="nil"/>
              <w:left w:val="nil"/>
              <w:bottom w:val="single" w:sz="8" w:space="0" w:color="000000"/>
              <w:right w:val="single" w:sz="8" w:space="0" w:color="000000"/>
            </w:tcBorders>
            <w:shd w:val="clear" w:color="auto" w:fill="auto"/>
            <w:vAlign w:val="center"/>
            <w:hideMark/>
          </w:tcPr>
          <w:p w14:paraId="3DF18AB6"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Hayat et al. (2022)</w:t>
            </w:r>
          </w:p>
        </w:tc>
        <w:tc>
          <w:tcPr>
            <w:tcW w:w="6192" w:type="dxa"/>
            <w:tcBorders>
              <w:top w:val="nil"/>
              <w:left w:val="nil"/>
              <w:bottom w:val="single" w:sz="8" w:space="0" w:color="000000"/>
              <w:right w:val="single" w:sz="8" w:space="0" w:color="000000"/>
            </w:tcBorders>
            <w:shd w:val="clear" w:color="auto" w:fill="auto"/>
            <w:vAlign w:val="center"/>
            <w:hideMark/>
          </w:tcPr>
          <w:p w14:paraId="76634E8B" w14:textId="47166DEC"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Health improvement expectancy can be explained as the personal perception that healthcare solutions make health management easy at </w:t>
            </w:r>
            <w:r w:rsidR="004F608A" w:rsidRPr="00644CCA">
              <w:rPr>
                <w:rFonts w:ascii="Times New Roman" w:eastAsia="Times New Roman" w:hAnsi="Times New Roman" w:cs="Times New Roman"/>
                <w:color w:val="000000"/>
                <w:sz w:val="20"/>
                <w:szCs w:val="20"/>
              </w:rPr>
              <w:t>an</w:t>
            </w:r>
            <w:r w:rsidR="00F81CEF" w:rsidRPr="00644CCA">
              <w:rPr>
                <w:rFonts w:ascii="Times New Roman" w:eastAsia="Times New Roman" w:hAnsi="Times New Roman" w:cs="Times New Roman"/>
                <w:color w:val="000000"/>
                <w:sz w:val="20"/>
                <w:szCs w:val="20"/>
              </w:rPr>
              <w:t xml:space="preserve"> individual</w:t>
            </w:r>
            <w:r w:rsidRPr="00644CCA">
              <w:rPr>
                <w:rFonts w:ascii="Times New Roman" w:eastAsia="Times New Roman" w:hAnsi="Times New Roman" w:cs="Times New Roman"/>
                <w:color w:val="000000"/>
                <w:sz w:val="20"/>
                <w:szCs w:val="20"/>
              </w:rPr>
              <w:t xml:space="preserve"> level (Cimperman et al.</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2016; Hayat et al.</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2022).</w:t>
            </w:r>
          </w:p>
        </w:tc>
      </w:tr>
      <w:tr w:rsidR="000C2BDF" w:rsidRPr="00644CCA" w14:paraId="429DD2E1" w14:textId="77777777" w:rsidTr="00621097">
        <w:trPr>
          <w:trHeight w:val="20"/>
        </w:trPr>
        <w:tc>
          <w:tcPr>
            <w:tcW w:w="570" w:type="dxa"/>
            <w:vMerge/>
            <w:tcBorders>
              <w:top w:val="nil"/>
              <w:left w:val="single" w:sz="8" w:space="0" w:color="000000"/>
              <w:bottom w:val="nil"/>
              <w:right w:val="single" w:sz="8" w:space="0" w:color="000000"/>
            </w:tcBorders>
            <w:vAlign w:val="center"/>
            <w:hideMark/>
          </w:tcPr>
          <w:p w14:paraId="6E75B504"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nil"/>
              <w:right w:val="single" w:sz="8" w:space="0" w:color="000000"/>
            </w:tcBorders>
            <w:vAlign w:val="center"/>
            <w:hideMark/>
          </w:tcPr>
          <w:p w14:paraId="34AE4F31"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1E20E4A4"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Performance Expectancy</w:t>
            </w:r>
          </w:p>
        </w:tc>
        <w:tc>
          <w:tcPr>
            <w:tcW w:w="3495" w:type="dxa"/>
            <w:tcBorders>
              <w:top w:val="nil"/>
              <w:left w:val="nil"/>
              <w:bottom w:val="single" w:sz="8" w:space="0" w:color="000000"/>
              <w:right w:val="single" w:sz="8" w:space="0" w:color="000000"/>
            </w:tcBorders>
            <w:shd w:val="clear" w:color="auto" w:fill="auto"/>
            <w:vAlign w:val="center"/>
            <w:hideMark/>
          </w:tcPr>
          <w:p w14:paraId="6EF0393F"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BenMessaoud et al. (2011); Beuscher et al. (2017); Chi et al. (2023); Gursoy et al. (2019); Shahsavar and Chodhury (2023);</w:t>
            </w:r>
          </w:p>
        </w:tc>
        <w:tc>
          <w:tcPr>
            <w:tcW w:w="6192" w:type="dxa"/>
            <w:tcBorders>
              <w:top w:val="nil"/>
              <w:left w:val="nil"/>
              <w:bottom w:val="single" w:sz="8" w:space="0" w:color="000000"/>
              <w:right w:val="single" w:sz="8" w:space="0" w:color="000000"/>
            </w:tcBorders>
            <w:shd w:val="clear" w:color="auto" w:fill="auto"/>
            <w:vAlign w:val="center"/>
            <w:hideMark/>
          </w:tcPr>
          <w:p w14:paraId="10D125A5" w14:textId="12990E6B"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Performance expectancy has been defined as the degree to which individuals believe that using the system will help them to attain gains in job performance (Venkatesh et al.</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2003). </w:t>
            </w:r>
            <w:r w:rsidR="00134B0D" w:rsidRPr="00644CCA">
              <w:rPr>
                <w:rFonts w:ascii="Times New Roman" w:eastAsia="Times New Roman" w:hAnsi="Times New Roman" w:cs="Times New Roman"/>
                <w:color w:val="000000"/>
                <w:sz w:val="20"/>
                <w:szCs w:val="20"/>
              </w:rPr>
              <w:t>Several</w:t>
            </w:r>
            <w:r w:rsidRPr="00644CCA">
              <w:rPr>
                <w:rFonts w:ascii="Times New Roman" w:eastAsia="Times New Roman" w:hAnsi="Times New Roman" w:cs="Times New Roman"/>
                <w:color w:val="000000"/>
                <w:sz w:val="20"/>
                <w:szCs w:val="20"/>
              </w:rPr>
              <w:t xml:space="preserve"> studies selected for this review have used performance expectancy as a predictor factor.</w:t>
            </w:r>
          </w:p>
        </w:tc>
      </w:tr>
      <w:tr w:rsidR="000C2BDF" w:rsidRPr="00644CCA" w14:paraId="391018E9" w14:textId="77777777" w:rsidTr="00621097">
        <w:trPr>
          <w:trHeight w:val="20"/>
        </w:trPr>
        <w:tc>
          <w:tcPr>
            <w:tcW w:w="570" w:type="dxa"/>
            <w:vMerge/>
            <w:tcBorders>
              <w:top w:val="nil"/>
              <w:left w:val="single" w:sz="8" w:space="0" w:color="000000"/>
              <w:bottom w:val="nil"/>
              <w:right w:val="single" w:sz="8" w:space="0" w:color="000000"/>
            </w:tcBorders>
            <w:vAlign w:val="center"/>
            <w:hideMark/>
          </w:tcPr>
          <w:p w14:paraId="3BAFD476"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nil"/>
              <w:right w:val="single" w:sz="8" w:space="0" w:color="000000"/>
            </w:tcBorders>
            <w:vAlign w:val="center"/>
            <w:hideMark/>
          </w:tcPr>
          <w:p w14:paraId="63767AB9"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534EEC77"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Perceived ease of use</w:t>
            </w:r>
          </w:p>
        </w:tc>
        <w:tc>
          <w:tcPr>
            <w:tcW w:w="3495" w:type="dxa"/>
            <w:tcBorders>
              <w:top w:val="nil"/>
              <w:left w:val="nil"/>
              <w:bottom w:val="single" w:sz="8" w:space="0" w:color="000000"/>
              <w:right w:val="single" w:sz="8" w:space="0" w:color="000000"/>
            </w:tcBorders>
            <w:shd w:val="clear" w:color="auto" w:fill="auto"/>
            <w:vAlign w:val="center"/>
            <w:hideMark/>
          </w:tcPr>
          <w:p w14:paraId="15D2623B"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Huarng et al. (2022); Li and Wang (2022); Liu and Tao (2022); Liu et al. (2022); Sawrikar and Mote (2022); Uzir et al. (2021); Ye et al. (2019)</w:t>
            </w:r>
          </w:p>
        </w:tc>
        <w:tc>
          <w:tcPr>
            <w:tcW w:w="6192" w:type="dxa"/>
            <w:tcBorders>
              <w:top w:val="nil"/>
              <w:left w:val="nil"/>
              <w:bottom w:val="single" w:sz="8" w:space="0" w:color="000000"/>
              <w:right w:val="single" w:sz="8" w:space="0" w:color="000000"/>
            </w:tcBorders>
            <w:shd w:val="clear" w:color="auto" w:fill="auto"/>
            <w:vAlign w:val="center"/>
            <w:hideMark/>
          </w:tcPr>
          <w:p w14:paraId="430F3279" w14:textId="5D026B7C"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Perceived ease of use has been defined as the degree to which individuals believe that using a particular system would enhance their job performance (Davis</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1989). Perceived ease of use is a construct </w:t>
            </w:r>
            <w:r w:rsidR="00F81CEF" w:rsidRPr="00644CCA">
              <w:rPr>
                <w:rFonts w:ascii="Times New Roman" w:eastAsia="Times New Roman" w:hAnsi="Times New Roman" w:cs="Times New Roman"/>
                <w:color w:val="000000"/>
                <w:sz w:val="20"/>
                <w:szCs w:val="20"/>
              </w:rPr>
              <w:t>that</w:t>
            </w:r>
            <w:r w:rsidRPr="00644CCA">
              <w:rPr>
                <w:rFonts w:ascii="Times New Roman" w:eastAsia="Times New Roman" w:hAnsi="Times New Roman" w:cs="Times New Roman"/>
                <w:color w:val="000000"/>
                <w:sz w:val="20"/>
                <w:szCs w:val="20"/>
              </w:rPr>
              <w:t xml:space="preserve"> has been utilized in various contexts of technology acceptance. In customer acceptance </w:t>
            </w:r>
            <w:r w:rsidR="004F608A" w:rsidRPr="00644CCA">
              <w:rPr>
                <w:rFonts w:ascii="Times New Roman" w:eastAsia="Times New Roman" w:hAnsi="Times New Roman" w:cs="Times New Roman"/>
                <w:color w:val="000000"/>
                <w:sz w:val="20"/>
                <w:szCs w:val="20"/>
              </w:rPr>
              <w:t>of AI-based</w:t>
            </w:r>
            <w:r w:rsidRPr="00644CCA">
              <w:rPr>
                <w:rFonts w:ascii="Times New Roman" w:eastAsia="Times New Roman" w:hAnsi="Times New Roman" w:cs="Times New Roman"/>
                <w:color w:val="000000"/>
                <w:sz w:val="20"/>
                <w:szCs w:val="20"/>
              </w:rPr>
              <w:t xml:space="preserve"> healthcare solutions</w:t>
            </w:r>
            <w:r w:rsidR="004F608A" w:rsidRPr="00644CCA">
              <w:rPr>
                <w:rFonts w:ascii="Times New Roman" w:eastAsia="Times New Roman" w:hAnsi="Times New Roman" w:cs="Times New Roman"/>
                <w:color w:val="000000"/>
                <w:sz w:val="20"/>
                <w:szCs w:val="20"/>
              </w:rPr>
              <w:t xml:space="preserve">, many studies have also </w:t>
            </w:r>
            <w:r w:rsidRPr="00644CCA">
              <w:rPr>
                <w:rFonts w:ascii="Times New Roman" w:eastAsia="Times New Roman" w:hAnsi="Times New Roman" w:cs="Times New Roman"/>
                <w:color w:val="000000"/>
                <w:sz w:val="20"/>
                <w:szCs w:val="20"/>
              </w:rPr>
              <w:t xml:space="preserve">perceived ease of use as a predictor of </w:t>
            </w:r>
            <w:r w:rsidR="001812EB" w:rsidRPr="00644CCA">
              <w:rPr>
                <w:rFonts w:ascii="Times New Roman" w:eastAsia="Times New Roman" w:hAnsi="Times New Roman" w:cs="Times New Roman"/>
                <w:color w:val="000000"/>
                <w:sz w:val="20"/>
                <w:szCs w:val="20"/>
              </w:rPr>
              <w:t>behaviour</w:t>
            </w:r>
            <w:r w:rsidRPr="00644CCA">
              <w:rPr>
                <w:rFonts w:ascii="Times New Roman" w:eastAsia="Times New Roman" w:hAnsi="Times New Roman" w:cs="Times New Roman"/>
                <w:color w:val="000000"/>
                <w:sz w:val="20"/>
                <w:szCs w:val="20"/>
              </w:rPr>
              <w:t>al intention.</w:t>
            </w:r>
          </w:p>
        </w:tc>
      </w:tr>
      <w:tr w:rsidR="000C2BDF" w:rsidRPr="00644CCA" w14:paraId="5E275E9A" w14:textId="77777777" w:rsidTr="00621097">
        <w:trPr>
          <w:trHeight w:val="20"/>
        </w:trPr>
        <w:tc>
          <w:tcPr>
            <w:tcW w:w="570" w:type="dxa"/>
            <w:vMerge/>
            <w:tcBorders>
              <w:top w:val="nil"/>
              <w:left w:val="single" w:sz="8" w:space="0" w:color="000000"/>
              <w:bottom w:val="nil"/>
              <w:right w:val="single" w:sz="8" w:space="0" w:color="000000"/>
            </w:tcBorders>
            <w:vAlign w:val="center"/>
            <w:hideMark/>
          </w:tcPr>
          <w:p w14:paraId="39986B07"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nil"/>
              <w:right w:val="single" w:sz="8" w:space="0" w:color="000000"/>
            </w:tcBorders>
            <w:vAlign w:val="center"/>
            <w:hideMark/>
          </w:tcPr>
          <w:p w14:paraId="274EB0DA"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10E375B6"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Perceived usefulness</w:t>
            </w:r>
          </w:p>
        </w:tc>
        <w:tc>
          <w:tcPr>
            <w:tcW w:w="3495" w:type="dxa"/>
            <w:tcBorders>
              <w:top w:val="nil"/>
              <w:left w:val="nil"/>
              <w:bottom w:val="single" w:sz="8" w:space="0" w:color="000000"/>
              <w:right w:val="single" w:sz="8" w:space="0" w:color="000000"/>
            </w:tcBorders>
            <w:shd w:val="clear" w:color="auto" w:fill="auto"/>
            <w:vAlign w:val="center"/>
            <w:hideMark/>
          </w:tcPr>
          <w:p w14:paraId="01278AC8"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Huarng et al. (2022), Liu and Tao (2022), Liu et al (2022), Sawrikar and Mote (2022), Nadarzynski et al 2019, Ye et al 2019, Wang et al. (2021)</w:t>
            </w:r>
          </w:p>
        </w:tc>
        <w:tc>
          <w:tcPr>
            <w:tcW w:w="6192" w:type="dxa"/>
            <w:tcBorders>
              <w:top w:val="nil"/>
              <w:left w:val="nil"/>
              <w:bottom w:val="single" w:sz="8" w:space="0" w:color="000000"/>
              <w:right w:val="single" w:sz="8" w:space="0" w:color="000000"/>
            </w:tcBorders>
            <w:shd w:val="clear" w:color="auto" w:fill="auto"/>
            <w:vAlign w:val="center"/>
            <w:hideMark/>
          </w:tcPr>
          <w:p w14:paraId="6503CEF4" w14:textId="4283D13F"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Perceived usefulness </w:t>
            </w:r>
            <w:r w:rsidR="004F608A" w:rsidRPr="00644CCA">
              <w:rPr>
                <w:rFonts w:ascii="Times New Roman" w:eastAsia="Times New Roman" w:hAnsi="Times New Roman" w:cs="Times New Roman"/>
                <w:color w:val="000000"/>
                <w:sz w:val="20"/>
                <w:szCs w:val="20"/>
              </w:rPr>
              <w:t>is</w:t>
            </w:r>
            <w:r w:rsidRPr="00644CCA">
              <w:rPr>
                <w:rFonts w:ascii="Times New Roman" w:eastAsia="Times New Roman" w:hAnsi="Times New Roman" w:cs="Times New Roman"/>
                <w:color w:val="000000"/>
                <w:sz w:val="20"/>
                <w:szCs w:val="20"/>
              </w:rPr>
              <w:t xml:space="preserve"> “the degree to which a person believes that using a particular system would be free of effort (Davis</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1989). Several studies selected for this review article have used perceived usefulness as an independent variable.</w:t>
            </w:r>
          </w:p>
        </w:tc>
      </w:tr>
      <w:tr w:rsidR="000C2BDF" w:rsidRPr="00644CCA" w14:paraId="3FED6913" w14:textId="77777777" w:rsidTr="00621097">
        <w:trPr>
          <w:cantSplit/>
          <w:trHeight w:val="20"/>
        </w:trPr>
        <w:tc>
          <w:tcPr>
            <w:tcW w:w="57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76517D5"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lastRenderedPageBreak/>
              <w:t>2</w:t>
            </w:r>
          </w:p>
        </w:tc>
        <w:tc>
          <w:tcPr>
            <w:tcW w:w="15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6C5010B5"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Cost</w:t>
            </w:r>
          </w:p>
        </w:tc>
        <w:tc>
          <w:tcPr>
            <w:tcW w:w="2110" w:type="dxa"/>
            <w:tcBorders>
              <w:top w:val="nil"/>
              <w:left w:val="nil"/>
              <w:bottom w:val="single" w:sz="8" w:space="0" w:color="000000"/>
              <w:right w:val="single" w:sz="8" w:space="0" w:color="000000"/>
            </w:tcBorders>
            <w:shd w:val="clear" w:color="auto" w:fill="auto"/>
            <w:vAlign w:val="center"/>
            <w:hideMark/>
          </w:tcPr>
          <w:p w14:paraId="569DD0C9"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Privacy concern</w:t>
            </w:r>
          </w:p>
        </w:tc>
        <w:tc>
          <w:tcPr>
            <w:tcW w:w="3495" w:type="dxa"/>
            <w:tcBorders>
              <w:top w:val="nil"/>
              <w:left w:val="nil"/>
              <w:bottom w:val="single" w:sz="8" w:space="0" w:color="000000"/>
              <w:right w:val="single" w:sz="8" w:space="0" w:color="000000"/>
            </w:tcBorders>
            <w:shd w:val="clear" w:color="auto" w:fill="auto"/>
            <w:vAlign w:val="center"/>
            <w:hideMark/>
          </w:tcPr>
          <w:p w14:paraId="7F5F918C"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Angst and Aggrawal (2009); Antes et al. (2021); Esmaeilzadeh (2020); Esmaeilzadeh (2021)</w:t>
            </w:r>
          </w:p>
        </w:tc>
        <w:tc>
          <w:tcPr>
            <w:tcW w:w="6192" w:type="dxa"/>
            <w:tcBorders>
              <w:top w:val="nil"/>
              <w:left w:val="nil"/>
              <w:bottom w:val="single" w:sz="8" w:space="0" w:color="000000"/>
              <w:right w:val="single" w:sz="8" w:space="0" w:color="000000"/>
            </w:tcBorders>
            <w:shd w:val="clear" w:color="auto" w:fill="auto"/>
            <w:vAlign w:val="center"/>
            <w:hideMark/>
          </w:tcPr>
          <w:p w14:paraId="105FA298" w14:textId="46AA39ED"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Privacy concern is a set of beliefs of individuals regarding the risks and potential </w:t>
            </w:r>
            <w:r w:rsidR="00EB7EE4" w:rsidRPr="00644CCA">
              <w:rPr>
                <w:rFonts w:ascii="Times New Roman" w:eastAsia="Times New Roman" w:hAnsi="Times New Roman" w:cs="Times New Roman"/>
                <w:color w:val="000000"/>
                <w:sz w:val="20"/>
                <w:szCs w:val="20"/>
              </w:rPr>
              <w:t>adverse</w:t>
            </w:r>
            <w:r w:rsidRPr="00644CCA">
              <w:rPr>
                <w:rFonts w:ascii="Times New Roman" w:eastAsia="Times New Roman" w:hAnsi="Times New Roman" w:cs="Times New Roman"/>
                <w:color w:val="000000"/>
                <w:sz w:val="20"/>
                <w:szCs w:val="20"/>
              </w:rPr>
              <w:t xml:space="preserve"> outcomes affiliated with the collection, utilization</w:t>
            </w:r>
            <w:r w:rsidR="00EB7EE4"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and sharing of personal data (Malhotra et al.</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2004). Privacy concern is one of the most </w:t>
            </w:r>
            <w:r w:rsidR="00EB7EE4" w:rsidRPr="00644CCA">
              <w:rPr>
                <w:rFonts w:ascii="Times New Roman" w:eastAsia="Times New Roman" w:hAnsi="Times New Roman" w:cs="Times New Roman"/>
                <w:color w:val="000000"/>
                <w:sz w:val="20"/>
                <w:szCs w:val="20"/>
              </w:rPr>
              <w:t>critical</w:t>
            </w:r>
            <w:r w:rsidRPr="00644CCA">
              <w:rPr>
                <w:rFonts w:ascii="Times New Roman" w:eastAsia="Times New Roman" w:hAnsi="Times New Roman" w:cs="Times New Roman"/>
                <w:color w:val="000000"/>
                <w:sz w:val="20"/>
                <w:szCs w:val="20"/>
              </w:rPr>
              <w:t xml:space="preserve"> factors impacting </w:t>
            </w:r>
            <w:r w:rsidR="001812EB" w:rsidRPr="00644CCA">
              <w:rPr>
                <w:rFonts w:ascii="Times New Roman" w:eastAsia="Times New Roman" w:hAnsi="Times New Roman" w:cs="Times New Roman"/>
                <w:color w:val="000000"/>
                <w:sz w:val="20"/>
                <w:szCs w:val="20"/>
              </w:rPr>
              <w:t>behaviour</w:t>
            </w:r>
            <w:r w:rsidRPr="00644CCA">
              <w:rPr>
                <w:rFonts w:ascii="Times New Roman" w:eastAsia="Times New Roman" w:hAnsi="Times New Roman" w:cs="Times New Roman"/>
                <w:color w:val="000000"/>
                <w:sz w:val="20"/>
                <w:szCs w:val="20"/>
              </w:rPr>
              <w:t xml:space="preserve">al intention in a </w:t>
            </w:r>
            <w:r w:rsidR="00134B0D" w:rsidRPr="00644CCA">
              <w:rPr>
                <w:rFonts w:ascii="Times New Roman" w:eastAsia="Times New Roman" w:hAnsi="Times New Roman" w:cs="Times New Roman"/>
                <w:color w:val="000000"/>
                <w:sz w:val="20"/>
                <w:szCs w:val="20"/>
              </w:rPr>
              <w:t>data-driven</w:t>
            </w:r>
            <w:r w:rsidRPr="00644CCA">
              <w:rPr>
                <w:rFonts w:ascii="Times New Roman" w:eastAsia="Times New Roman" w:hAnsi="Times New Roman" w:cs="Times New Roman"/>
                <w:color w:val="000000"/>
                <w:sz w:val="20"/>
                <w:szCs w:val="20"/>
              </w:rPr>
              <w:t xml:space="preserve"> ecosystem like AI in healthcare.</w:t>
            </w:r>
          </w:p>
        </w:tc>
      </w:tr>
      <w:tr w:rsidR="000C2BDF" w:rsidRPr="00644CCA" w14:paraId="5D5717CA" w14:textId="77777777" w:rsidTr="00621097">
        <w:trPr>
          <w:cantSplit/>
          <w:trHeight w:val="20"/>
        </w:trPr>
        <w:tc>
          <w:tcPr>
            <w:tcW w:w="570" w:type="dxa"/>
            <w:vMerge/>
            <w:tcBorders>
              <w:top w:val="nil"/>
              <w:left w:val="single" w:sz="8" w:space="0" w:color="000000"/>
              <w:bottom w:val="single" w:sz="8" w:space="0" w:color="000000"/>
              <w:right w:val="single" w:sz="8" w:space="0" w:color="000000"/>
            </w:tcBorders>
            <w:vAlign w:val="center"/>
            <w:hideMark/>
          </w:tcPr>
          <w:p w14:paraId="11E4DF2A"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1451F8E5"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27C62A3B"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Effort Expectancy</w:t>
            </w:r>
          </w:p>
        </w:tc>
        <w:tc>
          <w:tcPr>
            <w:tcW w:w="3495" w:type="dxa"/>
            <w:tcBorders>
              <w:top w:val="nil"/>
              <w:left w:val="nil"/>
              <w:bottom w:val="single" w:sz="8" w:space="0" w:color="000000"/>
              <w:right w:val="single" w:sz="8" w:space="0" w:color="000000"/>
            </w:tcBorders>
            <w:shd w:val="clear" w:color="auto" w:fill="auto"/>
            <w:vAlign w:val="center"/>
            <w:hideMark/>
          </w:tcPr>
          <w:p w14:paraId="784EE662"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Hayat et al. (2022); Chi et al. (2023); Gursoy et al. (2019); Beuscher et al. (2017); BenMessaoud et al. (2011)</w:t>
            </w:r>
          </w:p>
        </w:tc>
        <w:tc>
          <w:tcPr>
            <w:tcW w:w="6192" w:type="dxa"/>
            <w:tcBorders>
              <w:top w:val="nil"/>
              <w:left w:val="nil"/>
              <w:bottom w:val="single" w:sz="8" w:space="0" w:color="000000"/>
              <w:right w:val="single" w:sz="8" w:space="0" w:color="000000"/>
            </w:tcBorders>
            <w:shd w:val="clear" w:color="auto" w:fill="auto"/>
            <w:vAlign w:val="center"/>
            <w:hideMark/>
          </w:tcPr>
          <w:p w14:paraId="05E92C59"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Gursoy et al. (2019) defined effort expectancy as a customer attitude that refers to the perceived difficulty of using AI devices.</w:t>
            </w:r>
          </w:p>
        </w:tc>
      </w:tr>
      <w:tr w:rsidR="000C2BDF" w:rsidRPr="00644CCA" w14:paraId="5D563EBB" w14:textId="77777777" w:rsidTr="00621097">
        <w:trPr>
          <w:cantSplit/>
          <w:trHeight w:val="20"/>
        </w:trPr>
        <w:tc>
          <w:tcPr>
            <w:tcW w:w="570" w:type="dxa"/>
            <w:vMerge/>
            <w:tcBorders>
              <w:top w:val="nil"/>
              <w:left w:val="single" w:sz="8" w:space="0" w:color="000000"/>
              <w:bottom w:val="single" w:sz="8" w:space="0" w:color="000000"/>
              <w:right w:val="single" w:sz="8" w:space="0" w:color="000000"/>
            </w:tcBorders>
            <w:vAlign w:val="center"/>
            <w:hideMark/>
          </w:tcPr>
          <w:p w14:paraId="713888D5"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20E6352A"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3A924162"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Perceived risk</w:t>
            </w:r>
          </w:p>
        </w:tc>
        <w:tc>
          <w:tcPr>
            <w:tcW w:w="3495" w:type="dxa"/>
            <w:tcBorders>
              <w:top w:val="nil"/>
              <w:left w:val="nil"/>
              <w:bottom w:val="single" w:sz="8" w:space="0" w:color="000000"/>
              <w:right w:val="single" w:sz="8" w:space="0" w:color="000000"/>
            </w:tcBorders>
            <w:shd w:val="clear" w:color="auto" w:fill="auto"/>
            <w:vAlign w:val="center"/>
            <w:hideMark/>
          </w:tcPr>
          <w:p w14:paraId="17E31E20"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Bansal et al. (2010); Dinev et al. (2012); Esmaeilzadeh (2020); Ou et al. (2022); Ye et al. (2019)</w:t>
            </w:r>
          </w:p>
        </w:tc>
        <w:tc>
          <w:tcPr>
            <w:tcW w:w="6192" w:type="dxa"/>
            <w:tcBorders>
              <w:top w:val="nil"/>
              <w:left w:val="nil"/>
              <w:bottom w:val="single" w:sz="8" w:space="0" w:color="000000"/>
              <w:right w:val="single" w:sz="8" w:space="0" w:color="000000"/>
            </w:tcBorders>
            <w:shd w:val="clear" w:color="auto" w:fill="auto"/>
            <w:vAlign w:val="center"/>
            <w:hideMark/>
          </w:tcPr>
          <w:p w14:paraId="7F077D13" w14:textId="10C58130"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Perceived risk is a mix of uncertainty and the seriousness of a probable outcome related </w:t>
            </w:r>
            <w:r w:rsidR="00EB7EE4" w:rsidRPr="00644CCA">
              <w:rPr>
                <w:rFonts w:ascii="Times New Roman" w:eastAsia="Times New Roman" w:hAnsi="Times New Roman" w:cs="Times New Roman"/>
                <w:color w:val="000000"/>
                <w:sz w:val="20"/>
                <w:szCs w:val="20"/>
              </w:rPr>
              <w:t>to</w:t>
            </w:r>
            <w:r w:rsidRPr="00644CCA">
              <w:rPr>
                <w:rFonts w:ascii="Times New Roman" w:eastAsia="Times New Roman" w:hAnsi="Times New Roman" w:cs="Times New Roman"/>
                <w:color w:val="000000"/>
                <w:sz w:val="20"/>
                <w:szCs w:val="20"/>
              </w:rPr>
              <w:t xml:space="preserve"> performance and safety (Ortega Egea </w:t>
            </w:r>
            <w:r w:rsidR="009938EB" w:rsidRPr="00644CCA">
              <w:rPr>
                <w:rFonts w:ascii="Times New Roman" w:eastAsia="Times New Roman" w:hAnsi="Times New Roman" w:cs="Times New Roman"/>
                <w:color w:val="000000"/>
                <w:sz w:val="20"/>
                <w:szCs w:val="20"/>
              </w:rPr>
              <w:t>&amp;</w:t>
            </w:r>
            <w:r w:rsidRPr="00644CCA">
              <w:rPr>
                <w:rFonts w:ascii="Times New Roman" w:eastAsia="Times New Roman" w:hAnsi="Times New Roman" w:cs="Times New Roman"/>
                <w:color w:val="000000"/>
                <w:sz w:val="20"/>
                <w:szCs w:val="20"/>
              </w:rPr>
              <w:t xml:space="preserve"> Román González</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2011; Ye et al.</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2019)</w:t>
            </w:r>
            <w:r w:rsidR="009938EB" w:rsidRPr="00644CCA">
              <w:rPr>
                <w:rFonts w:ascii="Times New Roman" w:eastAsia="Times New Roman" w:hAnsi="Times New Roman" w:cs="Times New Roman"/>
                <w:color w:val="000000"/>
                <w:sz w:val="20"/>
                <w:szCs w:val="20"/>
              </w:rPr>
              <w:t>.</w:t>
            </w:r>
          </w:p>
        </w:tc>
      </w:tr>
      <w:tr w:rsidR="000C2BDF" w:rsidRPr="00644CCA" w14:paraId="29232BBF" w14:textId="77777777" w:rsidTr="00621097">
        <w:trPr>
          <w:cantSplit/>
          <w:trHeight w:val="20"/>
        </w:trPr>
        <w:tc>
          <w:tcPr>
            <w:tcW w:w="57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0B17D73"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3</w:t>
            </w:r>
          </w:p>
        </w:tc>
        <w:tc>
          <w:tcPr>
            <w:tcW w:w="15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42685BC"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Individual Characteristics</w:t>
            </w:r>
          </w:p>
        </w:tc>
        <w:tc>
          <w:tcPr>
            <w:tcW w:w="2110" w:type="dxa"/>
            <w:tcBorders>
              <w:top w:val="nil"/>
              <w:left w:val="nil"/>
              <w:bottom w:val="single" w:sz="8" w:space="0" w:color="000000"/>
              <w:right w:val="single" w:sz="8" w:space="0" w:color="000000"/>
            </w:tcBorders>
            <w:shd w:val="clear" w:color="auto" w:fill="auto"/>
            <w:vAlign w:val="center"/>
            <w:hideMark/>
          </w:tcPr>
          <w:p w14:paraId="14E558CA"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Personality</w:t>
            </w:r>
          </w:p>
        </w:tc>
        <w:tc>
          <w:tcPr>
            <w:tcW w:w="3495" w:type="dxa"/>
            <w:tcBorders>
              <w:top w:val="nil"/>
              <w:left w:val="nil"/>
              <w:bottom w:val="single" w:sz="8" w:space="0" w:color="000000"/>
              <w:right w:val="single" w:sz="8" w:space="0" w:color="000000"/>
            </w:tcBorders>
            <w:shd w:val="clear" w:color="auto" w:fill="auto"/>
            <w:vAlign w:val="center"/>
            <w:hideMark/>
          </w:tcPr>
          <w:p w14:paraId="3D8BE88B"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Bansal et al. (2010)</w:t>
            </w:r>
          </w:p>
        </w:tc>
        <w:tc>
          <w:tcPr>
            <w:tcW w:w="6192" w:type="dxa"/>
            <w:tcBorders>
              <w:top w:val="nil"/>
              <w:left w:val="nil"/>
              <w:bottom w:val="single" w:sz="8" w:space="0" w:color="000000"/>
              <w:right w:val="single" w:sz="8" w:space="0" w:color="000000"/>
            </w:tcBorders>
            <w:shd w:val="clear" w:color="auto" w:fill="auto"/>
            <w:vAlign w:val="center"/>
            <w:hideMark/>
          </w:tcPr>
          <w:p w14:paraId="3B64E7F3" w14:textId="5A6E7A49"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Personality refers to those characteristics of the person that account for consistent patterns of feelings, thinking, and </w:t>
            </w:r>
            <w:r w:rsidR="001812EB" w:rsidRPr="00644CCA">
              <w:rPr>
                <w:rFonts w:ascii="Times New Roman" w:eastAsia="Times New Roman" w:hAnsi="Times New Roman" w:cs="Times New Roman"/>
                <w:color w:val="000000"/>
                <w:sz w:val="20"/>
                <w:szCs w:val="20"/>
              </w:rPr>
              <w:t>behaviour</w:t>
            </w:r>
            <w:r w:rsidRPr="00644CCA">
              <w:rPr>
                <w:rFonts w:ascii="Times New Roman" w:eastAsia="Times New Roman" w:hAnsi="Times New Roman" w:cs="Times New Roman"/>
                <w:color w:val="000000"/>
                <w:sz w:val="20"/>
                <w:szCs w:val="20"/>
              </w:rPr>
              <w:t>.</w:t>
            </w:r>
          </w:p>
        </w:tc>
      </w:tr>
      <w:tr w:rsidR="000C2BDF" w:rsidRPr="00644CCA" w14:paraId="74C1A543" w14:textId="77777777" w:rsidTr="00621097">
        <w:trPr>
          <w:cantSplit/>
          <w:trHeight w:val="20"/>
        </w:trPr>
        <w:tc>
          <w:tcPr>
            <w:tcW w:w="570" w:type="dxa"/>
            <w:vMerge/>
            <w:tcBorders>
              <w:top w:val="nil"/>
              <w:left w:val="single" w:sz="8" w:space="0" w:color="000000"/>
              <w:bottom w:val="single" w:sz="8" w:space="0" w:color="000000"/>
              <w:right w:val="single" w:sz="8" w:space="0" w:color="000000"/>
            </w:tcBorders>
            <w:vAlign w:val="center"/>
            <w:hideMark/>
          </w:tcPr>
          <w:p w14:paraId="45520964"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773F1458"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49FC7E10"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Role clarity</w:t>
            </w:r>
          </w:p>
        </w:tc>
        <w:tc>
          <w:tcPr>
            <w:tcW w:w="3495" w:type="dxa"/>
            <w:tcBorders>
              <w:top w:val="nil"/>
              <w:left w:val="nil"/>
              <w:bottom w:val="single" w:sz="8" w:space="0" w:color="000000"/>
              <w:right w:val="single" w:sz="8" w:space="0" w:color="000000"/>
            </w:tcBorders>
            <w:shd w:val="clear" w:color="auto" w:fill="auto"/>
            <w:vAlign w:val="center"/>
            <w:hideMark/>
          </w:tcPr>
          <w:p w14:paraId="767CFCA8"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Li and Wang (2022)</w:t>
            </w:r>
          </w:p>
        </w:tc>
        <w:tc>
          <w:tcPr>
            <w:tcW w:w="6192" w:type="dxa"/>
            <w:tcBorders>
              <w:top w:val="nil"/>
              <w:left w:val="nil"/>
              <w:bottom w:val="single" w:sz="8" w:space="0" w:color="000000"/>
              <w:right w:val="single" w:sz="8" w:space="0" w:color="000000"/>
            </w:tcBorders>
            <w:shd w:val="clear" w:color="auto" w:fill="auto"/>
            <w:vAlign w:val="center"/>
            <w:hideMark/>
          </w:tcPr>
          <w:p w14:paraId="33F5B8DC" w14:textId="51531465"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Role clarity can be defined as the understanding of consumers regarding their role status in a specific situation (Li </w:t>
            </w:r>
            <w:r w:rsidR="009938EB" w:rsidRPr="00644CCA">
              <w:rPr>
                <w:rFonts w:ascii="Times New Roman" w:eastAsia="Times New Roman" w:hAnsi="Times New Roman" w:cs="Times New Roman"/>
                <w:color w:val="000000"/>
                <w:sz w:val="20"/>
                <w:szCs w:val="20"/>
              </w:rPr>
              <w:t>&amp;</w:t>
            </w:r>
            <w:r w:rsidRPr="00644CCA">
              <w:rPr>
                <w:rFonts w:ascii="Times New Roman" w:eastAsia="Times New Roman" w:hAnsi="Times New Roman" w:cs="Times New Roman"/>
                <w:color w:val="000000"/>
                <w:sz w:val="20"/>
                <w:szCs w:val="20"/>
              </w:rPr>
              <w:t xml:space="preserve"> Wang</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2022; Meuter et al.</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2005).</w:t>
            </w:r>
          </w:p>
        </w:tc>
      </w:tr>
      <w:tr w:rsidR="000C2BDF" w:rsidRPr="00644CCA" w14:paraId="375EB1C3" w14:textId="77777777" w:rsidTr="00621097">
        <w:trPr>
          <w:cantSplit/>
          <w:trHeight w:val="20"/>
        </w:trPr>
        <w:tc>
          <w:tcPr>
            <w:tcW w:w="57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3EDF745"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4</w:t>
            </w:r>
          </w:p>
        </w:tc>
        <w:tc>
          <w:tcPr>
            <w:tcW w:w="15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1B33FCB1"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Psychological factors</w:t>
            </w:r>
          </w:p>
        </w:tc>
        <w:tc>
          <w:tcPr>
            <w:tcW w:w="2110" w:type="dxa"/>
            <w:tcBorders>
              <w:top w:val="nil"/>
              <w:left w:val="nil"/>
              <w:bottom w:val="single" w:sz="8" w:space="0" w:color="000000"/>
              <w:right w:val="single" w:sz="8" w:space="0" w:color="000000"/>
            </w:tcBorders>
            <w:shd w:val="clear" w:color="auto" w:fill="auto"/>
            <w:vAlign w:val="center"/>
            <w:hideMark/>
          </w:tcPr>
          <w:p w14:paraId="3471D7FC"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Intrinsic Motivation</w:t>
            </w:r>
          </w:p>
        </w:tc>
        <w:tc>
          <w:tcPr>
            <w:tcW w:w="3495" w:type="dxa"/>
            <w:tcBorders>
              <w:top w:val="nil"/>
              <w:left w:val="nil"/>
              <w:bottom w:val="single" w:sz="8" w:space="0" w:color="000000"/>
              <w:right w:val="single" w:sz="8" w:space="0" w:color="000000"/>
            </w:tcBorders>
            <w:shd w:val="clear" w:color="auto" w:fill="auto"/>
            <w:vAlign w:val="center"/>
            <w:hideMark/>
          </w:tcPr>
          <w:p w14:paraId="0E77B58B"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Almalki (2021)</w:t>
            </w:r>
          </w:p>
        </w:tc>
        <w:tc>
          <w:tcPr>
            <w:tcW w:w="6192" w:type="dxa"/>
            <w:tcBorders>
              <w:top w:val="nil"/>
              <w:left w:val="nil"/>
              <w:bottom w:val="single" w:sz="8" w:space="0" w:color="000000"/>
              <w:right w:val="single" w:sz="8" w:space="0" w:color="000000"/>
            </w:tcBorders>
            <w:shd w:val="clear" w:color="auto" w:fill="auto"/>
            <w:vAlign w:val="center"/>
            <w:hideMark/>
          </w:tcPr>
          <w:p w14:paraId="217C448E" w14:textId="0FF0494E"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Almalki (2021) operationally defined intrinsic motivation as the pleasure derived while interacting with </w:t>
            </w:r>
            <w:r w:rsidR="00EB7EE4" w:rsidRPr="00644CCA">
              <w:rPr>
                <w:rFonts w:ascii="Times New Roman" w:eastAsia="Times New Roman" w:hAnsi="Times New Roman" w:cs="Times New Roman"/>
                <w:color w:val="000000"/>
                <w:sz w:val="20"/>
                <w:szCs w:val="20"/>
              </w:rPr>
              <w:t>AI-based</w:t>
            </w:r>
            <w:r w:rsidRPr="00644CCA">
              <w:rPr>
                <w:rFonts w:ascii="Times New Roman" w:eastAsia="Times New Roman" w:hAnsi="Times New Roman" w:cs="Times New Roman"/>
                <w:color w:val="000000"/>
                <w:sz w:val="20"/>
                <w:szCs w:val="20"/>
              </w:rPr>
              <w:t xml:space="preserve"> agents.</w:t>
            </w:r>
          </w:p>
        </w:tc>
      </w:tr>
      <w:tr w:rsidR="000C2BDF" w:rsidRPr="00644CCA" w14:paraId="048A265F" w14:textId="77777777" w:rsidTr="00621097">
        <w:trPr>
          <w:trHeight w:val="20"/>
        </w:trPr>
        <w:tc>
          <w:tcPr>
            <w:tcW w:w="570" w:type="dxa"/>
            <w:vMerge/>
            <w:tcBorders>
              <w:top w:val="nil"/>
              <w:left w:val="single" w:sz="8" w:space="0" w:color="000000"/>
              <w:bottom w:val="single" w:sz="8" w:space="0" w:color="000000"/>
              <w:right w:val="single" w:sz="8" w:space="0" w:color="000000"/>
            </w:tcBorders>
            <w:vAlign w:val="center"/>
            <w:hideMark/>
          </w:tcPr>
          <w:p w14:paraId="46D645D4"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2541B481"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64B66E36"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Emotional Intelligence</w:t>
            </w:r>
          </w:p>
        </w:tc>
        <w:tc>
          <w:tcPr>
            <w:tcW w:w="3495" w:type="dxa"/>
            <w:tcBorders>
              <w:top w:val="nil"/>
              <w:left w:val="nil"/>
              <w:bottom w:val="single" w:sz="8" w:space="0" w:color="000000"/>
              <w:right w:val="single" w:sz="8" w:space="0" w:color="000000"/>
            </w:tcBorders>
            <w:shd w:val="clear" w:color="auto" w:fill="auto"/>
            <w:vAlign w:val="center"/>
            <w:hideMark/>
          </w:tcPr>
          <w:p w14:paraId="45AEF40B" w14:textId="1D973F0E"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Almalki (2021); Chi et al. (2023); Gursoy et al. (2019); Kidwel et al. (2008)</w:t>
            </w:r>
          </w:p>
        </w:tc>
        <w:tc>
          <w:tcPr>
            <w:tcW w:w="6192" w:type="dxa"/>
            <w:tcBorders>
              <w:top w:val="nil"/>
              <w:left w:val="nil"/>
              <w:bottom w:val="single" w:sz="8" w:space="0" w:color="000000"/>
              <w:right w:val="single" w:sz="8" w:space="0" w:color="000000"/>
            </w:tcBorders>
            <w:shd w:val="clear" w:color="auto" w:fill="auto"/>
            <w:vAlign w:val="center"/>
            <w:hideMark/>
          </w:tcPr>
          <w:p w14:paraId="63D52F72" w14:textId="07F04735" w:rsidR="000C2BDF" w:rsidRPr="00644CCA" w:rsidRDefault="00134B0D"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Kidwell</w:t>
            </w:r>
            <w:r w:rsidR="000C2BDF" w:rsidRPr="00644CCA">
              <w:rPr>
                <w:rFonts w:ascii="Times New Roman" w:eastAsia="Times New Roman" w:hAnsi="Times New Roman" w:cs="Times New Roman"/>
                <w:color w:val="000000"/>
                <w:sz w:val="20"/>
                <w:szCs w:val="20"/>
              </w:rPr>
              <w:t xml:space="preserve"> et al. (2008) defined consumers' emotional intelligence "as a person’s ability to skillfully use emotional information to achieve a desired consumer outcome" (p. 154).</w:t>
            </w:r>
          </w:p>
        </w:tc>
      </w:tr>
      <w:tr w:rsidR="000C2BDF" w:rsidRPr="00644CCA" w14:paraId="73F8DB0A" w14:textId="77777777" w:rsidTr="00621097">
        <w:trPr>
          <w:trHeight w:val="20"/>
        </w:trPr>
        <w:tc>
          <w:tcPr>
            <w:tcW w:w="570" w:type="dxa"/>
            <w:vMerge/>
            <w:tcBorders>
              <w:top w:val="nil"/>
              <w:left w:val="single" w:sz="8" w:space="0" w:color="000000"/>
              <w:bottom w:val="single" w:sz="8" w:space="0" w:color="000000"/>
              <w:right w:val="single" w:sz="8" w:space="0" w:color="000000"/>
            </w:tcBorders>
            <w:vAlign w:val="center"/>
            <w:hideMark/>
          </w:tcPr>
          <w:p w14:paraId="42EECAF3"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5DECAE35"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BE4109A"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User experience</w:t>
            </w:r>
          </w:p>
        </w:tc>
        <w:tc>
          <w:tcPr>
            <w:tcW w:w="3495"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575DCC9E"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Balakrishnan and Dwivedi (2020); Uzir et al. (2021)</w:t>
            </w:r>
          </w:p>
        </w:tc>
        <w:tc>
          <w:tcPr>
            <w:tcW w:w="6192" w:type="dxa"/>
            <w:tcBorders>
              <w:top w:val="nil"/>
              <w:left w:val="nil"/>
              <w:bottom w:val="nil"/>
              <w:right w:val="single" w:sz="8" w:space="0" w:color="000000"/>
            </w:tcBorders>
            <w:shd w:val="clear" w:color="auto" w:fill="auto"/>
            <w:vAlign w:val="center"/>
            <w:hideMark/>
          </w:tcPr>
          <w:p w14:paraId="447FC016"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User experience can be described as an intersection of enjoyment, affection, and experiential</w:t>
            </w:r>
          </w:p>
        </w:tc>
      </w:tr>
      <w:tr w:rsidR="000C2BDF" w:rsidRPr="00644CCA" w14:paraId="2F1D228B" w14:textId="77777777" w:rsidTr="00621097">
        <w:trPr>
          <w:trHeight w:val="20"/>
        </w:trPr>
        <w:tc>
          <w:tcPr>
            <w:tcW w:w="570" w:type="dxa"/>
            <w:vMerge/>
            <w:tcBorders>
              <w:top w:val="nil"/>
              <w:left w:val="single" w:sz="8" w:space="0" w:color="000000"/>
              <w:bottom w:val="single" w:sz="8" w:space="0" w:color="000000"/>
              <w:right w:val="single" w:sz="8" w:space="0" w:color="000000"/>
            </w:tcBorders>
            <w:vAlign w:val="center"/>
            <w:hideMark/>
          </w:tcPr>
          <w:p w14:paraId="2CF800AD"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413EB202"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vMerge/>
            <w:tcBorders>
              <w:top w:val="nil"/>
              <w:left w:val="single" w:sz="8" w:space="0" w:color="000000"/>
              <w:bottom w:val="single" w:sz="8" w:space="0" w:color="000000"/>
              <w:right w:val="single" w:sz="8" w:space="0" w:color="000000"/>
            </w:tcBorders>
            <w:vAlign w:val="center"/>
            <w:hideMark/>
          </w:tcPr>
          <w:p w14:paraId="1D3FC34E"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p>
        </w:tc>
        <w:tc>
          <w:tcPr>
            <w:tcW w:w="3495" w:type="dxa"/>
            <w:vMerge/>
            <w:tcBorders>
              <w:top w:val="nil"/>
              <w:left w:val="single" w:sz="8" w:space="0" w:color="000000"/>
              <w:bottom w:val="single" w:sz="8" w:space="0" w:color="000000"/>
              <w:right w:val="single" w:sz="8" w:space="0" w:color="000000"/>
            </w:tcBorders>
            <w:vAlign w:val="center"/>
            <w:hideMark/>
          </w:tcPr>
          <w:p w14:paraId="3234533D"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p>
        </w:tc>
        <w:tc>
          <w:tcPr>
            <w:tcW w:w="6192" w:type="dxa"/>
            <w:tcBorders>
              <w:top w:val="nil"/>
              <w:left w:val="nil"/>
              <w:bottom w:val="single" w:sz="8" w:space="0" w:color="000000"/>
              <w:right w:val="single" w:sz="8" w:space="0" w:color="000000"/>
            </w:tcBorders>
            <w:shd w:val="clear" w:color="auto" w:fill="auto"/>
            <w:vAlign w:val="center"/>
            <w:hideMark/>
          </w:tcPr>
          <w:p w14:paraId="1C6A2514" w14:textId="07D2D48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facets (Balakrishnan </w:t>
            </w:r>
            <w:r w:rsidR="009938EB" w:rsidRPr="00644CCA">
              <w:rPr>
                <w:rFonts w:ascii="Times New Roman" w:eastAsia="Times New Roman" w:hAnsi="Times New Roman" w:cs="Times New Roman"/>
                <w:color w:val="000000"/>
                <w:sz w:val="20"/>
                <w:szCs w:val="20"/>
              </w:rPr>
              <w:t>&amp;</w:t>
            </w:r>
            <w:r w:rsidRPr="00644CCA">
              <w:rPr>
                <w:rFonts w:ascii="Times New Roman" w:eastAsia="Times New Roman" w:hAnsi="Times New Roman" w:cs="Times New Roman"/>
                <w:color w:val="000000"/>
                <w:sz w:val="20"/>
                <w:szCs w:val="20"/>
              </w:rPr>
              <w:t xml:space="preserve"> Dwivedi</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2021; Hassenzahl </w:t>
            </w:r>
            <w:r w:rsidR="009938EB" w:rsidRPr="00644CCA">
              <w:rPr>
                <w:rFonts w:ascii="Times New Roman" w:eastAsia="Times New Roman" w:hAnsi="Times New Roman" w:cs="Times New Roman"/>
                <w:color w:val="000000"/>
                <w:sz w:val="20"/>
                <w:szCs w:val="20"/>
              </w:rPr>
              <w:t>&amp;</w:t>
            </w:r>
            <w:r w:rsidRPr="00644CCA">
              <w:rPr>
                <w:rFonts w:ascii="Times New Roman" w:eastAsia="Times New Roman" w:hAnsi="Times New Roman" w:cs="Times New Roman"/>
                <w:color w:val="000000"/>
                <w:sz w:val="20"/>
                <w:szCs w:val="20"/>
              </w:rPr>
              <w:t xml:space="preserve"> Tractinsky</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2006).</w:t>
            </w:r>
          </w:p>
        </w:tc>
      </w:tr>
      <w:tr w:rsidR="000C2BDF" w:rsidRPr="00644CCA" w14:paraId="3B1FE354" w14:textId="77777777" w:rsidTr="00621097">
        <w:trPr>
          <w:trHeight w:val="20"/>
        </w:trPr>
        <w:tc>
          <w:tcPr>
            <w:tcW w:w="570" w:type="dxa"/>
            <w:vMerge/>
            <w:tcBorders>
              <w:top w:val="nil"/>
              <w:left w:val="single" w:sz="8" w:space="0" w:color="000000"/>
              <w:bottom w:val="single" w:sz="8" w:space="0" w:color="000000"/>
              <w:right w:val="single" w:sz="8" w:space="0" w:color="000000"/>
            </w:tcBorders>
            <w:vAlign w:val="center"/>
            <w:hideMark/>
          </w:tcPr>
          <w:p w14:paraId="0BC303C5"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537444CD"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2E805B11"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User trust</w:t>
            </w:r>
          </w:p>
        </w:tc>
        <w:tc>
          <w:tcPr>
            <w:tcW w:w="3495"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0D3278EA"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Adams et al. (2020); Balakrishnan and Dwivedi (2020); Bansal et al. (2010); Chi et al. (2023); Dlugatch et al. (2023); Gursoy et al. (2019); Kim et al. (2021); Liu et al. (2022); Park et al. (2021); Uzir et al. (2021); Ye et al. (2019)</w:t>
            </w:r>
          </w:p>
        </w:tc>
        <w:tc>
          <w:tcPr>
            <w:tcW w:w="6192" w:type="dxa"/>
            <w:tcBorders>
              <w:top w:val="nil"/>
              <w:left w:val="nil"/>
              <w:bottom w:val="nil"/>
              <w:right w:val="single" w:sz="8" w:space="0" w:color="000000"/>
            </w:tcBorders>
            <w:shd w:val="clear" w:color="auto" w:fill="auto"/>
            <w:vAlign w:val="center"/>
            <w:hideMark/>
          </w:tcPr>
          <w:p w14:paraId="64556566" w14:textId="0BD55A52"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Trust is a multidimensional construct </w:t>
            </w:r>
            <w:r w:rsidR="00134B0D" w:rsidRPr="00644CCA">
              <w:rPr>
                <w:rFonts w:ascii="Times New Roman" w:eastAsia="Times New Roman" w:hAnsi="Times New Roman" w:cs="Times New Roman"/>
                <w:color w:val="000000"/>
                <w:sz w:val="20"/>
                <w:szCs w:val="20"/>
              </w:rPr>
              <w:t>with</w:t>
            </w:r>
            <w:r w:rsidRPr="00644CCA">
              <w:rPr>
                <w:rFonts w:ascii="Times New Roman" w:eastAsia="Times New Roman" w:hAnsi="Times New Roman" w:cs="Times New Roman"/>
                <w:color w:val="000000"/>
                <w:sz w:val="20"/>
                <w:szCs w:val="20"/>
              </w:rPr>
              <w:t xml:space="preserve"> several definitions across disciplines</w:t>
            </w:r>
            <w:r w:rsidR="00134B0D" w:rsidRPr="00644CCA">
              <w:rPr>
                <w:rFonts w:ascii="Times New Roman" w:eastAsia="Times New Roman" w:hAnsi="Times New Roman" w:cs="Times New Roman"/>
                <w:color w:val="000000"/>
                <w:sz w:val="20"/>
                <w:szCs w:val="20"/>
              </w:rPr>
              <w:t xml:space="preserve">. The description provided by Mayer et al. (1995) among available reports </w:t>
            </w:r>
            <w:r w:rsidRPr="00644CCA">
              <w:rPr>
                <w:rFonts w:ascii="Times New Roman" w:eastAsia="Times New Roman" w:hAnsi="Times New Roman" w:cs="Times New Roman"/>
                <w:color w:val="000000"/>
                <w:sz w:val="20"/>
                <w:szCs w:val="20"/>
              </w:rPr>
              <w:t xml:space="preserve">is universally acceptable across disciplines (Balakrishnan </w:t>
            </w:r>
            <w:r w:rsidR="009938EB" w:rsidRPr="00644CCA">
              <w:rPr>
                <w:rFonts w:ascii="Times New Roman" w:eastAsia="Times New Roman" w:hAnsi="Times New Roman" w:cs="Times New Roman"/>
                <w:color w:val="000000"/>
                <w:sz w:val="20"/>
                <w:szCs w:val="20"/>
              </w:rPr>
              <w:t>&amp;</w:t>
            </w:r>
            <w:r w:rsidRPr="00644CCA">
              <w:rPr>
                <w:rFonts w:ascii="Times New Roman" w:eastAsia="Times New Roman" w:hAnsi="Times New Roman" w:cs="Times New Roman"/>
                <w:color w:val="000000"/>
                <w:sz w:val="20"/>
                <w:szCs w:val="20"/>
              </w:rPr>
              <w:t xml:space="preserve"> Dwivedi</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2021). They defined trust "as the willingness of a party to be vulnerable to the actions of another party based on the expectation that the other will perform a particular action </w:t>
            </w:r>
            <w:r w:rsidR="00134B0D" w:rsidRPr="00644CCA">
              <w:rPr>
                <w:rFonts w:ascii="Times New Roman" w:eastAsia="Times New Roman" w:hAnsi="Times New Roman" w:cs="Times New Roman"/>
                <w:color w:val="000000"/>
                <w:sz w:val="20"/>
                <w:szCs w:val="20"/>
              </w:rPr>
              <w:t>necessary</w:t>
            </w:r>
            <w:r w:rsidRPr="00644CCA">
              <w:rPr>
                <w:rFonts w:ascii="Times New Roman" w:eastAsia="Times New Roman" w:hAnsi="Times New Roman" w:cs="Times New Roman"/>
                <w:color w:val="000000"/>
                <w:sz w:val="20"/>
                <w:szCs w:val="20"/>
              </w:rPr>
              <w:t xml:space="preserve"> to the</w:t>
            </w:r>
          </w:p>
        </w:tc>
      </w:tr>
      <w:tr w:rsidR="000C2BDF" w:rsidRPr="00644CCA" w14:paraId="6AC4696D" w14:textId="77777777" w:rsidTr="00621097">
        <w:trPr>
          <w:trHeight w:val="20"/>
        </w:trPr>
        <w:tc>
          <w:tcPr>
            <w:tcW w:w="570" w:type="dxa"/>
            <w:vMerge/>
            <w:tcBorders>
              <w:top w:val="nil"/>
              <w:left w:val="single" w:sz="8" w:space="0" w:color="000000"/>
              <w:bottom w:val="single" w:sz="8" w:space="0" w:color="000000"/>
              <w:right w:val="single" w:sz="8" w:space="0" w:color="000000"/>
            </w:tcBorders>
            <w:vAlign w:val="center"/>
            <w:hideMark/>
          </w:tcPr>
          <w:p w14:paraId="5160EF39"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0EC63228"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vMerge/>
            <w:tcBorders>
              <w:top w:val="nil"/>
              <w:left w:val="single" w:sz="8" w:space="0" w:color="000000"/>
              <w:bottom w:val="single" w:sz="8" w:space="0" w:color="000000"/>
              <w:right w:val="single" w:sz="8" w:space="0" w:color="000000"/>
            </w:tcBorders>
            <w:vAlign w:val="center"/>
            <w:hideMark/>
          </w:tcPr>
          <w:p w14:paraId="647ED0D7"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p>
        </w:tc>
        <w:tc>
          <w:tcPr>
            <w:tcW w:w="3495" w:type="dxa"/>
            <w:vMerge/>
            <w:tcBorders>
              <w:top w:val="nil"/>
              <w:left w:val="single" w:sz="8" w:space="0" w:color="000000"/>
              <w:bottom w:val="single" w:sz="8" w:space="0" w:color="000000"/>
              <w:right w:val="single" w:sz="8" w:space="0" w:color="000000"/>
            </w:tcBorders>
            <w:vAlign w:val="center"/>
            <w:hideMark/>
          </w:tcPr>
          <w:p w14:paraId="701EBDAA"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p>
        </w:tc>
        <w:tc>
          <w:tcPr>
            <w:tcW w:w="6192" w:type="dxa"/>
            <w:tcBorders>
              <w:top w:val="nil"/>
              <w:left w:val="nil"/>
              <w:bottom w:val="single" w:sz="8" w:space="0" w:color="000000"/>
              <w:right w:val="single" w:sz="8" w:space="0" w:color="000000"/>
            </w:tcBorders>
            <w:shd w:val="clear" w:color="auto" w:fill="auto"/>
            <w:vAlign w:val="center"/>
            <w:hideMark/>
          </w:tcPr>
          <w:p w14:paraId="665F22BC" w14:textId="12F6BF01" w:rsidR="000C2BDF" w:rsidRPr="00644CCA" w:rsidRDefault="00134B0D"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Trustor</w:t>
            </w:r>
            <w:r w:rsidR="000C2BDF" w:rsidRPr="00644CCA">
              <w:rPr>
                <w:rFonts w:ascii="Times New Roman" w:eastAsia="Times New Roman" w:hAnsi="Times New Roman" w:cs="Times New Roman"/>
                <w:color w:val="000000"/>
                <w:sz w:val="20"/>
                <w:szCs w:val="20"/>
              </w:rPr>
              <w:t>, irrespective of the ability to monitor or control that other party” (Mayer et al.</w:t>
            </w:r>
            <w:r w:rsidR="009938EB" w:rsidRPr="00644CCA">
              <w:rPr>
                <w:rFonts w:ascii="Times New Roman" w:eastAsia="Times New Roman" w:hAnsi="Times New Roman" w:cs="Times New Roman"/>
                <w:color w:val="000000"/>
                <w:sz w:val="20"/>
                <w:szCs w:val="20"/>
              </w:rPr>
              <w:t>,</w:t>
            </w:r>
            <w:r w:rsidR="000C2BDF" w:rsidRPr="00644CCA">
              <w:rPr>
                <w:rFonts w:ascii="Times New Roman" w:eastAsia="Times New Roman" w:hAnsi="Times New Roman" w:cs="Times New Roman"/>
                <w:color w:val="000000"/>
                <w:sz w:val="20"/>
                <w:szCs w:val="20"/>
              </w:rPr>
              <w:t xml:space="preserve"> 1995; p. 712).</w:t>
            </w:r>
          </w:p>
        </w:tc>
      </w:tr>
      <w:tr w:rsidR="000C2BDF" w:rsidRPr="00644CCA" w14:paraId="1B58EED2" w14:textId="77777777" w:rsidTr="00621097">
        <w:trPr>
          <w:trHeight w:val="20"/>
        </w:trPr>
        <w:tc>
          <w:tcPr>
            <w:tcW w:w="570" w:type="dxa"/>
            <w:vMerge/>
            <w:tcBorders>
              <w:top w:val="nil"/>
              <w:left w:val="single" w:sz="8" w:space="0" w:color="000000"/>
              <w:bottom w:val="single" w:sz="8" w:space="0" w:color="000000"/>
              <w:right w:val="single" w:sz="8" w:space="0" w:color="000000"/>
            </w:tcBorders>
            <w:vAlign w:val="center"/>
            <w:hideMark/>
          </w:tcPr>
          <w:p w14:paraId="0C0D605B"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783629CB"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50EE4D6D"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Health Consciousness</w:t>
            </w:r>
          </w:p>
        </w:tc>
        <w:tc>
          <w:tcPr>
            <w:tcW w:w="3495" w:type="dxa"/>
            <w:tcBorders>
              <w:top w:val="nil"/>
              <w:left w:val="nil"/>
              <w:bottom w:val="single" w:sz="8" w:space="0" w:color="000000"/>
              <w:right w:val="single" w:sz="8" w:space="0" w:color="000000"/>
            </w:tcBorders>
            <w:shd w:val="clear" w:color="auto" w:fill="auto"/>
            <w:vAlign w:val="center"/>
            <w:hideMark/>
          </w:tcPr>
          <w:p w14:paraId="611D3207" w14:textId="2B684162"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Hayat </w:t>
            </w:r>
            <w:r w:rsidR="00134B0D" w:rsidRPr="00644CCA">
              <w:rPr>
                <w:rFonts w:ascii="Times New Roman" w:eastAsia="Times New Roman" w:hAnsi="Times New Roman" w:cs="Times New Roman"/>
                <w:color w:val="000000"/>
                <w:sz w:val="20"/>
                <w:szCs w:val="20"/>
              </w:rPr>
              <w:t>et al.</w:t>
            </w:r>
            <w:r w:rsidRPr="00644CCA">
              <w:rPr>
                <w:rFonts w:ascii="Times New Roman" w:eastAsia="Times New Roman" w:hAnsi="Times New Roman" w:cs="Times New Roman"/>
                <w:color w:val="000000"/>
                <w:sz w:val="20"/>
                <w:szCs w:val="20"/>
              </w:rPr>
              <w:t xml:space="preserve"> (2022)</w:t>
            </w:r>
          </w:p>
        </w:tc>
        <w:tc>
          <w:tcPr>
            <w:tcW w:w="6192" w:type="dxa"/>
            <w:tcBorders>
              <w:top w:val="nil"/>
              <w:left w:val="nil"/>
              <w:bottom w:val="single" w:sz="8" w:space="0" w:color="000000"/>
              <w:right w:val="single" w:sz="8" w:space="0" w:color="000000"/>
            </w:tcBorders>
            <w:shd w:val="clear" w:color="auto" w:fill="auto"/>
            <w:vAlign w:val="center"/>
            <w:hideMark/>
          </w:tcPr>
          <w:p w14:paraId="381511CE" w14:textId="59A123AB"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Health consciousness refers to the willingness of individuals to take care of their health and actively prevent diseases and illnesses (Beh et al. 2021).</w:t>
            </w:r>
          </w:p>
        </w:tc>
      </w:tr>
      <w:tr w:rsidR="000C2BDF" w:rsidRPr="00644CCA" w14:paraId="68E298FB" w14:textId="77777777" w:rsidTr="00621097">
        <w:trPr>
          <w:trHeight w:val="20"/>
        </w:trPr>
        <w:tc>
          <w:tcPr>
            <w:tcW w:w="570" w:type="dxa"/>
            <w:vMerge/>
            <w:tcBorders>
              <w:top w:val="nil"/>
              <w:left w:val="single" w:sz="8" w:space="0" w:color="000000"/>
              <w:bottom w:val="single" w:sz="8" w:space="0" w:color="000000"/>
              <w:right w:val="single" w:sz="8" w:space="0" w:color="000000"/>
            </w:tcBorders>
            <w:vAlign w:val="center"/>
            <w:hideMark/>
          </w:tcPr>
          <w:p w14:paraId="3DCE9FBE"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3AD3115E"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4E4E18B7"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Personalization</w:t>
            </w:r>
          </w:p>
        </w:tc>
        <w:tc>
          <w:tcPr>
            <w:tcW w:w="3495" w:type="dxa"/>
            <w:tcBorders>
              <w:top w:val="nil"/>
              <w:left w:val="nil"/>
              <w:bottom w:val="single" w:sz="8" w:space="0" w:color="000000"/>
              <w:right w:val="single" w:sz="8" w:space="0" w:color="000000"/>
            </w:tcBorders>
            <w:shd w:val="clear" w:color="auto" w:fill="auto"/>
            <w:vAlign w:val="center"/>
            <w:hideMark/>
          </w:tcPr>
          <w:p w14:paraId="25170EF5"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Liu and Tao (2022); Longoni et al. (2019)</w:t>
            </w:r>
          </w:p>
        </w:tc>
        <w:tc>
          <w:tcPr>
            <w:tcW w:w="6192" w:type="dxa"/>
            <w:tcBorders>
              <w:top w:val="nil"/>
              <w:left w:val="nil"/>
              <w:bottom w:val="single" w:sz="8" w:space="0" w:color="000000"/>
              <w:right w:val="single" w:sz="8" w:space="0" w:color="000000"/>
            </w:tcBorders>
            <w:shd w:val="clear" w:color="auto" w:fill="auto"/>
            <w:vAlign w:val="center"/>
            <w:hideMark/>
          </w:tcPr>
          <w:p w14:paraId="00A584C1" w14:textId="47919282"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In smart healthcare services, "personalization refers to the degree to which smart healthcare services can provide specific health services based on consumers’ health information and conditions" (K. </w:t>
            </w:r>
            <w:r w:rsidR="009938EB" w:rsidRPr="00644CCA">
              <w:rPr>
                <w:rFonts w:ascii="Times New Roman" w:eastAsia="Times New Roman" w:hAnsi="Times New Roman" w:cs="Times New Roman"/>
                <w:color w:val="000000"/>
                <w:sz w:val="20"/>
                <w:szCs w:val="20"/>
              </w:rPr>
              <w:t>et al.,</w:t>
            </w:r>
            <w:r w:rsidRPr="00644CCA">
              <w:rPr>
                <w:rFonts w:ascii="Times New Roman" w:eastAsia="Times New Roman" w:hAnsi="Times New Roman" w:cs="Times New Roman"/>
                <w:color w:val="000000"/>
                <w:sz w:val="20"/>
                <w:szCs w:val="20"/>
              </w:rPr>
              <w:t xml:space="preserve"> 2022; p. 5).</w:t>
            </w:r>
          </w:p>
        </w:tc>
      </w:tr>
      <w:tr w:rsidR="000C2BDF" w:rsidRPr="00644CCA" w14:paraId="1747E492" w14:textId="77777777" w:rsidTr="00621097">
        <w:trPr>
          <w:trHeight w:val="20"/>
        </w:trPr>
        <w:tc>
          <w:tcPr>
            <w:tcW w:w="570" w:type="dxa"/>
            <w:vMerge/>
            <w:tcBorders>
              <w:top w:val="nil"/>
              <w:left w:val="single" w:sz="8" w:space="0" w:color="000000"/>
              <w:bottom w:val="single" w:sz="8" w:space="0" w:color="000000"/>
              <w:right w:val="single" w:sz="8" w:space="0" w:color="000000"/>
            </w:tcBorders>
            <w:vAlign w:val="center"/>
            <w:hideMark/>
          </w:tcPr>
          <w:p w14:paraId="5813D037"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0B27BD07"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0E8B705D"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Hedonic motivation</w:t>
            </w:r>
          </w:p>
        </w:tc>
        <w:tc>
          <w:tcPr>
            <w:tcW w:w="3495" w:type="dxa"/>
            <w:tcBorders>
              <w:top w:val="nil"/>
              <w:left w:val="nil"/>
              <w:bottom w:val="single" w:sz="8" w:space="0" w:color="000000"/>
              <w:right w:val="single" w:sz="8" w:space="0" w:color="000000"/>
            </w:tcBorders>
            <w:shd w:val="clear" w:color="auto" w:fill="auto"/>
            <w:vAlign w:val="center"/>
            <w:hideMark/>
          </w:tcPr>
          <w:p w14:paraId="166269D1"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Chi et al. (2023); Gursoy et al. (2019); Mishra et al. (2022)</w:t>
            </w:r>
          </w:p>
        </w:tc>
        <w:tc>
          <w:tcPr>
            <w:tcW w:w="6192" w:type="dxa"/>
            <w:tcBorders>
              <w:top w:val="nil"/>
              <w:left w:val="nil"/>
              <w:bottom w:val="single" w:sz="8" w:space="0" w:color="000000"/>
              <w:right w:val="single" w:sz="8" w:space="0" w:color="000000"/>
            </w:tcBorders>
            <w:shd w:val="clear" w:color="auto" w:fill="auto"/>
            <w:vAlign w:val="center"/>
            <w:hideMark/>
          </w:tcPr>
          <w:p w14:paraId="58823C15"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Gursoy et al. (2019) defined Hedonic Motivation as the pleasure or perceived fun expected by individuals using AI services in service delivery.</w:t>
            </w:r>
          </w:p>
        </w:tc>
      </w:tr>
      <w:tr w:rsidR="000C2BDF" w:rsidRPr="00644CCA" w14:paraId="2CA6DAB5" w14:textId="77777777" w:rsidTr="00621097">
        <w:trPr>
          <w:trHeight w:val="20"/>
        </w:trPr>
        <w:tc>
          <w:tcPr>
            <w:tcW w:w="570" w:type="dxa"/>
            <w:vMerge/>
            <w:tcBorders>
              <w:top w:val="nil"/>
              <w:left w:val="single" w:sz="8" w:space="0" w:color="000000"/>
              <w:bottom w:val="single" w:sz="8" w:space="0" w:color="000000"/>
              <w:right w:val="single" w:sz="8" w:space="0" w:color="000000"/>
            </w:tcBorders>
            <w:vAlign w:val="center"/>
            <w:hideMark/>
          </w:tcPr>
          <w:p w14:paraId="3C1880F1"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13177778"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064EE8E0"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Attitude</w:t>
            </w:r>
          </w:p>
        </w:tc>
        <w:tc>
          <w:tcPr>
            <w:tcW w:w="3495" w:type="dxa"/>
            <w:tcBorders>
              <w:top w:val="nil"/>
              <w:left w:val="nil"/>
              <w:bottom w:val="single" w:sz="8" w:space="0" w:color="000000"/>
              <w:right w:val="single" w:sz="8" w:space="0" w:color="000000"/>
            </w:tcBorders>
            <w:shd w:val="clear" w:color="auto" w:fill="auto"/>
            <w:vAlign w:val="center"/>
            <w:hideMark/>
          </w:tcPr>
          <w:p w14:paraId="1C488848"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Ameen et al. (2021); Ammer et al. (2022); Angst and Aggrawal (2009); BenMessaoud et al. (2011); Beuscher et al. (2017); Li and Wang (2022); Sawrikar and Mote (2022); Venkatesh et al. (2000)</w:t>
            </w:r>
          </w:p>
        </w:tc>
        <w:tc>
          <w:tcPr>
            <w:tcW w:w="6192" w:type="dxa"/>
            <w:tcBorders>
              <w:top w:val="nil"/>
              <w:left w:val="nil"/>
              <w:bottom w:val="single" w:sz="8" w:space="0" w:color="000000"/>
              <w:right w:val="single" w:sz="8" w:space="0" w:color="000000"/>
            </w:tcBorders>
            <w:shd w:val="clear" w:color="auto" w:fill="auto"/>
            <w:vAlign w:val="center"/>
            <w:hideMark/>
          </w:tcPr>
          <w:p w14:paraId="25A100C2" w14:textId="01AD227D"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Attitude is a major determinant of </w:t>
            </w:r>
            <w:r w:rsidR="001812EB" w:rsidRPr="00644CCA">
              <w:rPr>
                <w:rFonts w:ascii="Times New Roman" w:eastAsia="Times New Roman" w:hAnsi="Times New Roman" w:cs="Times New Roman"/>
                <w:color w:val="000000"/>
                <w:sz w:val="20"/>
                <w:szCs w:val="20"/>
              </w:rPr>
              <w:t>behaviour</w:t>
            </w:r>
            <w:r w:rsidRPr="00644CCA">
              <w:rPr>
                <w:rFonts w:ascii="Times New Roman" w:eastAsia="Times New Roman" w:hAnsi="Times New Roman" w:cs="Times New Roman"/>
                <w:color w:val="000000"/>
                <w:sz w:val="20"/>
                <w:szCs w:val="20"/>
              </w:rPr>
              <w:t xml:space="preserve"> intention. Attitude is </w:t>
            </w:r>
            <w:r w:rsidR="00134B0D" w:rsidRPr="00644CCA">
              <w:rPr>
                <w:rFonts w:ascii="Times New Roman" w:eastAsia="Times New Roman" w:hAnsi="Times New Roman" w:cs="Times New Roman"/>
                <w:color w:val="000000"/>
                <w:sz w:val="20"/>
                <w:szCs w:val="20"/>
              </w:rPr>
              <w:t>a complex mental state involving beliefs, feelings, values,</w:t>
            </w:r>
            <w:r w:rsidRPr="00644CCA">
              <w:rPr>
                <w:rFonts w:ascii="Times New Roman" w:eastAsia="Times New Roman" w:hAnsi="Times New Roman" w:cs="Times New Roman"/>
                <w:color w:val="000000"/>
                <w:sz w:val="20"/>
                <w:szCs w:val="20"/>
              </w:rPr>
              <w:t xml:space="preserve"> and dispositions to act in certain ways and positive or negative views of an 'attitude object': a person, </w:t>
            </w:r>
            <w:r w:rsidR="001812EB" w:rsidRPr="00644CCA">
              <w:rPr>
                <w:rFonts w:ascii="Times New Roman" w:eastAsia="Times New Roman" w:hAnsi="Times New Roman" w:cs="Times New Roman"/>
                <w:color w:val="000000"/>
                <w:sz w:val="20"/>
                <w:szCs w:val="20"/>
              </w:rPr>
              <w:t>behaviour</w:t>
            </w:r>
            <w:r w:rsidRPr="00644CCA">
              <w:rPr>
                <w:rFonts w:ascii="Times New Roman" w:eastAsia="Times New Roman" w:hAnsi="Times New Roman" w:cs="Times New Roman"/>
                <w:color w:val="000000"/>
                <w:sz w:val="20"/>
                <w:szCs w:val="20"/>
              </w:rPr>
              <w:t>, or event (Ajzen</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1985; Fishbein </w:t>
            </w:r>
            <w:r w:rsidR="009938EB" w:rsidRPr="00644CCA">
              <w:rPr>
                <w:rFonts w:ascii="Times New Roman" w:eastAsia="Times New Roman" w:hAnsi="Times New Roman" w:cs="Times New Roman"/>
                <w:color w:val="000000"/>
                <w:sz w:val="20"/>
                <w:szCs w:val="20"/>
              </w:rPr>
              <w:t>&amp;</w:t>
            </w:r>
            <w:r w:rsidRPr="00644CCA">
              <w:rPr>
                <w:rFonts w:ascii="Times New Roman" w:eastAsia="Times New Roman" w:hAnsi="Times New Roman" w:cs="Times New Roman"/>
                <w:color w:val="000000"/>
                <w:sz w:val="20"/>
                <w:szCs w:val="20"/>
              </w:rPr>
              <w:t xml:space="preserve"> Ajzen</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1975).  Attitude is one of the major constructs of both TRA and TPB</w:t>
            </w:r>
            <w:r w:rsidR="00134B0D" w:rsidRPr="00644CCA">
              <w:rPr>
                <w:rFonts w:ascii="Times New Roman" w:eastAsia="Times New Roman" w:hAnsi="Times New Roman" w:cs="Times New Roman"/>
                <w:color w:val="000000"/>
                <w:sz w:val="20"/>
                <w:szCs w:val="20"/>
              </w:rPr>
              <w:t xml:space="preserve">. Still, researchers are using attitude as a determinant of </w:t>
            </w:r>
            <w:r w:rsidR="001812EB" w:rsidRPr="00644CCA">
              <w:rPr>
                <w:rFonts w:ascii="Times New Roman" w:eastAsia="Times New Roman" w:hAnsi="Times New Roman" w:cs="Times New Roman"/>
                <w:color w:val="000000"/>
                <w:sz w:val="20"/>
                <w:szCs w:val="20"/>
              </w:rPr>
              <w:t>behaviour</w:t>
            </w:r>
            <w:r w:rsidR="00134B0D" w:rsidRPr="00644CCA">
              <w:rPr>
                <w:rFonts w:ascii="Times New Roman" w:eastAsia="Times New Roman" w:hAnsi="Times New Roman" w:cs="Times New Roman"/>
                <w:color w:val="000000"/>
                <w:sz w:val="20"/>
                <w:szCs w:val="20"/>
              </w:rPr>
              <w:t>al intention, and studies on customer acceptance of AI in healthcare are</w:t>
            </w:r>
            <w:r w:rsidRPr="00644CCA">
              <w:rPr>
                <w:rFonts w:ascii="Times New Roman" w:eastAsia="Times New Roman" w:hAnsi="Times New Roman" w:cs="Times New Roman"/>
                <w:color w:val="000000"/>
                <w:sz w:val="20"/>
                <w:szCs w:val="20"/>
              </w:rPr>
              <w:t xml:space="preserve"> no exception here.</w:t>
            </w:r>
          </w:p>
        </w:tc>
      </w:tr>
      <w:tr w:rsidR="000C2BDF" w:rsidRPr="00644CCA" w14:paraId="7E2A87EE" w14:textId="77777777" w:rsidTr="00621097">
        <w:trPr>
          <w:trHeight w:val="20"/>
        </w:trPr>
        <w:tc>
          <w:tcPr>
            <w:tcW w:w="570" w:type="dxa"/>
            <w:vMerge/>
            <w:tcBorders>
              <w:top w:val="nil"/>
              <w:left w:val="single" w:sz="8" w:space="0" w:color="000000"/>
              <w:bottom w:val="single" w:sz="8" w:space="0" w:color="000000"/>
              <w:right w:val="single" w:sz="8" w:space="0" w:color="000000"/>
            </w:tcBorders>
            <w:vAlign w:val="center"/>
            <w:hideMark/>
          </w:tcPr>
          <w:p w14:paraId="18212F7E"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4C27B12A"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29C48189" w14:textId="1EE0D632"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Perceived </w:t>
            </w:r>
            <w:r w:rsidR="001812EB" w:rsidRPr="00644CCA">
              <w:rPr>
                <w:rFonts w:ascii="Times New Roman" w:eastAsia="Times New Roman" w:hAnsi="Times New Roman" w:cs="Times New Roman"/>
                <w:color w:val="000000"/>
                <w:sz w:val="20"/>
                <w:szCs w:val="20"/>
              </w:rPr>
              <w:t>Behaviour</w:t>
            </w:r>
            <w:r w:rsidRPr="00644CCA">
              <w:rPr>
                <w:rFonts w:ascii="Times New Roman" w:eastAsia="Times New Roman" w:hAnsi="Times New Roman" w:cs="Times New Roman"/>
                <w:color w:val="000000"/>
                <w:sz w:val="20"/>
                <w:szCs w:val="20"/>
              </w:rPr>
              <w:t>al Control</w:t>
            </w:r>
          </w:p>
        </w:tc>
        <w:tc>
          <w:tcPr>
            <w:tcW w:w="3495" w:type="dxa"/>
            <w:tcBorders>
              <w:top w:val="nil"/>
              <w:left w:val="nil"/>
              <w:bottom w:val="single" w:sz="8" w:space="0" w:color="000000"/>
              <w:right w:val="single" w:sz="8" w:space="0" w:color="000000"/>
            </w:tcBorders>
            <w:shd w:val="clear" w:color="auto" w:fill="auto"/>
            <w:vAlign w:val="center"/>
            <w:hideMark/>
          </w:tcPr>
          <w:p w14:paraId="72AA201C"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Sawrikar and Mote (2022); Venkatesh et al. (2000); Wu et al. (2015)</w:t>
            </w:r>
          </w:p>
        </w:tc>
        <w:tc>
          <w:tcPr>
            <w:tcW w:w="6192" w:type="dxa"/>
            <w:tcBorders>
              <w:top w:val="nil"/>
              <w:left w:val="nil"/>
              <w:bottom w:val="single" w:sz="8" w:space="0" w:color="000000"/>
              <w:right w:val="single" w:sz="8" w:space="0" w:color="000000"/>
            </w:tcBorders>
            <w:shd w:val="clear" w:color="auto" w:fill="auto"/>
            <w:vAlign w:val="center"/>
            <w:hideMark/>
          </w:tcPr>
          <w:p w14:paraId="039ECCFC" w14:textId="69EE34CE"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Perceived </w:t>
            </w:r>
            <w:r w:rsidR="001812EB" w:rsidRPr="00644CCA">
              <w:rPr>
                <w:rFonts w:ascii="Times New Roman" w:eastAsia="Times New Roman" w:hAnsi="Times New Roman" w:cs="Times New Roman"/>
                <w:color w:val="000000"/>
                <w:sz w:val="20"/>
                <w:szCs w:val="20"/>
              </w:rPr>
              <w:t>Behaviour</w:t>
            </w:r>
            <w:r w:rsidRPr="00644CCA">
              <w:rPr>
                <w:rFonts w:ascii="Times New Roman" w:eastAsia="Times New Roman" w:hAnsi="Times New Roman" w:cs="Times New Roman"/>
                <w:color w:val="000000"/>
                <w:sz w:val="20"/>
                <w:szCs w:val="20"/>
              </w:rPr>
              <w:t xml:space="preserve">al Control refers to the extent to which individuals are confident that they have control over internal or external factors that may facilitate or constrain </w:t>
            </w:r>
            <w:r w:rsidR="00134B0D" w:rsidRPr="00644CCA">
              <w:rPr>
                <w:rFonts w:ascii="Times New Roman" w:eastAsia="Times New Roman" w:hAnsi="Times New Roman" w:cs="Times New Roman"/>
                <w:color w:val="000000"/>
                <w:sz w:val="20"/>
                <w:szCs w:val="20"/>
              </w:rPr>
              <w:t>their</w:t>
            </w:r>
            <w:r w:rsidRPr="00644CCA">
              <w:rPr>
                <w:rFonts w:ascii="Times New Roman" w:eastAsia="Times New Roman" w:hAnsi="Times New Roman" w:cs="Times New Roman"/>
                <w:color w:val="000000"/>
                <w:sz w:val="20"/>
                <w:szCs w:val="20"/>
              </w:rPr>
              <w:t xml:space="preserve"> </w:t>
            </w:r>
            <w:r w:rsidR="001812EB" w:rsidRPr="00644CCA">
              <w:rPr>
                <w:rFonts w:ascii="Times New Roman" w:eastAsia="Times New Roman" w:hAnsi="Times New Roman" w:cs="Times New Roman"/>
                <w:color w:val="000000"/>
                <w:sz w:val="20"/>
                <w:szCs w:val="20"/>
              </w:rPr>
              <w:t>behaviour</w:t>
            </w:r>
            <w:r w:rsidRPr="00644CCA">
              <w:rPr>
                <w:rFonts w:ascii="Times New Roman" w:eastAsia="Times New Roman" w:hAnsi="Times New Roman" w:cs="Times New Roman"/>
                <w:color w:val="000000"/>
                <w:sz w:val="20"/>
                <w:szCs w:val="20"/>
              </w:rPr>
              <w:t>al performance (Ajzen</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1991; Venkatesh et al.</w:t>
            </w:r>
            <w:r w:rsidR="009938EB" w:rsidRPr="00644CCA">
              <w:rPr>
                <w:rFonts w:ascii="Times New Roman" w:eastAsia="Times New Roman" w:hAnsi="Times New Roman" w:cs="Times New Roman"/>
                <w:color w:val="000000"/>
                <w:sz w:val="20"/>
                <w:szCs w:val="20"/>
              </w:rPr>
              <w:t xml:space="preserve">, </w:t>
            </w:r>
            <w:r w:rsidRPr="00644CCA">
              <w:rPr>
                <w:rFonts w:ascii="Times New Roman" w:eastAsia="Times New Roman" w:hAnsi="Times New Roman" w:cs="Times New Roman"/>
                <w:color w:val="000000"/>
                <w:sz w:val="20"/>
                <w:szCs w:val="20"/>
              </w:rPr>
              <w:t>2000).</w:t>
            </w:r>
          </w:p>
        </w:tc>
      </w:tr>
      <w:tr w:rsidR="000C2BDF" w:rsidRPr="00644CCA" w14:paraId="24D0DBB6" w14:textId="77777777" w:rsidTr="00621097">
        <w:trPr>
          <w:trHeight w:val="20"/>
        </w:trPr>
        <w:tc>
          <w:tcPr>
            <w:tcW w:w="570" w:type="dxa"/>
            <w:vMerge/>
            <w:tcBorders>
              <w:top w:val="nil"/>
              <w:left w:val="single" w:sz="8" w:space="0" w:color="000000"/>
              <w:bottom w:val="single" w:sz="8" w:space="0" w:color="000000"/>
              <w:right w:val="single" w:sz="8" w:space="0" w:color="000000"/>
            </w:tcBorders>
            <w:vAlign w:val="center"/>
            <w:hideMark/>
          </w:tcPr>
          <w:p w14:paraId="40ADB1FE"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629232EA"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1DB82C74"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Self-efficacy</w:t>
            </w:r>
          </w:p>
        </w:tc>
        <w:tc>
          <w:tcPr>
            <w:tcW w:w="3495" w:type="dxa"/>
            <w:tcBorders>
              <w:top w:val="nil"/>
              <w:left w:val="nil"/>
              <w:bottom w:val="single" w:sz="8" w:space="0" w:color="000000"/>
              <w:right w:val="single" w:sz="8" w:space="0" w:color="000000"/>
            </w:tcBorders>
            <w:shd w:val="clear" w:color="auto" w:fill="auto"/>
            <w:vAlign w:val="center"/>
            <w:hideMark/>
          </w:tcPr>
          <w:p w14:paraId="3D8E11C4"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Abouzahra and Ghasemaghaei (2020)</w:t>
            </w:r>
          </w:p>
        </w:tc>
        <w:tc>
          <w:tcPr>
            <w:tcW w:w="6192" w:type="dxa"/>
            <w:tcBorders>
              <w:top w:val="nil"/>
              <w:left w:val="nil"/>
              <w:bottom w:val="single" w:sz="8" w:space="0" w:color="000000"/>
              <w:right w:val="single" w:sz="8" w:space="0" w:color="000000"/>
            </w:tcBorders>
            <w:shd w:val="clear" w:color="auto" w:fill="auto"/>
            <w:vAlign w:val="center"/>
            <w:hideMark/>
          </w:tcPr>
          <w:p w14:paraId="0E4C6BD1" w14:textId="5FE22531"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Self-efficacy refers to the users' perceptions of their ability to control and use new technology (Abouzahra </w:t>
            </w:r>
            <w:r w:rsidR="009938EB" w:rsidRPr="00644CCA">
              <w:rPr>
                <w:rFonts w:ascii="Times New Roman" w:eastAsia="Times New Roman" w:hAnsi="Times New Roman" w:cs="Times New Roman"/>
                <w:color w:val="000000"/>
                <w:sz w:val="20"/>
                <w:szCs w:val="20"/>
              </w:rPr>
              <w:t>&amp;</w:t>
            </w:r>
            <w:r w:rsidRPr="00644CCA">
              <w:rPr>
                <w:rFonts w:ascii="Times New Roman" w:eastAsia="Times New Roman" w:hAnsi="Times New Roman" w:cs="Times New Roman"/>
                <w:color w:val="000000"/>
                <w:sz w:val="20"/>
                <w:szCs w:val="20"/>
              </w:rPr>
              <w:t xml:space="preserve"> Ghasemaghaei</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2020).</w:t>
            </w:r>
          </w:p>
        </w:tc>
      </w:tr>
      <w:tr w:rsidR="000C2BDF" w:rsidRPr="00644CCA" w14:paraId="79354496" w14:textId="77777777" w:rsidTr="00621097">
        <w:trPr>
          <w:cantSplit/>
          <w:trHeight w:val="20"/>
        </w:trPr>
        <w:tc>
          <w:tcPr>
            <w:tcW w:w="57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B89A417"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5</w:t>
            </w:r>
          </w:p>
        </w:tc>
        <w:tc>
          <w:tcPr>
            <w:tcW w:w="15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6A68F16D"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Psychosocial Factors</w:t>
            </w:r>
          </w:p>
        </w:tc>
        <w:tc>
          <w:tcPr>
            <w:tcW w:w="2110" w:type="dxa"/>
            <w:tcBorders>
              <w:top w:val="nil"/>
              <w:left w:val="nil"/>
              <w:bottom w:val="single" w:sz="8" w:space="0" w:color="000000"/>
              <w:right w:val="single" w:sz="8" w:space="0" w:color="000000"/>
            </w:tcBorders>
            <w:shd w:val="clear" w:color="auto" w:fill="auto"/>
            <w:vAlign w:val="center"/>
            <w:hideMark/>
          </w:tcPr>
          <w:p w14:paraId="5702D22A"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Social Influence</w:t>
            </w:r>
          </w:p>
        </w:tc>
        <w:tc>
          <w:tcPr>
            <w:tcW w:w="3495" w:type="dxa"/>
            <w:tcBorders>
              <w:top w:val="nil"/>
              <w:left w:val="nil"/>
              <w:bottom w:val="single" w:sz="8" w:space="0" w:color="000000"/>
              <w:right w:val="single" w:sz="8" w:space="0" w:color="000000"/>
            </w:tcBorders>
            <w:shd w:val="clear" w:color="auto" w:fill="auto"/>
            <w:vAlign w:val="center"/>
            <w:hideMark/>
          </w:tcPr>
          <w:p w14:paraId="224580DB"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Abouzahra and Ghasemaghaei (2020); Almalki (2021); BenMessaoud et al. (2011); Chi et al. (2023); Gursoy et al. (2019); Mishra et al. (2022)</w:t>
            </w:r>
          </w:p>
        </w:tc>
        <w:tc>
          <w:tcPr>
            <w:tcW w:w="6192" w:type="dxa"/>
            <w:tcBorders>
              <w:top w:val="nil"/>
              <w:left w:val="nil"/>
              <w:bottom w:val="single" w:sz="8" w:space="0" w:color="000000"/>
              <w:right w:val="single" w:sz="8" w:space="0" w:color="000000"/>
            </w:tcBorders>
            <w:shd w:val="clear" w:color="auto" w:fill="auto"/>
            <w:vAlign w:val="center"/>
            <w:hideMark/>
          </w:tcPr>
          <w:p w14:paraId="5F6D251A" w14:textId="494B0321"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Social Influence is defined as the degree to which individuals perceive that others believe they should use the new system (Venkatesh et al.</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2003).</w:t>
            </w:r>
          </w:p>
        </w:tc>
      </w:tr>
      <w:tr w:rsidR="000C2BDF" w:rsidRPr="00644CCA" w14:paraId="4CC8308C" w14:textId="77777777" w:rsidTr="00621097">
        <w:trPr>
          <w:cantSplit/>
          <w:trHeight w:val="20"/>
        </w:trPr>
        <w:tc>
          <w:tcPr>
            <w:tcW w:w="570" w:type="dxa"/>
            <w:vMerge/>
            <w:tcBorders>
              <w:top w:val="nil"/>
              <w:left w:val="single" w:sz="8" w:space="0" w:color="000000"/>
              <w:bottom w:val="single" w:sz="8" w:space="0" w:color="000000"/>
              <w:right w:val="single" w:sz="8" w:space="0" w:color="000000"/>
            </w:tcBorders>
            <w:vAlign w:val="center"/>
            <w:hideMark/>
          </w:tcPr>
          <w:p w14:paraId="0B952F26"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753E73A2"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77E6FBD8"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Anthropomorphism</w:t>
            </w:r>
          </w:p>
        </w:tc>
        <w:tc>
          <w:tcPr>
            <w:tcW w:w="3495" w:type="dxa"/>
            <w:tcBorders>
              <w:top w:val="nil"/>
              <w:left w:val="nil"/>
              <w:bottom w:val="single" w:sz="8" w:space="0" w:color="000000"/>
              <w:right w:val="single" w:sz="8" w:space="0" w:color="000000"/>
            </w:tcBorders>
            <w:shd w:val="clear" w:color="auto" w:fill="auto"/>
            <w:vAlign w:val="center"/>
            <w:hideMark/>
          </w:tcPr>
          <w:p w14:paraId="7358802E"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Almalki (2021); Chi et al. (2023); Gursoy et al. (2019); Holthöwer and Doorn (2023); Liu and Tao (2022); Mishra et al. (2022)</w:t>
            </w:r>
          </w:p>
        </w:tc>
        <w:tc>
          <w:tcPr>
            <w:tcW w:w="6192" w:type="dxa"/>
            <w:tcBorders>
              <w:top w:val="nil"/>
              <w:left w:val="nil"/>
              <w:bottom w:val="single" w:sz="8" w:space="0" w:color="000000"/>
              <w:right w:val="single" w:sz="8" w:space="0" w:color="000000"/>
            </w:tcBorders>
            <w:shd w:val="clear" w:color="auto" w:fill="auto"/>
            <w:vAlign w:val="center"/>
            <w:hideMark/>
          </w:tcPr>
          <w:p w14:paraId="253A6883" w14:textId="3B951C13"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Anthropomorphism refers to the extent of an object's humanlike characteristics</w:t>
            </w:r>
            <w:r w:rsidR="00134B0D"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such as human appearance, emotion, and self-consciousness (Gursoy et al.</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2019; H.-Y. </w:t>
            </w:r>
            <w:r w:rsidR="009938EB" w:rsidRPr="00644CCA">
              <w:rPr>
                <w:rFonts w:ascii="Times New Roman" w:eastAsia="Times New Roman" w:hAnsi="Times New Roman" w:cs="Times New Roman"/>
                <w:color w:val="000000"/>
                <w:sz w:val="20"/>
                <w:szCs w:val="20"/>
              </w:rPr>
              <w:t>et al.,</w:t>
            </w:r>
            <w:r w:rsidRPr="00644CCA">
              <w:rPr>
                <w:rFonts w:ascii="Times New Roman" w:eastAsia="Times New Roman" w:hAnsi="Times New Roman" w:cs="Times New Roman"/>
                <w:color w:val="000000"/>
                <w:sz w:val="20"/>
                <w:szCs w:val="20"/>
              </w:rPr>
              <w:t xml:space="preserve"> 2018).</w:t>
            </w:r>
          </w:p>
        </w:tc>
      </w:tr>
      <w:tr w:rsidR="000C2BDF" w:rsidRPr="00644CCA" w14:paraId="69E3D710" w14:textId="77777777" w:rsidTr="00621097">
        <w:trPr>
          <w:cantSplit/>
          <w:trHeight w:val="20"/>
        </w:trPr>
        <w:tc>
          <w:tcPr>
            <w:tcW w:w="570" w:type="dxa"/>
            <w:vMerge/>
            <w:tcBorders>
              <w:top w:val="nil"/>
              <w:left w:val="single" w:sz="8" w:space="0" w:color="000000"/>
              <w:bottom w:val="single" w:sz="8" w:space="0" w:color="000000"/>
              <w:right w:val="single" w:sz="8" w:space="0" w:color="000000"/>
            </w:tcBorders>
            <w:vAlign w:val="center"/>
            <w:hideMark/>
          </w:tcPr>
          <w:p w14:paraId="36FB4539"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609B77CB"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474F89A7"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Subjective norms</w:t>
            </w:r>
          </w:p>
        </w:tc>
        <w:tc>
          <w:tcPr>
            <w:tcW w:w="3495" w:type="dxa"/>
            <w:tcBorders>
              <w:top w:val="nil"/>
              <w:left w:val="nil"/>
              <w:bottom w:val="single" w:sz="8" w:space="0" w:color="000000"/>
              <w:right w:val="single" w:sz="8" w:space="0" w:color="000000"/>
            </w:tcBorders>
            <w:shd w:val="clear" w:color="auto" w:fill="auto"/>
            <w:vAlign w:val="center"/>
            <w:hideMark/>
          </w:tcPr>
          <w:p w14:paraId="51609C84"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Ameen et al. (2021); Sawrikar and Mote (2022); Venkatesh et al. (2000); Wu et al. (2015)</w:t>
            </w:r>
          </w:p>
        </w:tc>
        <w:tc>
          <w:tcPr>
            <w:tcW w:w="6192" w:type="dxa"/>
            <w:tcBorders>
              <w:top w:val="nil"/>
              <w:left w:val="nil"/>
              <w:bottom w:val="single" w:sz="8" w:space="0" w:color="000000"/>
              <w:right w:val="single" w:sz="8" w:space="0" w:color="000000"/>
            </w:tcBorders>
            <w:shd w:val="clear" w:color="auto" w:fill="auto"/>
            <w:vAlign w:val="center"/>
            <w:hideMark/>
          </w:tcPr>
          <w:p w14:paraId="02614D6C" w14:textId="046A0352"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Subjective norms refer to an individual's belief that a specific set of people or groups think that the individual should behave in a certain way and to the individual's motivation to comply with those views (Ameen et al.</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2021).</w:t>
            </w:r>
          </w:p>
        </w:tc>
      </w:tr>
      <w:tr w:rsidR="000C2BDF" w:rsidRPr="00644CCA" w14:paraId="6547839D" w14:textId="77777777" w:rsidTr="00621097">
        <w:trPr>
          <w:cantSplit/>
          <w:trHeight w:val="20"/>
        </w:trPr>
        <w:tc>
          <w:tcPr>
            <w:tcW w:w="570" w:type="dxa"/>
            <w:vMerge/>
            <w:tcBorders>
              <w:top w:val="nil"/>
              <w:left w:val="single" w:sz="8" w:space="0" w:color="000000"/>
              <w:bottom w:val="single" w:sz="8" w:space="0" w:color="000000"/>
              <w:right w:val="single" w:sz="8" w:space="0" w:color="000000"/>
            </w:tcBorders>
            <w:vAlign w:val="center"/>
            <w:hideMark/>
          </w:tcPr>
          <w:p w14:paraId="64BE6ECF"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78ADDE8D"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413FC1E1" w14:textId="38B1684A"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Human </w:t>
            </w:r>
            <w:r w:rsidR="00134B0D" w:rsidRPr="00644CCA">
              <w:rPr>
                <w:rFonts w:ascii="Times New Roman" w:eastAsia="Times New Roman" w:hAnsi="Times New Roman" w:cs="Times New Roman"/>
                <w:color w:val="000000"/>
                <w:sz w:val="20"/>
                <w:szCs w:val="20"/>
              </w:rPr>
              <w:t>Element</w:t>
            </w:r>
            <w:r w:rsidRPr="00644CCA">
              <w:rPr>
                <w:rFonts w:ascii="Times New Roman" w:eastAsia="Times New Roman" w:hAnsi="Times New Roman" w:cs="Times New Roman"/>
                <w:color w:val="000000"/>
                <w:sz w:val="20"/>
                <w:szCs w:val="20"/>
              </w:rPr>
              <w:t xml:space="preserve"> of Care</w:t>
            </w:r>
          </w:p>
        </w:tc>
        <w:tc>
          <w:tcPr>
            <w:tcW w:w="3495" w:type="dxa"/>
            <w:tcBorders>
              <w:top w:val="nil"/>
              <w:left w:val="nil"/>
              <w:bottom w:val="single" w:sz="8" w:space="0" w:color="000000"/>
              <w:right w:val="single" w:sz="8" w:space="0" w:color="000000"/>
            </w:tcBorders>
            <w:shd w:val="clear" w:color="auto" w:fill="auto"/>
            <w:vAlign w:val="center"/>
            <w:hideMark/>
          </w:tcPr>
          <w:p w14:paraId="45FDBBEA"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Adams et al. (2020); Antes et al. (2021); Jutzi et al. (2020)</w:t>
            </w:r>
          </w:p>
        </w:tc>
        <w:tc>
          <w:tcPr>
            <w:tcW w:w="6192" w:type="dxa"/>
            <w:tcBorders>
              <w:top w:val="nil"/>
              <w:left w:val="nil"/>
              <w:bottom w:val="single" w:sz="8" w:space="0" w:color="000000"/>
              <w:right w:val="single" w:sz="8" w:space="0" w:color="000000"/>
            </w:tcBorders>
            <w:shd w:val="clear" w:color="auto" w:fill="auto"/>
            <w:vAlign w:val="center"/>
            <w:hideMark/>
          </w:tcPr>
          <w:p w14:paraId="321EDE6B" w14:textId="0D79C605" w:rsidR="000C2BDF" w:rsidRPr="00644CCA" w:rsidRDefault="00134B0D"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The human</w:t>
            </w:r>
            <w:r w:rsidR="000C2BDF" w:rsidRPr="00644CCA">
              <w:rPr>
                <w:rFonts w:ascii="Times New Roman" w:eastAsia="Times New Roman" w:hAnsi="Times New Roman" w:cs="Times New Roman"/>
                <w:color w:val="000000"/>
                <w:sz w:val="20"/>
                <w:szCs w:val="20"/>
              </w:rPr>
              <w:t xml:space="preserve"> element of care refers to </w:t>
            </w:r>
            <w:r w:rsidRPr="00644CCA">
              <w:rPr>
                <w:rFonts w:ascii="Times New Roman" w:eastAsia="Times New Roman" w:hAnsi="Times New Roman" w:cs="Times New Roman"/>
                <w:color w:val="000000"/>
                <w:sz w:val="20"/>
                <w:szCs w:val="20"/>
              </w:rPr>
              <w:t>patients’ relationship</w:t>
            </w:r>
            <w:r w:rsidR="000C2BDF" w:rsidRPr="00644CCA">
              <w:rPr>
                <w:rFonts w:ascii="Times New Roman" w:eastAsia="Times New Roman" w:hAnsi="Times New Roman" w:cs="Times New Roman"/>
                <w:color w:val="000000"/>
                <w:sz w:val="20"/>
                <w:szCs w:val="20"/>
              </w:rPr>
              <w:t xml:space="preserve"> with their clinicians during </w:t>
            </w:r>
            <w:r w:rsidRPr="00644CCA">
              <w:rPr>
                <w:rFonts w:ascii="Times New Roman" w:eastAsia="Times New Roman" w:hAnsi="Times New Roman" w:cs="Times New Roman"/>
                <w:color w:val="000000"/>
                <w:sz w:val="20"/>
                <w:szCs w:val="20"/>
              </w:rPr>
              <w:t>treatment</w:t>
            </w:r>
            <w:r w:rsidR="000C2BDF" w:rsidRPr="00644CCA">
              <w:rPr>
                <w:rFonts w:ascii="Times New Roman" w:eastAsia="Times New Roman" w:hAnsi="Times New Roman" w:cs="Times New Roman"/>
                <w:color w:val="000000"/>
                <w:sz w:val="20"/>
                <w:szCs w:val="20"/>
              </w:rPr>
              <w:t>.</w:t>
            </w:r>
          </w:p>
        </w:tc>
      </w:tr>
      <w:tr w:rsidR="000C2BDF" w:rsidRPr="00644CCA" w14:paraId="0BEE3785" w14:textId="77777777" w:rsidTr="00621097">
        <w:trPr>
          <w:cantSplit/>
          <w:trHeight w:val="20"/>
        </w:trPr>
        <w:tc>
          <w:tcPr>
            <w:tcW w:w="570" w:type="dxa"/>
            <w:vMerge/>
            <w:tcBorders>
              <w:top w:val="nil"/>
              <w:left w:val="single" w:sz="8" w:space="0" w:color="000000"/>
              <w:bottom w:val="single" w:sz="8" w:space="0" w:color="000000"/>
              <w:right w:val="single" w:sz="8" w:space="0" w:color="000000"/>
            </w:tcBorders>
            <w:vAlign w:val="center"/>
            <w:hideMark/>
          </w:tcPr>
          <w:p w14:paraId="03910896"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6E032134"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091DC95F"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Facilitating conditions</w:t>
            </w:r>
          </w:p>
        </w:tc>
        <w:tc>
          <w:tcPr>
            <w:tcW w:w="3495" w:type="dxa"/>
            <w:tcBorders>
              <w:top w:val="nil"/>
              <w:left w:val="nil"/>
              <w:bottom w:val="single" w:sz="8" w:space="0" w:color="000000"/>
              <w:right w:val="single" w:sz="8" w:space="0" w:color="000000"/>
            </w:tcBorders>
            <w:shd w:val="clear" w:color="auto" w:fill="auto"/>
            <w:vAlign w:val="center"/>
            <w:hideMark/>
          </w:tcPr>
          <w:p w14:paraId="56C2F031"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Almalki (2021); BenMessaoud et al. (2011)</w:t>
            </w:r>
          </w:p>
        </w:tc>
        <w:tc>
          <w:tcPr>
            <w:tcW w:w="6192" w:type="dxa"/>
            <w:tcBorders>
              <w:top w:val="nil"/>
              <w:left w:val="nil"/>
              <w:bottom w:val="single" w:sz="8" w:space="0" w:color="000000"/>
              <w:right w:val="single" w:sz="8" w:space="0" w:color="000000"/>
            </w:tcBorders>
            <w:shd w:val="clear" w:color="auto" w:fill="auto"/>
            <w:vAlign w:val="center"/>
            <w:hideMark/>
          </w:tcPr>
          <w:p w14:paraId="0F8567DD" w14:textId="720E25CC"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"Facilitating conditions are defined as the degree to which an individual believes that an organizational and technical infrastructure exists to support </w:t>
            </w:r>
            <w:r w:rsidR="00134B0D" w:rsidRPr="00644CCA">
              <w:rPr>
                <w:rFonts w:ascii="Times New Roman" w:eastAsia="Times New Roman" w:hAnsi="Times New Roman" w:cs="Times New Roman"/>
                <w:color w:val="000000"/>
                <w:sz w:val="20"/>
                <w:szCs w:val="20"/>
              </w:rPr>
              <w:t xml:space="preserve">the </w:t>
            </w:r>
            <w:r w:rsidRPr="00644CCA">
              <w:rPr>
                <w:rFonts w:ascii="Times New Roman" w:eastAsia="Times New Roman" w:hAnsi="Times New Roman" w:cs="Times New Roman"/>
                <w:color w:val="000000"/>
                <w:sz w:val="20"/>
                <w:szCs w:val="20"/>
              </w:rPr>
              <w:t>use of the system" (Venkatesh et al.</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2003; p. 453).</w:t>
            </w:r>
          </w:p>
        </w:tc>
      </w:tr>
      <w:tr w:rsidR="000C2BDF" w:rsidRPr="00644CCA" w14:paraId="3517F37B" w14:textId="77777777" w:rsidTr="00621097">
        <w:trPr>
          <w:cantSplit/>
          <w:trHeight w:val="20"/>
        </w:trPr>
        <w:tc>
          <w:tcPr>
            <w:tcW w:w="570" w:type="dxa"/>
            <w:vMerge/>
            <w:tcBorders>
              <w:top w:val="nil"/>
              <w:left w:val="single" w:sz="8" w:space="0" w:color="000000"/>
              <w:bottom w:val="single" w:sz="8" w:space="0" w:color="000000"/>
              <w:right w:val="single" w:sz="8" w:space="0" w:color="000000"/>
            </w:tcBorders>
            <w:vAlign w:val="center"/>
            <w:hideMark/>
          </w:tcPr>
          <w:p w14:paraId="4CD49F90"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13FA44A3"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0327D538"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Cultural differences</w:t>
            </w:r>
          </w:p>
        </w:tc>
        <w:tc>
          <w:tcPr>
            <w:tcW w:w="3495" w:type="dxa"/>
            <w:tcBorders>
              <w:top w:val="nil"/>
              <w:left w:val="nil"/>
              <w:bottom w:val="single" w:sz="8" w:space="0" w:color="000000"/>
              <w:right w:val="single" w:sz="8" w:space="0" w:color="000000"/>
            </w:tcBorders>
            <w:shd w:val="clear" w:color="auto" w:fill="auto"/>
            <w:vAlign w:val="center"/>
            <w:hideMark/>
          </w:tcPr>
          <w:p w14:paraId="2A2B7B12"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Adams et al. (2020); Chi et al. </w:t>
            </w:r>
            <w:r w:rsidRPr="00437EBD">
              <w:rPr>
                <w:rFonts w:ascii="Times New Roman" w:eastAsia="Times New Roman" w:hAnsi="Times New Roman" w:cs="Times New Roman"/>
                <w:color w:val="000000"/>
                <w:sz w:val="20"/>
                <w:szCs w:val="20"/>
                <w:lang w:val="pt-PT"/>
              </w:rPr>
              <w:t xml:space="preserve">(2023); Papadopoulos et al. (2022); Pitardi et al. </w:t>
            </w:r>
            <w:r w:rsidRPr="00644CCA">
              <w:rPr>
                <w:rFonts w:ascii="Times New Roman" w:eastAsia="Times New Roman" w:hAnsi="Times New Roman" w:cs="Times New Roman"/>
                <w:color w:val="000000"/>
                <w:sz w:val="20"/>
                <w:szCs w:val="20"/>
              </w:rPr>
              <w:t>(2023)</w:t>
            </w:r>
          </w:p>
        </w:tc>
        <w:tc>
          <w:tcPr>
            <w:tcW w:w="6192" w:type="dxa"/>
            <w:tcBorders>
              <w:top w:val="nil"/>
              <w:left w:val="nil"/>
              <w:bottom w:val="single" w:sz="8" w:space="0" w:color="000000"/>
              <w:right w:val="single" w:sz="8" w:space="0" w:color="000000"/>
            </w:tcBorders>
            <w:shd w:val="clear" w:color="auto" w:fill="auto"/>
            <w:vAlign w:val="center"/>
            <w:hideMark/>
          </w:tcPr>
          <w:p w14:paraId="611D1E15" w14:textId="510D4D9B"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Cultural differences are very influential in determining </w:t>
            </w:r>
            <w:r w:rsidR="00134B0D" w:rsidRPr="00644CCA">
              <w:rPr>
                <w:rFonts w:ascii="Times New Roman" w:eastAsia="Times New Roman" w:hAnsi="Times New Roman" w:cs="Times New Roman"/>
                <w:color w:val="000000"/>
                <w:sz w:val="20"/>
                <w:szCs w:val="20"/>
              </w:rPr>
              <w:t xml:space="preserve">the </w:t>
            </w:r>
            <w:r w:rsidR="001812EB" w:rsidRPr="00644CCA">
              <w:rPr>
                <w:rFonts w:ascii="Times New Roman" w:eastAsia="Times New Roman" w:hAnsi="Times New Roman" w:cs="Times New Roman"/>
                <w:color w:val="000000"/>
                <w:sz w:val="20"/>
                <w:szCs w:val="20"/>
              </w:rPr>
              <w:t>behaviour</w:t>
            </w:r>
            <w:r w:rsidRPr="00644CCA">
              <w:rPr>
                <w:rFonts w:ascii="Times New Roman" w:eastAsia="Times New Roman" w:hAnsi="Times New Roman" w:cs="Times New Roman"/>
                <w:color w:val="000000"/>
                <w:sz w:val="20"/>
                <w:szCs w:val="20"/>
              </w:rPr>
              <w:t>al intentions of individuals regarding customer acceptance of AI in healthcare. Culture can be defined as “the collective programming of the mind which distinguishes the members of one human group from another '' (Hofstede</w:t>
            </w:r>
            <w:r w:rsidR="009938EB" w:rsidRPr="00644CCA">
              <w:rPr>
                <w:rFonts w:ascii="Times New Roman" w:eastAsia="Times New Roman" w:hAnsi="Times New Roman" w:cs="Times New Roman"/>
                <w:color w:val="000000"/>
                <w:sz w:val="20"/>
                <w:szCs w:val="20"/>
              </w:rPr>
              <w:t>,</w:t>
            </w:r>
            <w:r w:rsidRPr="00644CCA">
              <w:rPr>
                <w:rFonts w:ascii="Times New Roman" w:eastAsia="Times New Roman" w:hAnsi="Times New Roman" w:cs="Times New Roman"/>
                <w:color w:val="000000"/>
                <w:sz w:val="20"/>
                <w:szCs w:val="20"/>
              </w:rPr>
              <w:t xml:space="preserve"> 1980; p. 43).</w:t>
            </w:r>
          </w:p>
        </w:tc>
      </w:tr>
      <w:tr w:rsidR="000C2BDF" w:rsidRPr="00644CCA" w14:paraId="051A4DDA" w14:textId="77777777" w:rsidTr="00621097">
        <w:trPr>
          <w:cantSplit/>
          <w:trHeight w:val="20"/>
        </w:trPr>
        <w:tc>
          <w:tcPr>
            <w:tcW w:w="570"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2E48614"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6</w:t>
            </w:r>
          </w:p>
        </w:tc>
        <w:tc>
          <w:tcPr>
            <w:tcW w:w="1584"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43F8A9A6"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Outcomes</w:t>
            </w:r>
          </w:p>
        </w:tc>
        <w:tc>
          <w:tcPr>
            <w:tcW w:w="2110" w:type="dxa"/>
            <w:tcBorders>
              <w:top w:val="nil"/>
              <w:left w:val="nil"/>
              <w:bottom w:val="single" w:sz="8" w:space="0" w:color="000000"/>
              <w:right w:val="single" w:sz="8" w:space="0" w:color="000000"/>
            </w:tcBorders>
            <w:shd w:val="clear" w:color="auto" w:fill="auto"/>
            <w:vAlign w:val="center"/>
            <w:hideMark/>
          </w:tcPr>
          <w:p w14:paraId="35910CDD"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Technology adoption/ Continuation Intention</w:t>
            </w:r>
          </w:p>
        </w:tc>
        <w:tc>
          <w:tcPr>
            <w:tcW w:w="3495" w:type="dxa"/>
            <w:tcBorders>
              <w:top w:val="nil"/>
              <w:left w:val="nil"/>
              <w:bottom w:val="single" w:sz="8" w:space="0" w:color="000000"/>
              <w:right w:val="single" w:sz="8" w:space="0" w:color="000000"/>
            </w:tcBorders>
            <w:shd w:val="clear" w:color="auto" w:fill="auto"/>
            <w:vAlign w:val="center"/>
            <w:hideMark/>
          </w:tcPr>
          <w:p w14:paraId="18A73FAC"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Ammer et al. (2022); Angst and Aggrawal (2009); Balakrishnan and Dwivedi (2020); Bansal et al. (2010); BenMessaoud et al. (2011); Chi et al. (2023); Esmaeilzadeh (2021); Gursoy et al. (2019); Huarng et al. (2022); Kim et al. (2021); Li and Wang (2022); Liu et al. (2022); Ou et al. (2022); Phelps et al. (2000); Sawrikar and Mote (2022); Venkatesh et al. (2000); Wu et al. (2015); Ye et al. (2019); Zhou et al. (2019)</w:t>
            </w:r>
          </w:p>
        </w:tc>
        <w:tc>
          <w:tcPr>
            <w:tcW w:w="6192" w:type="dxa"/>
            <w:tcBorders>
              <w:top w:val="nil"/>
              <w:left w:val="nil"/>
              <w:bottom w:val="single" w:sz="8" w:space="0" w:color="000000"/>
              <w:right w:val="single" w:sz="8" w:space="0" w:color="000000"/>
            </w:tcBorders>
            <w:shd w:val="clear" w:color="auto" w:fill="auto"/>
            <w:vAlign w:val="center"/>
            <w:hideMark/>
          </w:tcPr>
          <w:p w14:paraId="6342649A" w14:textId="2EEFEB4A" w:rsidR="000C2BDF" w:rsidRPr="00644CCA" w:rsidRDefault="001812EB"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Behaviour</w:t>
            </w:r>
            <w:r w:rsidR="000C2BDF" w:rsidRPr="00644CCA">
              <w:rPr>
                <w:rFonts w:ascii="Times New Roman" w:eastAsia="Times New Roman" w:hAnsi="Times New Roman" w:cs="Times New Roman"/>
                <w:color w:val="000000"/>
                <w:sz w:val="20"/>
                <w:szCs w:val="20"/>
              </w:rPr>
              <w:t xml:space="preserve">al intention to use is an </w:t>
            </w:r>
            <w:r w:rsidR="00134B0D" w:rsidRPr="00644CCA">
              <w:rPr>
                <w:rFonts w:ascii="Times New Roman" w:eastAsia="Times New Roman" w:hAnsi="Times New Roman" w:cs="Times New Roman"/>
                <w:color w:val="000000"/>
                <w:sz w:val="20"/>
                <w:szCs w:val="20"/>
              </w:rPr>
              <w:t>individual’s</w:t>
            </w:r>
            <w:r w:rsidR="000C2BDF" w:rsidRPr="00644CCA">
              <w:rPr>
                <w:rFonts w:ascii="Times New Roman" w:eastAsia="Times New Roman" w:hAnsi="Times New Roman" w:cs="Times New Roman"/>
                <w:color w:val="000000"/>
                <w:sz w:val="20"/>
                <w:szCs w:val="20"/>
              </w:rPr>
              <w:t xml:space="preserve"> perceived likelihood or subjective probability that they will engage in a given </w:t>
            </w:r>
            <w:r w:rsidRPr="00644CCA">
              <w:rPr>
                <w:rFonts w:ascii="Times New Roman" w:eastAsia="Times New Roman" w:hAnsi="Times New Roman" w:cs="Times New Roman"/>
                <w:color w:val="000000"/>
                <w:sz w:val="20"/>
                <w:szCs w:val="20"/>
              </w:rPr>
              <w:t>behaviour</w:t>
            </w:r>
            <w:r w:rsidR="000C2BDF" w:rsidRPr="00644CCA">
              <w:rPr>
                <w:rFonts w:ascii="Times New Roman" w:eastAsia="Times New Roman" w:hAnsi="Times New Roman" w:cs="Times New Roman"/>
                <w:color w:val="000000"/>
                <w:sz w:val="20"/>
                <w:szCs w:val="20"/>
              </w:rPr>
              <w:t xml:space="preserve"> (in this case</w:t>
            </w:r>
            <w:r w:rsidR="00134B0D" w:rsidRPr="00644CCA">
              <w:rPr>
                <w:rFonts w:ascii="Times New Roman" w:eastAsia="Times New Roman" w:hAnsi="Times New Roman" w:cs="Times New Roman"/>
                <w:color w:val="000000"/>
                <w:sz w:val="20"/>
                <w:szCs w:val="20"/>
              </w:rPr>
              <w:t>,</w:t>
            </w:r>
            <w:r w:rsidR="000C2BDF" w:rsidRPr="00644CCA">
              <w:rPr>
                <w:rFonts w:ascii="Times New Roman" w:eastAsia="Times New Roman" w:hAnsi="Times New Roman" w:cs="Times New Roman"/>
                <w:color w:val="000000"/>
                <w:sz w:val="20"/>
                <w:szCs w:val="20"/>
              </w:rPr>
              <w:t xml:space="preserve"> </w:t>
            </w:r>
            <w:r w:rsidR="000A1C61" w:rsidRPr="00644CCA">
              <w:rPr>
                <w:rFonts w:ascii="Times New Roman" w:eastAsia="Times New Roman" w:hAnsi="Times New Roman" w:cs="Times New Roman"/>
                <w:color w:val="000000"/>
                <w:sz w:val="20"/>
                <w:szCs w:val="20"/>
              </w:rPr>
              <w:t xml:space="preserve">the </w:t>
            </w:r>
            <w:r w:rsidR="000C2BDF" w:rsidRPr="00644CCA">
              <w:rPr>
                <w:rFonts w:ascii="Times New Roman" w:eastAsia="Times New Roman" w:hAnsi="Times New Roman" w:cs="Times New Roman"/>
                <w:color w:val="000000"/>
                <w:sz w:val="20"/>
                <w:szCs w:val="20"/>
              </w:rPr>
              <w:t xml:space="preserve">use of AI in healthcare) (Fishbein </w:t>
            </w:r>
            <w:r w:rsidR="000A1C61" w:rsidRPr="00644CCA">
              <w:rPr>
                <w:rFonts w:ascii="Times New Roman" w:eastAsia="Times New Roman" w:hAnsi="Times New Roman" w:cs="Times New Roman"/>
                <w:color w:val="000000"/>
                <w:sz w:val="20"/>
                <w:szCs w:val="20"/>
              </w:rPr>
              <w:t>&amp;</w:t>
            </w:r>
            <w:r w:rsidR="000C2BDF" w:rsidRPr="00644CCA">
              <w:rPr>
                <w:rFonts w:ascii="Times New Roman" w:eastAsia="Times New Roman" w:hAnsi="Times New Roman" w:cs="Times New Roman"/>
                <w:color w:val="000000"/>
                <w:sz w:val="20"/>
                <w:szCs w:val="20"/>
              </w:rPr>
              <w:t xml:space="preserve"> Ajzen</w:t>
            </w:r>
            <w:r w:rsidR="000A1C61" w:rsidRPr="00644CCA">
              <w:rPr>
                <w:rFonts w:ascii="Times New Roman" w:eastAsia="Times New Roman" w:hAnsi="Times New Roman" w:cs="Times New Roman"/>
                <w:color w:val="000000"/>
                <w:sz w:val="20"/>
                <w:szCs w:val="20"/>
              </w:rPr>
              <w:t>,</w:t>
            </w:r>
            <w:r w:rsidR="000C2BDF" w:rsidRPr="00644CCA">
              <w:rPr>
                <w:rFonts w:ascii="Times New Roman" w:eastAsia="Times New Roman" w:hAnsi="Times New Roman" w:cs="Times New Roman"/>
                <w:color w:val="000000"/>
                <w:sz w:val="20"/>
                <w:szCs w:val="20"/>
              </w:rPr>
              <w:t xml:space="preserve"> 1975; Venkatesh et al.</w:t>
            </w:r>
            <w:r w:rsidR="000A1C61" w:rsidRPr="00644CCA">
              <w:rPr>
                <w:rFonts w:ascii="Times New Roman" w:eastAsia="Times New Roman" w:hAnsi="Times New Roman" w:cs="Times New Roman"/>
                <w:color w:val="000000"/>
                <w:sz w:val="20"/>
                <w:szCs w:val="20"/>
              </w:rPr>
              <w:t>,</w:t>
            </w:r>
            <w:r w:rsidR="000C2BDF" w:rsidRPr="00644CCA">
              <w:rPr>
                <w:rFonts w:ascii="Times New Roman" w:eastAsia="Times New Roman" w:hAnsi="Times New Roman" w:cs="Times New Roman"/>
                <w:color w:val="000000"/>
                <w:sz w:val="20"/>
                <w:szCs w:val="20"/>
              </w:rPr>
              <w:t xml:space="preserve"> 2003). </w:t>
            </w:r>
            <w:r w:rsidR="00824A2B" w:rsidRPr="00644CCA">
              <w:rPr>
                <w:rFonts w:ascii="Times New Roman" w:eastAsia="Times New Roman" w:hAnsi="Times New Roman" w:cs="Times New Roman"/>
                <w:color w:val="000000"/>
                <w:sz w:val="20"/>
                <w:szCs w:val="20"/>
              </w:rPr>
              <w:t>Most</w:t>
            </w:r>
            <w:r w:rsidR="000C2BDF" w:rsidRPr="00644CCA">
              <w:rPr>
                <w:rFonts w:ascii="Times New Roman" w:eastAsia="Times New Roman" w:hAnsi="Times New Roman" w:cs="Times New Roman"/>
                <w:color w:val="000000"/>
                <w:sz w:val="20"/>
                <w:szCs w:val="20"/>
              </w:rPr>
              <w:t xml:space="preserve"> studies used the construct </w:t>
            </w:r>
            <w:r w:rsidR="00134B0D" w:rsidRPr="00644CCA">
              <w:rPr>
                <w:rFonts w:ascii="Times New Roman" w:eastAsia="Times New Roman" w:hAnsi="Times New Roman" w:cs="Times New Roman"/>
                <w:color w:val="000000"/>
                <w:sz w:val="20"/>
                <w:szCs w:val="20"/>
              </w:rPr>
              <w:t xml:space="preserve">of </w:t>
            </w:r>
            <w:r w:rsidRPr="00644CCA">
              <w:rPr>
                <w:rFonts w:ascii="Times New Roman" w:eastAsia="Times New Roman" w:hAnsi="Times New Roman" w:cs="Times New Roman"/>
                <w:color w:val="000000"/>
                <w:sz w:val="20"/>
                <w:szCs w:val="20"/>
              </w:rPr>
              <w:t>Behaviour</w:t>
            </w:r>
            <w:r w:rsidR="000C2BDF" w:rsidRPr="00644CCA">
              <w:rPr>
                <w:rFonts w:ascii="Times New Roman" w:eastAsia="Times New Roman" w:hAnsi="Times New Roman" w:cs="Times New Roman"/>
                <w:color w:val="000000"/>
                <w:sz w:val="20"/>
                <w:szCs w:val="20"/>
              </w:rPr>
              <w:t xml:space="preserve">al intention as </w:t>
            </w:r>
            <w:r w:rsidR="00824A2B" w:rsidRPr="00644CCA">
              <w:rPr>
                <w:rFonts w:ascii="Times New Roman" w:eastAsia="Times New Roman" w:hAnsi="Times New Roman" w:cs="Times New Roman"/>
                <w:color w:val="000000"/>
                <w:sz w:val="20"/>
                <w:szCs w:val="20"/>
              </w:rPr>
              <w:t xml:space="preserve">an </w:t>
            </w:r>
            <w:r w:rsidR="000C2BDF" w:rsidRPr="00644CCA">
              <w:rPr>
                <w:rFonts w:ascii="Times New Roman" w:eastAsia="Times New Roman" w:hAnsi="Times New Roman" w:cs="Times New Roman"/>
                <w:color w:val="000000"/>
                <w:sz w:val="20"/>
                <w:szCs w:val="20"/>
              </w:rPr>
              <w:t>outcome variable.</w:t>
            </w:r>
          </w:p>
        </w:tc>
      </w:tr>
      <w:tr w:rsidR="000C2BDF" w:rsidRPr="00644CCA" w14:paraId="42509DD1" w14:textId="77777777" w:rsidTr="00621097">
        <w:trPr>
          <w:cantSplit/>
          <w:trHeight w:val="20"/>
        </w:trPr>
        <w:tc>
          <w:tcPr>
            <w:tcW w:w="570" w:type="dxa"/>
            <w:vMerge/>
            <w:tcBorders>
              <w:top w:val="nil"/>
              <w:left w:val="single" w:sz="8" w:space="0" w:color="000000"/>
              <w:bottom w:val="single" w:sz="8" w:space="0" w:color="000000"/>
              <w:right w:val="single" w:sz="8" w:space="0" w:color="000000"/>
            </w:tcBorders>
            <w:vAlign w:val="center"/>
            <w:hideMark/>
          </w:tcPr>
          <w:p w14:paraId="5D2958DE"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1584" w:type="dxa"/>
            <w:vMerge/>
            <w:tcBorders>
              <w:top w:val="nil"/>
              <w:left w:val="single" w:sz="8" w:space="0" w:color="000000"/>
              <w:bottom w:val="single" w:sz="8" w:space="0" w:color="000000"/>
              <w:right w:val="single" w:sz="8" w:space="0" w:color="000000"/>
            </w:tcBorders>
            <w:vAlign w:val="center"/>
            <w:hideMark/>
          </w:tcPr>
          <w:p w14:paraId="16433117" w14:textId="77777777" w:rsidR="000C2BDF" w:rsidRPr="00644CCA" w:rsidRDefault="000C2BDF" w:rsidP="00621097">
            <w:pPr>
              <w:spacing w:after="0" w:line="240" w:lineRule="auto"/>
              <w:rPr>
                <w:rFonts w:ascii="Times New Roman" w:eastAsia="Times New Roman" w:hAnsi="Times New Roman" w:cs="Times New Roman"/>
                <w:color w:val="000000"/>
                <w:sz w:val="20"/>
                <w:szCs w:val="20"/>
              </w:rPr>
            </w:pPr>
          </w:p>
        </w:tc>
        <w:tc>
          <w:tcPr>
            <w:tcW w:w="2110" w:type="dxa"/>
            <w:tcBorders>
              <w:top w:val="nil"/>
              <w:left w:val="nil"/>
              <w:bottom w:val="single" w:sz="8" w:space="0" w:color="000000"/>
              <w:right w:val="single" w:sz="8" w:space="0" w:color="000000"/>
            </w:tcBorders>
            <w:shd w:val="clear" w:color="auto" w:fill="auto"/>
            <w:vAlign w:val="center"/>
            <w:hideMark/>
          </w:tcPr>
          <w:p w14:paraId="2ABEFD2C"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Acceptability</w:t>
            </w:r>
          </w:p>
        </w:tc>
        <w:tc>
          <w:tcPr>
            <w:tcW w:w="3495" w:type="dxa"/>
            <w:tcBorders>
              <w:top w:val="nil"/>
              <w:left w:val="nil"/>
              <w:bottom w:val="single" w:sz="8" w:space="0" w:color="000000"/>
              <w:right w:val="single" w:sz="8" w:space="0" w:color="000000"/>
            </w:tcBorders>
            <w:shd w:val="clear" w:color="auto" w:fill="auto"/>
            <w:vAlign w:val="center"/>
            <w:hideMark/>
          </w:tcPr>
          <w:p w14:paraId="7C035533"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437EBD">
              <w:rPr>
                <w:rFonts w:ascii="Times New Roman" w:eastAsia="Times New Roman" w:hAnsi="Times New Roman" w:cs="Times New Roman"/>
                <w:color w:val="000000"/>
                <w:sz w:val="20"/>
                <w:szCs w:val="20"/>
                <w:lang w:val="pt-PT"/>
              </w:rPr>
              <w:t xml:space="preserve">Nadarzynski et al. (2019); Papadopoulos et al. </w:t>
            </w:r>
            <w:r w:rsidRPr="00644CCA">
              <w:rPr>
                <w:rFonts w:ascii="Times New Roman" w:eastAsia="Times New Roman" w:hAnsi="Times New Roman" w:cs="Times New Roman"/>
                <w:color w:val="000000"/>
                <w:sz w:val="20"/>
                <w:szCs w:val="20"/>
              </w:rPr>
              <w:t>(2022)</w:t>
            </w:r>
          </w:p>
        </w:tc>
        <w:tc>
          <w:tcPr>
            <w:tcW w:w="6192" w:type="dxa"/>
            <w:tcBorders>
              <w:top w:val="nil"/>
              <w:left w:val="nil"/>
              <w:bottom w:val="single" w:sz="8" w:space="0" w:color="000000"/>
              <w:right w:val="single" w:sz="8" w:space="0" w:color="000000"/>
            </w:tcBorders>
            <w:shd w:val="clear" w:color="auto" w:fill="auto"/>
            <w:vAlign w:val="center"/>
            <w:hideMark/>
          </w:tcPr>
          <w:p w14:paraId="26E88C07"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Some of the studies used acceptability as the outcome variable.</w:t>
            </w:r>
          </w:p>
        </w:tc>
      </w:tr>
    </w:tbl>
    <w:p w14:paraId="29C33A63" w14:textId="77777777" w:rsidR="000C2BDF" w:rsidRPr="00644CCA" w:rsidRDefault="000C2BDF" w:rsidP="000C2BDF">
      <w:pPr>
        <w:spacing w:line="240" w:lineRule="auto"/>
        <w:rPr>
          <w:rFonts w:ascii="Times New Roman" w:eastAsia="Times New Roman" w:hAnsi="Times New Roman" w:cs="Times New Roman"/>
          <w:b/>
          <w:sz w:val="20"/>
          <w:szCs w:val="20"/>
        </w:rPr>
      </w:pPr>
    </w:p>
    <w:p w14:paraId="41A3AB2D" w14:textId="77777777" w:rsidR="000C2BDF" w:rsidRPr="00644CCA" w:rsidRDefault="000C2BDF" w:rsidP="000C2BDF">
      <w:pPr>
        <w:spacing w:line="240" w:lineRule="auto"/>
        <w:rPr>
          <w:rFonts w:ascii="Times New Roman" w:eastAsia="Times New Roman" w:hAnsi="Times New Roman" w:cs="Times New Roman"/>
          <w:b/>
          <w:sz w:val="20"/>
          <w:szCs w:val="20"/>
        </w:rPr>
      </w:pPr>
    </w:p>
    <w:p w14:paraId="3EEAB491" w14:textId="77777777" w:rsidR="000C2BDF" w:rsidRPr="00644CCA" w:rsidRDefault="000C2BDF" w:rsidP="000C2BDF">
      <w:pPr>
        <w:spacing w:line="240" w:lineRule="auto"/>
        <w:rPr>
          <w:rFonts w:ascii="Times New Roman" w:eastAsia="Times New Roman" w:hAnsi="Times New Roman" w:cs="Times New Roman"/>
          <w:b/>
          <w:sz w:val="20"/>
          <w:szCs w:val="20"/>
        </w:rPr>
        <w:sectPr w:rsidR="000C2BDF" w:rsidRPr="00644CCA">
          <w:pgSz w:w="16839" w:h="11907" w:orient="landscape"/>
          <w:pgMar w:top="1440" w:right="1440" w:bottom="1440" w:left="1440" w:header="720" w:footer="720" w:gutter="0"/>
          <w:cols w:space="720"/>
        </w:sectPr>
      </w:pPr>
    </w:p>
    <w:p w14:paraId="11D2BA9A" w14:textId="77777777" w:rsidR="00190D6B" w:rsidRDefault="00190D6B" w:rsidP="000C2BDF">
      <w:pPr>
        <w:spacing w:line="240" w:lineRule="auto"/>
        <w:jc w:val="both"/>
        <w:rPr>
          <w:rFonts w:ascii="Times New Roman" w:eastAsia="Times New Roman" w:hAnsi="Times New Roman" w:cs="Times New Roman"/>
          <w:b/>
          <w:sz w:val="20"/>
          <w:szCs w:val="20"/>
        </w:rPr>
      </w:pPr>
    </w:p>
    <w:p w14:paraId="539C5848" w14:textId="50AAE124" w:rsidR="00190D6B" w:rsidRPr="00190D6B" w:rsidRDefault="000C2BDF" w:rsidP="000C2BDF">
      <w:pPr>
        <w:spacing w:line="240" w:lineRule="auto"/>
        <w:jc w:val="both"/>
        <w:rPr>
          <w:rFonts w:ascii="Times New Roman" w:eastAsia="Times New Roman" w:hAnsi="Times New Roman" w:cs="Times New Roman"/>
          <w:iCs/>
          <w:sz w:val="20"/>
          <w:szCs w:val="20"/>
        </w:rPr>
      </w:pPr>
      <w:r w:rsidRPr="00644CCA">
        <w:rPr>
          <w:rFonts w:ascii="Times New Roman" w:eastAsia="Times New Roman" w:hAnsi="Times New Roman" w:cs="Times New Roman"/>
          <w:b/>
          <w:sz w:val="20"/>
          <w:szCs w:val="20"/>
        </w:rPr>
        <w:t xml:space="preserve">Table </w:t>
      </w:r>
      <w:r w:rsidR="00151BD0" w:rsidRPr="00644CCA">
        <w:rPr>
          <w:rFonts w:ascii="Times New Roman" w:eastAsia="Times New Roman" w:hAnsi="Times New Roman" w:cs="Times New Roman"/>
          <w:b/>
          <w:sz w:val="20"/>
          <w:szCs w:val="20"/>
        </w:rPr>
        <w:t>6</w:t>
      </w:r>
      <w:r w:rsidRPr="00644CCA">
        <w:rPr>
          <w:rFonts w:ascii="Times New Roman" w:eastAsia="Times New Roman" w:hAnsi="Times New Roman" w:cs="Times New Roman"/>
          <w:b/>
          <w:sz w:val="20"/>
          <w:szCs w:val="20"/>
        </w:rPr>
        <w:t xml:space="preserve"> </w:t>
      </w:r>
      <w:r w:rsidRPr="00644CCA">
        <w:rPr>
          <w:rFonts w:ascii="Times New Roman" w:eastAsia="Times New Roman" w:hAnsi="Times New Roman" w:cs="Times New Roman"/>
          <w:iCs/>
          <w:sz w:val="20"/>
          <w:szCs w:val="20"/>
        </w:rPr>
        <w:t xml:space="preserve">Context of the </w:t>
      </w:r>
      <w:r w:rsidR="00824A2B" w:rsidRPr="00644CCA">
        <w:rPr>
          <w:rFonts w:ascii="Times New Roman" w:eastAsia="Times New Roman" w:hAnsi="Times New Roman" w:cs="Times New Roman"/>
          <w:iCs/>
          <w:sz w:val="20"/>
          <w:szCs w:val="20"/>
        </w:rPr>
        <w:t>Studies</w:t>
      </w:r>
    </w:p>
    <w:tbl>
      <w:tblPr>
        <w:tblW w:w="896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3"/>
        <w:gridCol w:w="1376"/>
        <w:gridCol w:w="5325"/>
        <w:gridCol w:w="1016"/>
      </w:tblGrid>
      <w:tr w:rsidR="000C2BDF" w:rsidRPr="00644CCA" w14:paraId="4F815279" w14:textId="77777777" w:rsidTr="00621097">
        <w:trPr>
          <w:cantSplit/>
          <w:trHeight w:val="620"/>
          <w:tblHeader/>
        </w:trPr>
        <w:tc>
          <w:tcPr>
            <w:tcW w:w="1243" w:type="dxa"/>
            <w:shd w:val="clear" w:color="auto" w:fill="auto"/>
            <w:vAlign w:val="center"/>
          </w:tcPr>
          <w:p w14:paraId="47D3A6B7" w14:textId="77777777" w:rsidR="000C2BDF" w:rsidRPr="00644CCA" w:rsidRDefault="000C2BDF" w:rsidP="00621097">
            <w:pPr>
              <w:spacing w:after="0" w:line="240" w:lineRule="auto"/>
              <w:jc w:val="center"/>
              <w:rPr>
                <w:rFonts w:ascii="Times New Roman" w:eastAsia="Times New Roman" w:hAnsi="Times New Roman" w:cs="Times New Roman"/>
                <w:b/>
                <w:color w:val="000000"/>
                <w:sz w:val="20"/>
                <w:szCs w:val="20"/>
                <w:u w:val="single"/>
              </w:rPr>
            </w:pPr>
            <w:r w:rsidRPr="00644CCA">
              <w:rPr>
                <w:rFonts w:ascii="Times New Roman" w:eastAsia="Times New Roman" w:hAnsi="Times New Roman" w:cs="Times New Roman"/>
                <w:b/>
                <w:color w:val="000000"/>
                <w:sz w:val="20"/>
                <w:szCs w:val="20"/>
                <w:u w:val="single"/>
              </w:rPr>
              <w:lastRenderedPageBreak/>
              <w:t>Continent</w:t>
            </w:r>
          </w:p>
        </w:tc>
        <w:tc>
          <w:tcPr>
            <w:tcW w:w="1376" w:type="dxa"/>
            <w:shd w:val="clear" w:color="auto" w:fill="auto"/>
            <w:vAlign w:val="center"/>
          </w:tcPr>
          <w:p w14:paraId="1DAFA688" w14:textId="77777777" w:rsidR="000C2BDF" w:rsidRPr="00644CCA" w:rsidRDefault="000C2BDF" w:rsidP="00621097">
            <w:pPr>
              <w:spacing w:after="0" w:line="240" w:lineRule="auto"/>
              <w:jc w:val="center"/>
              <w:rPr>
                <w:rFonts w:ascii="Times New Roman" w:eastAsia="Times New Roman" w:hAnsi="Times New Roman" w:cs="Times New Roman"/>
                <w:b/>
                <w:color w:val="000000"/>
                <w:sz w:val="20"/>
                <w:szCs w:val="20"/>
                <w:u w:val="single"/>
              </w:rPr>
            </w:pPr>
            <w:r w:rsidRPr="00644CCA">
              <w:rPr>
                <w:rFonts w:ascii="Times New Roman" w:eastAsia="Times New Roman" w:hAnsi="Times New Roman" w:cs="Times New Roman"/>
                <w:b/>
                <w:color w:val="000000"/>
                <w:sz w:val="20"/>
                <w:szCs w:val="20"/>
                <w:u w:val="single"/>
              </w:rPr>
              <w:t>Country</w:t>
            </w:r>
          </w:p>
        </w:tc>
        <w:tc>
          <w:tcPr>
            <w:tcW w:w="5325" w:type="dxa"/>
            <w:shd w:val="clear" w:color="auto" w:fill="auto"/>
            <w:vAlign w:val="center"/>
          </w:tcPr>
          <w:p w14:paraId="76946008" w14:textId="77777777" w:rsidR="000C2BDF" w:rsidRPr="00644CCA" w:rsidRDefault="000C2BDF" w:rsidP="00621097">
            <w:pPr>
              <w:spacing w:after="0" w:line="240" w:lineRule="auto"/>
              <w:jc w:val="center"/>
              <w:rPr>
                <w:rFonts w:ascii="Times New Roman" w:eastAsia="Times New Roman" w:hAnsi="Times New Roman" w:cs="Times New Roman"/>
                <w:b/>
                <w:color w:val="000000"/>
                <w:sz w:val="20"/>
                <w:szCs w:val="20"/>
                <w:u w:val="single"/>
              </w:rPr>
            </w:pPr>
            <w:r w:rsidRPr="00644CCA">
              <w:rPr>
                <w:rFonts w:ascii="Times New Roman" w:eastAsia="Times New Roman" w:hAnsi="Times New Roman" w:cs="Times New Roman"/>
                <w:b/>
                <w:color w:val="000000"/>
                <w:sz w:val="20"/>
                <w:szCs w:val="20"/>
                <w:u w:val="single"/>
              </w:rPr>
              <w:t>Articles</w:t>
            </w:r>
          </w:p>
        </w:tc>
        <w:tc>
          <w:tcPr>
            <w:tcW w:w="1016" w:type="dxa"/>
            <w:shd w:val="clear" w:color="auto" w:fill="auto"/>
            <w:vAlign w:val="center"/>
          </w:tcPr>
          <w:p w14:paraId="35350EB0" w14:textId="77777777" w:rsidR="000C2BDF" w:rsidRPr="00644CCA" w:rsidRDefault="000C2BDF" w:rsidP="00621097">
            <w:pPr>
              <w:spacing w:after="0" w:line="240" w:lineRule="auto"/>
              <w:jc w:val="center"/>
              <w:rPr>
                <w:rFonts w:ascii="Times New Roman" w:eastAsia="Times New Roman" w:hAnsi="Times New Roman" w:cs="Times New Roman"/>
                <w:b/>
                <w:color w:val="000000"/>
                <w:sz w:val="20"/>
                <w:szCs w:val="20"/>
                <w:u w:val="single"/>
              </w:rPr>
            </w:pPr>
            <w:r w:rsidRPr="00644CCA">
              <w:rPr>
                <w:rFonts w:ascii="Times New Roman" w:eastAsia="Times New Roman" w:hAnsi="Times New Roman" w:cs="Times New Roman"/>
                <w:b/>
                <w:color w:val="000000"/>
                <w:sz w:val="20"/>
                <w:szCs w:val="20"/>
                <w:u w:val="single"/>
              </w:rPr>
              <w:t>No. of Articles</w:t>
            </w:r>
          </w:p>
        </w:tc>
      </w:tr>
      <w:tr w:rsidR="000C2BDF" w:rsidRPr="00644CCA" w14:paraId="5D4C5CF1" w14:textId="77777777" w:rsidTr="00621097">
        <w:trPr>
          <w:cantSplit/>
          <w:trHeight w:val="1250"/>
          <w:tblHeader/>
        </w:trPr>
        <w:tc>
          <w:tcPr>
            <w:tcW w:w="1243" w:type="dxa"/>
            <w:vMerge w:val="restart"/>
            <w:shd w:val="clear" w:color="auto" w:fill="auto"/>
            <w:vAlign w:val="center"/>
          </w:tcPr>
          <w:p w14:paraId="2F45D24F"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Asia</w:t>
            </w:r>
          </w:p>
        </w:tc>
        <w:tc>
          <w:tcPr>
            <w:tcW w:w="1376" w:type="dxa"/>
            <w:shd w:val="clear" w:color="auto" w:fill="auto"/>
            <w:vAlign w:val="center"/>
          </w:tcPr>
          <w:p w14:paraId="24A1FF30"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China</w:t>
            </w:r>
          </w:p>
        </w:tc>
        <w:tc>
          <w:tcPr>
            <w:tcW w:w="5325" w:type="dxa"/>
            <w:shd w:val="clear" w:color="auto" w:fill="auto"/>
            <w:vAlign w:val="center"/>
          </w:tcPr>
          <w:p w14:paraId="75C789C9"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Chi et al. (2023); Cheung et al. (2021); Gao et al. (2020); Li &amp; Wang (2022); Liu and Tao (2022); Liu et al. (2022); Wang et al. (2021); Yang et al. (2019); Ye et al. (2019); Zhou et al. (2019)</w:t>
            </w:r>
          </w:p>
        </w:tc>
        <w:tc>
          <w:tcPr>
            <w:tcW w:w="1016" w:type="dxa"/>
            <w:shd w:val="clear" w:color="auto" w:fill="auto"/>
            <w:vAlign w:val="center"/>
          </w:tcPr>
          <w:p w14:paraId="02FDCA73"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10</w:t>
            </w:r>
          </w:p>
        </w:tc>
      </w:tr>
      <w:tr w:rsidR="000C2BDF" w:rsidRPr="00644CCA" w14:paraId="16B1DDD6" w14:textId="77777777" w:rsidTr="00621097">
        <w:trPr>
          <w:cantSplit/>
          <w:trHeight w:val="320"/>
          <w:tblHeader/>
        </w:trPr>
        <w:tc>
          <w:tcPr>
            <w:tcW w:w="1243" w:type="dxa"/>
            <w:vMerge/>
            <w:shd w:val="clear" w:color="auto" w:fill="auto"/>
            <w:vAlign w:val="center"/>
          </w:tcPr>
          <w:p w14:paraId="5596681D"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0624F3DC"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Japan</w:t>
            </w:r>
          </w:p>
        </w:tc>
        <w:tc>
          <w:tcPr>
            <w:tcW w:w="5325" w:type="dxa"/>
            <w:shd w:val="clear" w:color="auto" w:fill="auto"/>
            <w:vAlign w:val="center"/>
          </w:tcPr>
          <w:p w14:paraId="52ABF1CC"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Betriana et al. (2021); Ho et al. (2023)</w:t>
            </w:r>
          </w:p>
        </w:tc>
        <w:tc>
          <w:tcPr>
            <w:tcW w:w="1016" w:type="dxa"/>
            <w:shd w:val="clear" w:color="auto" w:fill="auto"/>
            <w:vAlign w:val="center"/>
          </w:tcPr>
          <w:p w14:paraId="296805C3"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2</w:t>
            </w:r>
          </w:p>
        </w:tc>
      </w:tr>
      <w:tr w:rsidR="000C2BDF" w:rsidRPr="00644CCA" w14:paraId="625B2263" w14:textId="77777777" w:rsidTr="00621097">
        <w:trPr>
          <w:cantSplit/>
          <w:trHeight w:val="320"/>
          <w:tblHeader/>
        </w:trPr>
        <w:tc>
          <w:tcPr>
            <w:tcW w:w="1243" w:type="dxa"/>
            <w:vMerge/>
            <w:shd w:val="clear" w:color="auto" w:fill="auto"/>
            <w:vAlign w:val="center"/>
          </w:tcPr>
          <w:p w14:paraId="409825F8"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27F58305"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Pakistan</w:t>
            </w:r>
          </w:p>
        </w:tc>
        <w:tc>
          <w:tcPr>
            <w:tcW w:w="5325" w:type="dxa"/>
            <w:shd w:val="clear" w:color="auto" w:fill="auto"/>
            <w:vAlign w:val="center"/>
          </w:tcPr>
          <w:p w14:paraId="10B02E30"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Hayat et al. (2022)</w:t>
            </w:r>
          </w:p>
        </w:tc>
        <w:tc>
          <w:tcPr>
            <w:tcW w:w="1016" w:type="dxa"/>
            <w:shd w:val="clear" w:color="auto" w:fill="auto"/>
            <w:vAlign w:val="center"/>
          </w:tcPr>
          <w:p w14:paraId="51E892F8"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w:t>
            </w:r>
          </w:p>
        </w:tc>
      </w:tr>
      <w:tr w:rsidR="000C2BDF" w:rsidRPr="00644CCA" w14:paraId="26659899" w14:textId="77777777" w:rsidTr="00621097">
        <w:trPr>
          <w:cantSplit/>
          <w:trHeight w:val="320"/>
          <w:tblHeader/>
        </w:trPr>
        <w:tc>
          <w:tcPr>
            <w:tcW w:w="1243" w:type="dxa"/>
            <w:vMerge/>
            <w:shd w:val="clear" w:color="auto" w:fill="auto"/>
            <w:vAlign w:val="center"/>
          </w:tcPr>
          <w:p w14:paraId="5D431830"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7203DCAD"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Israel</w:t>
            </w:r>
          </w:p>
        </w:tc>
        <w:tc>
          <w:tcPr>
            <w:tcW w:w="5325" w:type="dxa"/>
            <w:shd w:val="clear" w:color="auto" w:fill="auto"/>
            <w:vAlign w:val="center"/>
          </w:tcPr>
          <w:p w14:paraId="1935C0A0"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Duke (2022)</w:t>
            </w:r>
          </w:p>
        </w:tc>
        <w:tc>
          <w:tcPr>
            <w:tcW w:w="1016" w:type="dxa"/>
            <w:shd w:val="clear" w:color="auto" w:fill="auto"/>
            <w:vAlign w:val="center"/>
          </w:tcPr>
          <w:p w14:paraId="3E2B83A1"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w:t>
            </w:r>
          </w:p>
        </w:tc>
      </w:tr>
      <w:tr w:rsidR="000C2BDF" w:rsidRPr="00644CCA" w14:paraId="09F489B3" w14:textId="77777777" w:rsidTr="00621097">
        <w:trPr>
          <w:cantSplit/>
          <w:trHeight w:val="320"/>
          <w:tblHeader/>
        </w:trPr>
        <w:tc>
          <w:tcPr>
            <w:tcW w:w="1243" w:type="dxa"/>
            <w:vMerge/>
            <w:shd w:val="clear" w:color="auto" w:fill="auto"/>
            <w:vAlign w:val="center"/>
          </w:tcPr>
          <w:p w14:paraId="229BE8A5"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5238CB38"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UAE</w:t>
            </w:r>
          </w:p>
        </w:tc>
        <w:tc>
          <w:tcPr>
            <w:tcW w:w="5325" w:type="dxa"/>
            <w:shd w:val="clear" w:color="auto" w:fill="auto"/>
            <w:vAlign w:val="center"/>
          </w:tcPr>
          <w:p w14:paraId="67D915E8"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Ameen et al. (2021)</w:t>
            </w:r>
          </w:p>
        </w:tc>
        <w:tc>
          <w:tcPr>
            <w:tcW w:w="1016" w:type="dxa"/>
            <w:shd w:val="clear" w:color="auto" w:fill="auto"/>
            <w:vAlign w:val="center"/>
          </w:tcPr>
          <w:p w14:paraId="0E2A5B12"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w:t>
            </w:r>
          </w:p>
        </w:tc>
      </w:tr>
      <w:tr w:rsidR="000C2BDF" w:rsidRPr="00644CCA" w14:paraId="35935BE3" w14:textId="77777777" w:rsidTr="00621097">
        <w:trPr>
          <w:cantSplit/>
          <w:trHeight w:val="630"/>
          <w:tblHeader/>
        </w:trPr>
        <w:tc>
          <w:tcPr>
            <w:tcW w:w="1243" w:type="dxa"/>
            <w:vMerge/>
            <w:shd w:val="clear" w:color="auto" w:fill="auto"/>
            <w:vAlign w:val="center"/>
          </w:tcPr>
          <w:p w14:paraId="0553486F"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670E8AD6"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Saudi Arabia</w:t>
            </w:r>
          </w:p>
        </w:tc>
        <w:tc>
          <w:tcPr>
            <w:tcW w:w="5325" w:type="dxa"/>
            <w:shd w:val="clear" w:color="auto" w:fill="auto"/>
            <w:vAlign w:val="center"/>
          </w:tcPr>
          <w:p w14:paraId="33F11CA5"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Algethami et al. (2023); Zaman et al. (2023)</w:t>
            </w:r>
          </w:p>
        </w:tc>
        <w:tc>
          <w:tcPr>
            <w:tcW w:w="1016" w:type="dxa"/>
            <w:shd w:val="clear" w:color="auto" w:fill="auto"/>
            <w:vAlign w:val="center"/>
          </w:tcPr>
          <w:p w14:paraId="43E4A4CE"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2</w:t>
            </w:r>
          </w:p>
        </w:tc>
      </w:tr>
      <w:tr w:rsidR="000C2BDF" w:rsidRPr="00644CCA" w14:paraId="16B60B2D" w14:textId="77777777" w:rsidTr="00621097">
        <w:trPr>
          <w:cantSplit/>
          <w:trHeight w:val="630"/>
          <w:tblHeader/>
        </w:trPr>
        <w:tc>
          <w:tcPr>
            <w:tcW w:w="1243" w:type="dxa"/>
            <w:vMerge/>
            <w:shd w:val="clear" w:color="auto" w:fill="auto"/>
            <w:vAlign w:val="center"/>
          </w:tcPr>
          <w:p w14:paraId="7138E043"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2E007183"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South Korea</w:t>
            </w:r>
          </w:p>
        </w:tc>
        <w:tc>
          <w:tcPr>
            <w:tcW w:w="5325" w:type="dxa"/>
            <w:shd w:val="clear" w:color="auto" w:fill="auto"/>
            <w:vAlign w:val="center"/>
          </w:tcPr>
          <w:p w14:paraId="620F7C24"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Kyung and Kwon (2022); Park et al. (2021); Yun et al. (2021)</w:t>
            </w:r>
          </w:p>
        </w:tc>
        <w:tc>
          <w:tcPr>
            <w:tcW w:w="1016" w:type="dxa"/>
            <w:shd w:val="clear" w:color="auto" w:fill="auto"/>
            <w:vAlign w:val="center"/>
          </w:tcPr>
          <w:p w14:paraId="071A4AD9"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3</w:t>
            </w:r>
          </w:p>
        </w:tc>
      </w:tr>
      <w:tr w:rsidR="000C2BDF" w:rsidRPr="00644CCA" w14:paraId="6F45890A" w14:textId="77777777" w:rsidTr="00621097">
        <w:trPr>
          <w:cantSplit/>
          <w:trHeight w:val="320"/>
          <w:tblHeader/>
        </w:trPr>
        <w:tc>
          <w:tcPr>
            <w:tcW w:w="1243" w:type="dxa"/>
            <w:vMerge/>
            <w:shd w:val="clear" w:color="auto" w:fill="auto"/>
            <w:vAlign w:val="center"/>
          </w:tcPr>
          <w:p w14:paraId="60D7747E"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449CF9FD"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India</w:t>
            </w:r>
          </w:p>
        </w:tc>
        <w:tc>
          <w:tcPr>
            <w:tcW w:w="5325" w:type="dxa"/>
            <w:shd w:val="clear" w:color="auto" w:fill="auto"/>
            <w:vAlign w:val="center"/>
          </w:tcPr>
          <w:p w14:paraId="552F2E2F"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Mishra et al. (2022); Pal et al. (2023); Ray et al. (2022)</w:t>
            </w:r>
          </w:p>
        </w:tc>
        <w:tc>
          <w:tcPr>
            <w:tcW w:w="1016" w:type="dxa"/>
            <w:shd w:val="clear" w:color="auto" w:fill="auto"/>
            <w:vAlign w:val="center"/>
          </w:tcPr>
          <w:p w14:paraId="0E0BA1A9"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3</w:t>
            </w:r>
          </w:p>
        </w:tc>
      </w:tr>
      <w:tr w:rsidR="000C2BDF" w:rsidRPr="00644CCA" w14:paraId="3502E6F2" w14:textId="77777777" w:rsidTr="00621097">
        <w:trPr>
          <w:cantSplit/>
          <w:trHeight w:val="630"/>
          <w:tblHeader/>
        </w:trPr>
        <w:tc>
          <w:tcPr>
            <w:tcW w:w="1243" w:type="dxa"/>
            <w:vMerge/>
            <w:shd w:val="clear" w:color="auto" w:fill="auto"/>
            <w:vAlign w:val="center"/>
          </w:tcPr>
          <w:p w14:paraId="59A72AC2"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7D20447E"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Bangladesh</w:t>
            </w:r>
          </w:p>
        </w:tc>
        <w:tc>
          <w:tcPr>
            <w:tcW w:w="5325" w:type="dxa"/>
            <w:shd w:val="clear" w:color="auto" w:fill="auto"/>
            <w:vAlign w:val="center"/>
          </w:tcPr>
          <w:p w14:paraId="59F084D1"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Uzir et al. (2021)</w:t>
            </w:r>
          </w:p>
        </w:tc>
        <w:tc>
          <w:tcPr>
            <w:tcW w:w="1016" w:type="dxa"/>
            <w:shd w:val="clear" w:color="auto" w:fill="auto"/>
            <w:vAlign w:val="center"/>
          </w:tcPr>
          <w:p w14:paraId="7B242741"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w:t>
            </w:r>
          </w:p>
        </w:tc>
      </w:tr>
      <w:tr w:rsidR="000C2BDF" w:rsidRPr="00644CCA" w14:paraId="5E5A2092" w14:textId="77777777" w:rsidTr="00621097">
        <w:trPr>
          <w:cantSplit/>
          <w:trHeight w:val="320"/>
          <w:tblHeader/>
        </w:trPr>
        <w:tc>
          <w:tcPr>
            <w:tcW w:w="1243" w:type="dxa"/>
            <w:vMerge/>
            <w:shd w:val="clear" w:color="auto" w:fill="auto"/>
            <w:vAlign w:val="center"/>
          </w:tcPr>
          <w:p w14:paraId="4B628EFB"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1F140E73"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Taiwan</w:t>
            </w:r>
          </w:p>
        </w:tc>
        <w:tc>
          <w:tcPr>
            <w:tcW w:w="5325" w:type="dxa"/>
            <w:shd w:val="clear" w:color="auto" w:fill="auto"/>
            <w:vAlign w:val="center"/>
          </w:tcPr>
          <w:p w14:paraId="5F7B0E65"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Chang et al. (2022); Huang and Yang (2019); Jutzi et al. (2020); Wu et al. (2015)</w:t>
            </w:r>
          </w:p>
        </w:tc>
        <w:tc>
          <w:tcPr>
            <w:tcW w:w="1016" w:type="dxa"/>
            <w:shd w:val="clear" w:color="auto" w:fill="auto"/>
            <w:vAlign w:val="center"/>
          </w:tcPr>
          <w:p w14:paraId="0EE41083"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4</w:t>
            </w:r>
          </w:p>
        </w:tc>
      </w:tr>
      <w:tr w:rsidR="000C2BDF" w:rsidRPr="00644CCA" w14:paraId="749F135B" w14:textId="77777777" w:rsidTr="00621097">
        <w:trPr>
          <w:cantSplit/>
          <w:trHeight w:val="320"/>
          <w:tblHeader/>
        </w:trPr>
        <w:tc>
          <w:tcPr>
            <w:tcW w:w="1243" w:type="dxa"/>
            <w:vMerge/>
            <w:shd w:val="clear" w:color="auto" w:fill="auto"/>
            <w:vAlign w:val="center"/>
          </w:tcPr>
          <w:p w14:paraId="42A0569B"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1C2762C9"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Kuwait</w:t>
            </w:r>
          </w:p>
        </w:tc>
        <w:tc>
          <w:tcPr>
            <w:tcW w:w="5325" w:type="dxa"/>
            <w:shd w:val="clear" w:color="auto" w:fill="auto"/>
            <w:vAlign w:val="center"/>
          </w:tcPr>
          <w:p w14:paraId="2E0570C5"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Buabbas et al. (2020)</w:t>
            </w:r>
          </w:p>
        </w:tc>
        <w:tc>
          <w:tcPr>
            <w:tcW w:w="1016" w:type="dxa"/>
            <w:shd w:val="clear" w:color="auto" w:fill="auto"/>
            <w:vAlign w:val="center"/>
          </w:tcPr>
          <w:p w14:paraId="21C3EE70"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w:t>
            </w:r>
          </w:p>
        </w:tc>
      </w:tr>
      <w:tr w:rsidR="000C2BDF" w:rsidRPr="00644CCA" w14:paraId="1D2715A5" w14:textId="77777777" w:rsidTr="00621097">
        <w:trPr>
          <w:cantSplit/>
          <w:trHeight w:val="320"/>
          <w:tblHeader/>
        </w:trPr>
        <w:tc>
          <w:tcPr>
            <w:tcW w:w="1243" w:type="dxa"/>
            <w:vMerge/>
            <w:shd w:val="clear" w:color="auto" w:fill="auto"/>
            <w:vAlign w:val="center"/>
          </w:tcPr>
          <w:p w14:paraId="15B66DA4"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1298EF7E"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Thailand</w:t>
            </w:r>
          </w:p>
        </w:tc>
        <w:tc>
          <w:tcPr>
            <w:tcW w:w="5325" w:type="dxa"/>
            <w:shd w:val="clear" w:color="auto" w:fill="auto"/>
            <w:vAlign w:val="center"/>
          </w:tcPr>
          <w:p w14:paraId="1028701F"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Aeknarajindawat et al. (2023)</w:t>
            </w:r>
          </w:p>
        </w:tc>
        <w:tc>
          <w:tcPr>
            <w:tcW w:w="1016" w:type="dxa"/>
            <w:shd w:val="clear" w:color="auto" w:fill="auto"/>
            <w:vAlign w:val="center"/>
          </w:tcPr>
          <w:p w14:paraId="7A620357"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1</w:t>
            </w:r>
          </w:p>
        </w:tc>
      </w:tr>
      <w:tr w:rsidR="000C2BDF" w:rsidRPr="00644CCA" w14:paraId="38ABC9F9" w14:textId="77777777" w:rsidTr="00621097">
        <w:trPr>
          <w:cantSplit/>
          <w:trHeight w:val="320"/>
          <w:tblHeader/>
        </w:trPr>
        <w:tc>
          <w:tcPr>
            <w:tcW w:w="1243" w:type="dxa"/>
            <w:vMerge/>
            <w:shd w:val="clear" w:color="auto" w:fill="auto"/>
            <w:vAlign w:val="center"/>
          </w:tcPr>
          <w:p w14:paraId="7F762A49"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7341406E"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Malaysia</w:t>
            </w:r>
          </w:p>
        </w:tc>
        <w:tc>
          <w:tcPr>
            <w:tcW w:w="5325" w:type="dxa"/>
            <w:shd w:val="clear" w:color="auto" w:fill="auto"/>
            <w:vAlign w:val="center"/>
          </w:tcPr>
          <w:p w14:paraId="2951BD5D" w14:textId="435F3B6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Lim et al. (202</w:t>
            </w:r>
            <w:r w:rsidR="00CC41CB" w:rsidRPr="00644CCA">
              <w:rPr>
                <w:rFonts w:ascii="Times New Roman" w:eastAsia="Times New Roman" w:hAnsi="Times New Roman" w:cs="Times New Roman"/>
                <w:sz w:val="20"/>
                <w:szCs w:val="20"/>
              </w:rPr>
              <w:t>2</w:t>
            </w:r>
            <w:r w:rsidRPr="00644CCA">
              <w:rPr>
                <w:rFonts w:ascii="Times New Roman" w:eastAsia="Times New Roman" w:hAnsi="Times New Roman" w:cs="Times New Roman"/>
                <w:sz w:val="20"/>
                <w:szCs w:val="20"/>
              </w:rPr>
              <w:t>)</w:t>
            </w:r>
          </w:p>
        </w:tc>
        <w:tc>
          <w:tcPr>
            <w:tcW w:w="1016" w:type="dxa"/>
            <w:shd w:val="clear" w:color="auto" w:fill="auto"/>
            <w:vAlign w:val="center"/>
          </w:tcPr>
          <w:p w14:paraId="3FDA66F0"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1</w:t>
            </w:r>
          </w:p>
        </w:tc>
      </w:tr>
      <w:tr w:rsidR="000C2BDF" w:rsidRPr="00644CCA" w14:paraId="71C521C6" w14:textId="77777777" w:rsidTr="00621097">
        <w:trPr>
          <w:cantSplit/>
          <w:trHeight w:val="320"/>
          <w:tblHeader/>
        </w:trPr>
        <w:tc>
          <w:tcPr>
            <w:tcW w:w="1243" w:type="dxa"/>
            <w:vMerge/>
            <w:shd w:val="clear" w:color="auto" w:fill="auto"/>
            <w:vAlign w:val="center"/>
          </w:tcPr>
          <w:p w14:paraId="3170258E"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365D9918"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p>
        </w:tc>
        <w:tc>
          <w:tcPr>
            <w:tcW w:w="5325" w:type="dxa"/>
            <w:shd w:val="clear" w:color="auto" w:fill="auto"/>
            <w:vAlign w:val="center"/>
          </w:tcPr>
          <w:p w14:paraId="3FC705C3"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Total articles:</w:t>
            </w:r>
          </w:p>
        </w:tc>
        <w:tc>
          <w:tcPr>
            <w:tcW w:w="1016" w:type="dxa"/>
            <w:shd w:val="clear" w:color="auto" w:fill="auto"/>
            <w:vAlign w:val="center"/>
          </w:tcPr>
          <w:p w14:paraId="5134CDB9" w14:textId="77777777" w:rsidR="000C2BDF" w:rsidRPr="00644CCA" w:rsidRDefault="000C2BDF" w:rsidP="00621097">
            <w:pPr>
              <w:spacing w:after="0" w:line="240" w:lineRule="auto"/>
              <w:jc w:val="center"/>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31</w:t>
            </w:r>
          </w:p>
        </w:tc>
      </w:tr>
      <w:tr w:rsidR="000C2BDF" w:rsidRPr="00644CCA" w14:paraId="25A0B6FC" w14:textId="77777777" w:rsidTr="00621097">
        <w:trPr>
          <w:cantSplit/>
          <w:trHeight w:val="720"/>
          <w:tblHeader/>
        </w:trPr>
        <w:tc>
          <w:tcPr>
            <w:tcW w:w="1243" w:type="dxa"/>
            <w:vMerge w:val="restart"/>
            <w:shd w:val="clear" w:color="auto" w:fill="auto"/>
            <w:vAlign w:val="center"/>
          </w:tcPr>
          <w:p w14:paraId="32AD9487"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North America</w:t>
            </w:r>
          </w:p>
        </w:tc>
        <w:tc>
          <w:tcPr>
            <w:tcW w:w="1376" w:type="dxa"/>
            <w:shd w:val="clear" w:color="auto" w:fill="auto"/>
            <w:vAlign w:val="center"/>
          </w:tcPr>
          <w:p w14:paraId="4827D296"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USA</w:t>
            </w:r>
          </w:p>
        </w:tc>
        <w:tc>
          <w:tcPr>
            <w:tcW w:w="5325" w:type="dxa"/>
            <w:shd w:val="clear" w:color="auto" w:fill="auto"/>
            <w:vAlign w:val="center"/>
          </w:tcPr>
          <w:p w14:paraId="3AC6B2A3" w14:textId="77777777" w:rsidR="000C2BDF" w:rsidRPr="00644CCA" w:rsidRDefault="000C2BDF" w:rsidP="00621097">
            <w:pPr>
              <w:spacing w:after="0" w:line="240" w:lineRule="auto"/>
              <w:jc w:val="both"/>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 xml:space="preserve">Abouzahra and Ghasemaghaei (2020); Ameen et al. (2021); Angst and Aggrawal (2009); Antes et al. (2021); Bala et al. (2020); Bansal et al. </w:t>
            </w:r>
            <w:r w:rsidRPr="00644CCA">
              <w:rPr>
                <w:rFonts w:ascii="Times New Roman" w:eastAsia="Times New Roman" w:hAnsi="Times New Roman" w:cs="Times New Roman"/>
                <w:sz w:val="20"/>
                <w:szCs w:val="20"/>
              </w:rPr>
              <w:t>(2010); Biro et al. (2023); Beuscher et al. (2017); Boys et al. (2016); Chen et al. (2023); Chi et al. (2023); Dinev et al. (2012); Esmaeilzadeh (2020); Esmaeilzadeh (2021); Gursoy et al. (2019); Harrington et al. (2023); Irani et al. (2016); Lin et al (2020); Longoni et al. (2019); Martin-Hammond et al. (2019); Meyer et al. (2020); Muaddi et al. (2022); Ou et al. (2022); Parks et al. (2017); Park et al (2018) Shahsavar and Chodhury (2023); Stai et al. (2020); Sujan et al. (2022); Chita-Tegmark et al. (2019); Zhang et al. (2021a); Zhang et al. (2021b)</w:t>
            </w:r>
          </w:p>
        </w:tc>
        <w:tc>
          <w:tcPr>
            <w:tcW w:w="1016" w:type="dxa"/>
            <w:shd w:val="clear" w:color="auto" w:fill="auto"/>
            <w:vAlign w:val="center"/>
          </w:tcPr>
          <w:p w14:paraId="73BFF180"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31</w:t>
            </w:r>
          </w:p>
        </w:tc>
      </w:tr>
      <w:tr w:rsidR="000C2BDF" w:rsidRPr="00644CCA" w14:paraId="3432537C" w14:textId="77777777" w:rsidTr="00621097">
        <w:trPr>
          <w:cantSplit/>
          <w:trHeight w:val="630"/>
          <w:tblHeader/>
        </w:trPr>
        <w:tc>
          <w:tcPr>
            <w:tcW w:w="1243" w:type="dxa"/>
            <w:vMerge/>
            <w:shd w:val="clear" w:color="auto" w:fill="auto"/>
            <w:vAlign w:val="center"/>
          </w:tcPr>
          <w:p w14:paraId="2198A236"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7793C216"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Canada</w:t>
            </w:r>
          </w:p>
        </w:tc>
        <w:tc>
          <w:tcPr>
            <w:tcW w:w="5325" w:type="dxa"/>
            <w:shd w:val="clear" w:color="auto" w:fill="auto"/>
            <w:vAlign w:val="center"/>
          </w:tcPr>
          <w:p w14:paraId="7A89C957" w14:textId="77777777"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Abouzahra and Ghasemaghaei (2020); Adams et al. (2020); Muaddi et al. (2022); Shau et al (2019)</w:t>
            </w:r>
          </w:p>
        </w:tc>
        <w:tc>
          <w:tcPr>
            <w:tcW w:w="1016" w:type="dxa"/>
            <w:shd w:val="clear" w:color="auto" w:fill="auto"/>
            <w:vAlign w:val="center"/>
          </w:tcPr>
          <w:p w14:paraId="12FDF87B"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4</w:t>
            </w:r>
          </w:p>
        </w:tc>
      </w:tr>
      <w:tr w:rsidR="000C2BDF" w:rsidRPr="00644CCA" w14:paraId="1A743F57" w14:textId="77777777" w:rsidTr="00621097">
        <w:trPr>
          <w:cantSplit/>
          <w:trHeight w:val="288"/>
          <w:tblHeader/>
        </w:trPr>
        <w:tc>
          <w:tcPr>
            <w:tcW w:w="1243" w:type="dxa"/>
            <w:vMerge/>
            <w:shd w:val="clear" w:color="auto" w:fill="auto"/>
            <w:vAlign w:val="center"/>
          </w:tcPr>
          <w:p w14:paraId="09B99CDC"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30C34B1C" w14:textId="77777777" w:rsidR="000C2BDF" w:rsidRPr="00644CCA" w:rsidRDefault="000C2BDF" w:rsidP="00621097">
            <w:pPr>
              <w:spacing w:after="0" w:line="240" w:lineRule="auto"/>
              <w:jc w:val="center"/>
              <w:rPr>
                <w:rFonts w:ascii="Times New Roman" w:eastAsia="Times New Roman" w:hAnsi="Times New Roman" w:cs="Times New Roman"/>
                <w:b/>
                <w:color w:val="000000"/>
                <w:sz w:val="20"/>
                <w:szCs w:val="20"/>
              </w:rPr>
            </w:pPr>
          </w:p>
        </w:tc>
        <w:tc>
          <w:tcPr>
            <w:tcW w:w="5325" w:type="dxa"/>
            <w:shd w:val="clear" w:color="auto" w:fill="auto"/>
            <w:vAlign w:val="center"/>
          </w:tcPr>
          <w:p w14:paraId="4F254AEF"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Total articles:</w:t>
            </w:r>
          </w:p>
        </w:tc>
        <w:tc>
          <w:tcPr>
            <w:tcW w:w="1016" w:type="dxa"/>
            <w:shd w:val="clear" w:color="auto" w:fill="auto"/>
            <w:vAlign w:val="center"/>
          </w:tcPr>
          <w:p w14:paraId="64B8A3E4" w14:textId="77777777" w:rsidR="000C2BDF" w:rsidRPr="00644CCA" w:rsidRDefault="000C2BDF" w:rsidP="00621097">
            <w:pPr>
              <w:spacing w:after="0" w:line="240" w:lineRule="auto"/>
              <w:jc w:val="center"/>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35</w:t>
            </w:r>
          </w:p>
        </w:tc>
      </w:tr>
      <w:tr w:rsidR="000C2BDF" w:rsidRPr="00644CCA" w14:paraId="682268A8" w14:textId="77777777" w:rsidTr="00621097">
        <w:trPr>
          <w:cantSplit/>
          <w:trHeight w:val="1870"/>
          <w:tblHeader/>
        </w:trPr>
        <w:tc>
          <w:tcPr>
            <w:tcW w:w="1243" w:type="dxa"/>
            <w:vMerge w:val="restart"/>
            <w:shd w:val="clear" w:color="auto" w:fill="auto"/>
            <w:vAlign w:val="center"/>
          </w:tcPr>
          <w:p w14:paraId="78AEBA74"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Europe</w:t>
            </w:r>
          </w:p>
        </w:tc>
        <w:tc>
          <w:tcPr>
            <w:tcW w:w="1376" w:type="dxa"/>
            <w:shd w:val="clear" w:color="auto" w:fill="auto"/>
            <w:vAlign w:val="center"/>
          </w:tcPr>
          <w:p w14:paraId="6233E9C7"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UK</w:t>
            </w:r>
          </w:p>
        </w:tc>
        <w:tc>
          <w:tcPr>
            <w:tcW w:w="5325" w:type="dxa"/>
            <w:shd w:val="clear" w:color="auto" w:fill="auto"/>
            <w:vAlign w:val="center"/>
          </w:tcPr>
          <w:p w14:paraId="7C9C5806" w14:textId="48341319" w:rsidR="000C2BDF" w:rsidRPr="00644CCA" w:rsidRDefault="000C2BDF" w:rsidP="00621097">
            <w:pPr>
              <w:spacing w:after="0" w:line="240" w:lineRule="auto"/>
              <w:jc w:val="both"/>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Ameen et al. (2021); Banerjee et al. (2022); Dlugatch et al. (2023); Holliday et al. (2015); Iyanna et al. (2022); Lim et al. (2022); McDermott et al. (2020); Miller et al. (2020); Musbahi et al. (2021); Nadarzynski et al. (2019); Nadarzynski et al. (2020); Nelson et al. (2020); Nurek and Kostopoulou (2023); Palmisciano et al. (2020); Rivera et al. (2023); Sawrikar and Mote (2022); York et al. (2020)</w:t>
            </w:r>
          </w:p>
        </w:tc>
        <w:tc>
          <w:tcPr>
            <w:tcW w:w="1016" w:type="dxa"/>
            <w:shd w:val="clear" w:color="auto" w:fill="auto"/>
            <w:vAlign w:val="center"/>
          </w:tcPr>
          <w:p w14:paraId="14E9CB21"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17</w:t>
            </w:r>
          </w:p>
        </w:tc>
      </w:tr>
      <w:tr w:rsidR="000C2BDF" w:rsidRPr="00644CCA" w14:paraId="5D3AFDEF" w14:textId="77777777" w:rsidTr="00621097">
        <w:trPr>
          <w:cantSplit/>
          <w:trHeight w:val="630"/>
          <w:tblHeader/>
        </w:trPr>
        <w:tc>
          <w:tcPr>
            <w:tcW w:w="1243" w:type="dxa"/>
            <w:vMerge/>
            <w:shd w:val="clear" w:color="auto" w:fill="auto"/>
            <w:vAlign w:val="center"/>
          </w:tcPr>
          <w:p w14:paraId="0B15F3AA"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6431732F"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Germany</w:t>
            </w:r>
          </w:p>
        </w:tc>
        <w:tc>
          <w:tcPr>
            <w:tcW w:w="5325" w:type="dxa"/>
            <w:shd w:val="clear" w:color="auto" w:fill="auto"/>
            <w:vAlign w:val="center"/>
          </w:tcPr>
          <w:p w14:paraId="581CB547"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Ammer et al. (2022); Götzl et al. (2022); Lennartz et al. (2021)</w:t>
            </w:r>
          </w:p>
        </w:tc>
        <w:tc>
          <w:tcPr>
            <w:tcW w:w="1016" w:type="dxa"/>
            <w:shd w:val="clear" w:color="auto" w:fill="auto"/>
            <w:vAlign w:val="center"/>
          </w:tcPr>
          <w:p w14:paraId="60635183"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3</w:t>
            </w:r>
          </w:p>
        </w:tc>
      </w:tr>
      <w:tr w:rsidR="000C2BDF" w:rsidRPr="00644CCA" w14:paraId="02FEECFE" w14:textId="77777777" w:rsidTr="00621097">
        <w:trPr>
          <w:cantSplit/>
          <w:trHeight w:val="320"/>
          <w:tblHeader/>
        </w:trPr>
        <w:tc>
          <w:tcPr>
            <w:tcW w:w="1243" w:type="dxa"/>
            <w:vMerge/>
            <w:shd w:val="clear" w:color="auto" w:fill="auto"/>
            <w:vAlign w:val="center"/>
          </w:tcPr>
          <w:p w14:paraId="3B2C9084"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37B0F7DD"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Finland</w:t>
            </w:r>
          </w:p>
        </w:tc>
        <w:tc>
          <w:tcPr>
            <w:tcW w:w="5325" w:type="dxa"/>
            <w:shd w:val="clear" w:color="auto" w:fill="auto"/>
            <w:vAlign w:val="center"/>
          </w:tcPr>
          <w:p w14:paraId="1B219FF2"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Andtfolk et al. 2022</w:t>
            </w:r>
          </w:p>
        </w:tc>
        <w:tc>
          <w:tcPr>
            <w:tcW w:w="1016" w:type="dxa"/>
            <w:shd w:val="clear" w:color="auto" w:fill="auto"/>
            <w:vAlign w:val="center"/>
          </w:tcPr>
          <w:p w14:paraId="7401C567"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w:t>
            </w:r>
          </w:p>
        </w:tc>
      </w:tr>
      <w:tr w:rsidR="000C2BDF" w:rsidRPr="00644CCA" w14:paraId="51973544" w14:textId="77777777" w:rsidTr="00621097">
        <w:trPr>
          <w:cantSplit/>
          <w:trHeight w:val="320"/>
          <w:tblHeader/>
        </w:trPr>
        <w:tc>
          <w:tcPr>
            <w:tcW w:w="1243" w:type="dxa"/>
            <w:vMerge/>
            <w:shd w:val="clear" w:color="auto" w:fill="auto"/>
            <w:vAlign w:val="center"/>
          </w:tcPr>
          <w:p w14:paraId="08D68765"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2914ED3C"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France</w:t>
            </w:r>
          </w:p>
        </w:tc>
        <w:tc>
          <w:tcPr>
            <w:tcW w:w="5325" w:type="dxa"/>
            <w:shd w:val="clear" w:color="auto" w:fill="auto"/>
            <w:vAlign w:val="center"/>
          </w:tcPr>
          <w:p w14:paraId="22DDE278"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Gonsard et al. (2023); Tran et al. (2019)</w:t>
            </w:r>
          </w:p>
        </w:tc>
        <w:tc>
          <w:tcPr>
            <w:tcW w:w="1016" w:type="dxa"/>
            <w:shd w:val="clear" w:color="auto" w:fill="auto"/>
            <w:vAlign w:val="center"/>
          </w:tcPr>
          <w:p w14:paraId="3545CB5B"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2</w:t>
            </w:r>
          </w:p>
        </w:tc>
      </w:tr>
      <w:tr w:rsidR="000C2BDF" w:rsidRPr="00644CCA" w14:paraId="49AF079D" w14:textId="77777777" w:rsidTr="00621097">
        <w:trPr>
          <w:cantSplit/>
          <w:trHeight w:val="320"/>
          <w:tblHeader/>
        </w:trPr>
        <w:tc>
          <w:tcPr>
            <w:tcW w:w="1243" w:type="dxa"/>
            <w:vMerge/>
            <w:shd w:val="clear" w:color="auto" w:fill="auto"/>
            <w:vAlign w:val="center"/>
          </w:tcPr>
          <w:p w14:paraId="30E353AC"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1C0DC71A"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Austria</w:t>
            </w:r>
          </w:p>
        </w:tc>
        <w:tc>
          <w:tcPr>
            <w:tcW w:w="5325" w:type="dxa"/>
            <w:shd w:val="clear" w:color="auto" w:fill="auto"/>
            <w:vAlign w:val="center"/>
          </w:tcPr>
          <w:p w14:paraId="579BED36"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Jank et al. (2021); Jauk et al (2021); Hebesberger et al. (2017)</w:t>
            </w:r>
          </w:p>
        </w:tc>
        <w:tc>
          <w:tcPr>
            <w:tcW w:w="1016" w:type="dxa"/>
            <w:shd w:val="clear" w:color="auto" w:fill="auto"/>
            <w:vAlign w:val="center"/>
          </w:tcPr>
          <w:p w14:paraId="13E8165F"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3</w:t>
            </w:r>
          </w:p>
        </w:tc>
      </w:tr>
      <w:tr w:rsidR="000C2BDF" w:rsidRPr="00644CCA" w14:paraId="42A7763B" w14:textId="77777777" w:rsidTr="00621097">
        <w:trPr>
          <w:cantSplit/>
          <w:trHeight w:val="940"/>
          <w:tblHeader/>
        </w:trPr>
        <w:tc>
          <w:tcPr>
            <w:tcW w:w="1243" w:type="dxa"/>
            <w:vMerge/>
            <w:shd w:val="clear" w:color="auto" w:fill="auto"/>
            <w:vAlign w:val="center"/>
          </w:tcPr>
          <w:p w14:paraId="5AC3E85A"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28B5A820"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The Netherlands</w:t>
            </w:r>
          </w:p>
        </w:tc>
        <w:tc>
          <w:tcPr>
            <w:tcW w:w="5325" w:type="dxa"/>
            <w:shd w:val="clear" w:color="auto" w:fill="auto"/>
            <w:vAlign w:val="center"/>
          </w:tcPr>
          <w:p w14:paraId="5BFFAEE3"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Ongena et al. (2020); Strohm et al. (2020)</w:t>
            </w:r>
          </w:p>
        </w:tc>
        <w:tc>
          <w:tcPr>
            <w:tcW w:w="1016" w:type="dxa"/>
            <w:shd w:val="clear" w:color="auto" w:fill="auto"/>
            <w:vAlign w:val="center"/>
          </w:tcPr>
          <w:p w14:paraId="7AE51D71"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2</w:t>
            </w:r>
          </w:p>
        </w:tc>
      </w:tr>
      <w:tr w:rsidR="000C2BDF" w:rsidRPr="00644CCA" w14:paraId="291AF6B5" w14:textId="77777777" w:rsidTr="00621097">
        <w:trPr>
          <w:cantSplit/>
          <w:trHeight w:val="315"/>
          <w:tblHeader/>
        </w:trPr>
        <w:tc>
          <w:tcPr>
            <w:tcW w:w="1243" w:type="dxa"/>
            <w:vMerge/>
            <w:shd w:val="clear" w:color="auto" w:fill="auto"/>
            <w:vAlign w:val="center"/>
          </w:tcPr>
          <w:p w14:paraId="2D6F8AC7"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2B2BC9DD"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Denmark</w:t>
            </w:r>
          </w:p>
        </w:tc>
        <w:tc>
          <w:tcPr>
            <w:tcW w:w="5325" w:type="dxa"/>
            <w:shd w:val="clear" w:color="auto" w:fill="auto"/>
            <w:vAlign w:val="center"/>
          </w:tcPr>
          <w:p w14:paraId="49EBE765"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Schaarup et al. (2023)</w:t>
            </w:r>
          </w:p>
        </w:tc>
        <w:tc>
          <w:tcPr>
            <w:tcW w:w="1016" w:type="dxa"/>
            <w:shd w:val="clear" w:color="auto" w:fill="auto"/>
            <w:vAlign w:val="center"/>
          </w:tcPr>
          <w:p w14:paraId="7A18EBCC"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w:t>
            </w:r>
          </w:p>
        </w:tc>
      </w:tr>
      <w:tr w:rsidR="000C2BDF" w:rsidRPr="00644CCA" w14:paraId="6C47C4B3" w14:textId="77777777" w:rsidTr="00621097">
        <w:trPr>
          <w:cantSplit/>
          <w:trHeight w:val="315"/>
          <w:tblHeader/>
        </w:trPr>
        <w:tc>
          <w:tcPr>
            <w:tcW w:w="1243" w:type="dxa"/>
            <w:vMerge/>
            <w:shd w:val="clear" w:color="auto" w:fill="auto"/>
            <w:vAlign w:val="center"/>
          </w:tcPr>
          <w:p w14:paraId="0A775280"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1EA4BCB0"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Italy</w:t>
            </w:r>
          </w:p>
        </w:tc>
        <w:tc>
          <w:tcPr>
            <w:tcW w:w="5325" w:type="dxa"/>
            <w:shd w:val="clear" w:color="auto" w:fill="auto"/>
            <w:vAlign w:val="center"/>
          </w:tcPr>
          <w:p w14:paraId="30E76AA7"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Cavallo et al. (2018)</w:t>
            </w:r>
          </w:p>
        </w:tc>
        <w:tc>
          <w:tcPr>
            <w:tcW w:w="1016" w:type="dxa"/>
            <w:shd w:val="clear" w:color="auto" w:fill="auto"/>
            <w:vAlign w:val="center"/>
          </w:tcPr>
          <w:p w14:paraId="38F363C8"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w:t>
            </w:r>
          </w:p>
        </w:tc>
      </w:tr>
      <w:tr w:rsidR="000C2BDF" w:rsidRPr="00644CCA" w14:paraId="7424A9F8" w14:textId="77777777" w:rsidTr="00621097">
        <w:trPr>
          <w:cantSplit/>
          <w:trHeight w:val="630"/>
          <w:tblHeader/>
        </w:trPr>
        <w:tc>
          <w:tcPr>
            <w:tcW w:w="1243" w:type="dxa"/>
            <w:vMerge/>
            <w:shd w:val="clear" w:color="auto" w:fill="auto"/>
            <w:vAlign w:val="center"/>
          </w:tcPr>
          <w:p w14:paraId="1851E717"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191B0BBD"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Switzerland</w:t>
            </w:r>
          </w:p>
        </w:tc>
        <w:tc>
          <w:tcPr>
            <w:tcW w:w="5325" w:type="dxa"/>
            <w:shd w:val="clear" w:color="auto" w:fill="auto"/>
            <w:vAlign w:val="center"/>
          </w:tcPr>
          <w:p w14:paraId="3D9E15D8"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Mettler et al. (2017)</w:t>
            </w:r>
          </w:p>
        </w:tc>
        <w:tc>
          <w:tcPr>
            <w:tcW w:w="1016" w:type="dxa"/>
            <w:shd w:val="clear" w:color="auto" w:fill="auto"/>
            <w:vAlign w:val="center"/>
          </w:tcPr>
          <w:p w14:paraId="74B8E48B"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w:t>
            </w:r>
          </w:p>
        </w:tc>
      </w:tr>
      <w:tr w:rsidR="000C2BDF" w:rsidRPr="00644CCA" w14:paraId="3DF05855" w14:textId="77777777" w:rsidTr="00621097">
        <w:trPr>
          <w:cantSplit/>
          <w:trHeight w:val="320"/>
          <w:tblHeader/>
        </w:trPr>
        <w:tc>
          <w:tcPr>
            <w:tcW w:w="1243" w:type="dxa"/>
            <w:vMerge/>
            <w:shd w:val="clear" w:color="auto" w:fill="auto"/>
            <w:vAlign w:val="center"/>
          </w:tcPr>
          <w:p w14:paraId="3D998A80"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466330A2" w14:textId="77777777" w:rsidR="000C2BDF" w:rsidRPr="00644CCA" w:rsidRDefault="000C2BDF" w:rsidP="00621097">
            <w:pPr>
              <w:spacing w:after="0" w:line="240" w:lineRule="auto"/>
              <w:jc w:val="center"/>
              <w:rPr>
                <w:rFonts w:ascii="Times New Roman" w:eastAsia="Times New Roman" w:hAnsi="Times New Roman" w:cs="Times New Roman"/>
                <w:b/>
                <w:color w:val="000000"/>
                <w:sz w:val="20"/>
                <w:szCs w:val="20"/>
              </w:rPr>
            </w:pPr>
          </w:p>
        </w:tc>
        <w:tc>
          <w:tcPr>
            <w:tcW w:w="5325" w:type="dxa"/>
            <w:shd w:val="clear" w:color="auto" w:fill="auto"/>
            <w:vAlign w:val="center"/>
          </w:tcPr>
          <w:p w14:paraId="664D9269"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Total articles:</w:t>
            </w:r>
          </w:p>
        </w:tc>
        <w:tc>
          <w:tcPr>
            <w:tcW w:w="1016" w:type="dxa"/>
            <w:shd w:val="clear" w:color="auto" w:fill="auto"/>
            <w:vAlign w:val="center"/>
          </w:tcPr>
          <w:p w14:paraId="48F6C4FF" w14:textId="77777777" w:rsidR="000C2BDF" w:rsidRPr="00644CCA" w:rsidRDefault="000C2BDF" w:rsidP="00621097">
            <w:pPr>
              <w:spacing w:after="0" w:line="240" w:lineRule="auto"/>
              <w:jc w:val="center"/>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31</w:t>
            </w:r>
          </w:p>
        </w:tc>
      </w:tr>
      <w:tr w:rsidR="000C2BDF" w:rsidRPr="00644CCA" w14:paraId="1DDF1408" w14:textId="77777777" w:rsidTr="00621097">
        <w:trPr>
          <w:cantSplit/>
          <w:trHeight w:val="320"/>
          <w:tblHeader/>
        </w:trPr>
        <w:tc>
          <w:tcPr>
            <w:tcW w:w="1243" w:type="dxa"/>
            <w:vMerge w:val="restart"/>
            <w:shd w:val="clear" w:color="auto" w:fill="auto"/>
            <w:vAlign w:val="center"/>
          </w:tcPr>
          <w:p w14:paraId="48798BB8"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Australia</w:t>
            </w:r>
          </w:p>
        </w:tc>
        <w:tc>
          <w:tcPr>
            <w:tcW w:w="1376" w:type="dxa"/>
            <w:shd w:val="clear" w:color="auto" w:fill="auto"/>
            <w:vAlign w:val="center"/>
          </w:tcPr>
          <w:p w14:paraId="79F1FFAF"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Australia</w:t>
            </w:r>
          </w:p>
        </w:tc>
        <w:tc>
          <w:tcPr>
            <w:tcW w:w="5325" w:type="dxa"/>
            <w:shd w:val="clear" w:color="auto" w:fill="auto"/>
            <w:vAlign w:val="center"/>
          </w:tcPr>
          <w:p w14:paraId="53EAE7B7"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Bellucci et al. (2020); Keel et al. (2018); Pelly et al. (2023)</w:t>
            </w:r>
          </w:p>
        </w:tc>
        <w:tc>
          <w:tcPr>
            <w:tcW w:w="1016" w:type="dxa"/>
            <w:shd w:val="clear" w:color="auto" w:fill="auto"/>
            <w:vAlign w:val="center"/>
          </w:tcPr>
          <w:p w14:paraId="75C83D28"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3</w:t>
            </w:r>
          </w:p>
        </w:tc>
      </w:tr>
      <w:tr w:rsidR="000C2BDF" w:rsidRPr="00644CCA" w14:paraId="42DB11A8" w14:textId="77777777" w:rsidTr="00621097">
        <w:trPr>
          <w:cantSplit/>
          <w:trHeight w:val="630"/>
          <w:tblHeader/>
        </w:trPr>
        <w:tc>
          <w:tcPr>
            <w:tcW w:w="1243" w:type="dxa"/>
            <w:vMerge/>
            <w:shd w:val="clear" w:color="auto" w:fill="auto"/>
            <w:vAlign w:val="center"/>
          </w:tcPr>
          <w:p w14:paraId="12102AFC"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114DC23E"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New Zeland</w:t>
            </w:r>
          </w:p>
        </w:tc>
        <w:tc>
          <w:tcPr>
            <w:tcW w:w="5325" w:type="dxa"/>
            <w:shd w:val="clear" w:color="auto" w:fill="auto"/>
            <w:vAlign w:val="center"/>
          </w:tcPr>
          <w:p w14:paraId="6F217CF1" w14:textId="77777777" w:rsidR="000C2BDF" w:rsidRPr="00644CCA" w:rsidRDefault="000C2BDF" w:rsidP="00621097">
            <w:pPr>
              <w:spacing w:after="0" w:line="240" w:lineRule="auto"/>
              <w:jc w:val="center"/>
              <w:rPr>
                <w:rFonts w:ascii="Times New Roman" w:eastAsia="Times New Roman" w:hAnsi="Times New Roman" w:cs="Times New Roman"/>
                <w:sz w:val="20"/>
                <w:szCs w:val="20"/>
              </w:rPr>
            </w:pPr>
            <w:r w:rsidRPr="00644CCA">
              <w:rPr>
                <w:rFonts w:ascii="Times New Roman" w:eastAsia="Times New Roman" w:hAnsi="Times New Roman" w:cs="Times New Roman"/>
                <w:sz w:val="20"/>
                <w:szCs w:val="20"/>
              </w:rPr>
              <w:t>Yap et al. (2022)</w:t>
            </w:r>
          </w:p>
        </w:tc>
        <w:tc>
          <w:tcPr>
            <w:tcW w:w="1016" w:type="dxa"/>
            <w:shd w:val="clear" w:color="auto" w:fill="auto"/>
            <w:vAlign w:val="center"/>
          </w:tcPr>
          <w:p w14:paraId="72C32122" w14:textId="77777777" w:rsidR="000C2BDF" w:rsidRPr="00644CCA" w:rsidRDefault="000C2BDF" w:rsidP="00621097">
            <w:pPr>
              <w:spacing w:after="0" w:line="240" w:lineRule="auto"/>
              <w:jc w:val="center"/>
              <w:rPr>
                <w:rFonts w:ascii="Times New Roman" w:eastAsia="Times New Roman" w:hAnsi="Times New Roman" w:cs="Times New Roman"/>
                <w:color w:val="000000"/>
                <w:sz w:val="20"/>
                <w:szCs w:val="20"/>
              </w:rPr>
            </w:pPr>
            <w:r w:rsidRPr="00644CCA">
              <w:rPr>
                <w:rFonts w:ascii="Times New Roman" w:eastAsia="Times New Roman" w:hAnsi="Times New Roman" w:cs="Times New Roman"/>
                <w:color w:val="000000"/>
                <w:sz w:val="20"/>
                <w:szCs w:val="20"/>
              </w:rPr>
              <w:t>1</w:t>
            </w:r>
          </w:p>
        </w:tc>
      </w:tr>
      <w:tr w:rsidR="000C2BDF" w:rsidRPr="00644CCA" w14:paraId="2C6271B3" w14:textId="77777777" w:rsidTr="00621097">
        <w:trPr>
          <w:cantSplit/>
          <w:trHeight w:val="320"/>
          <w:tblHeader/>
        </w:trPr>
        <w:tc>
          <w:tcPr>
            <w:tcW w:w="1243" w:type="dxa"/>
            <w:vMerge/>
            <w:shd w:val="clear" w:color="auto" w:fill="auto"/>
            <w:vAlign w:val="center"/>
          </w:tcPr>
          <w:p w14:paraId="6941410E" w14:textId="77777777" w:rsidR="000C2BDF" w:rsidRPr="00644CCA" w:rsidRDefault="000C2BDF" w:rsidP="0062109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c>
          <w:tcPr>
            <w:tcW w:w="1376" w:type="dxa"/>
            <w:shd w:val="clear" w:color="auto" w:fill="auto"/>
            <w:vAlign w:val="center"/>
          </w:tcPr>
          <w:p w14:paraId="0769ACED" w14:textId="77777777" w:rsidR="000C2BDF" w:rsidRPr="00644CCA" w:rsidRDefault="000C2BDF" w:rsidP="00621097">
            <w:pPr>
              <w:spacing w:after="0" w:line="240" w:lineRule="auto"/>
              <w:jc w:val="center"/>
              <w:rPr>
                <w:rFonts w:ascii="Times New Roman" w:eastAsia="Times New Roman" w:hAnsi="Times New Roman" w:cs="Times New Roman"/>
                <w:b/>
                <w:color w:val="000000"/>
                <w:sz w:val="20"/>
                <w:szCs w:val="20"/>
              </w:rPr>
            </w:pPr>
          </w:p>
        </w:tc>
        <w:tc>
          <w:tcPr>
            <w:tcW w:w="5325" w:type="dxa"/>
            <w:shd w:val="clear" w:color="auto" w:fill="auto"/>
            <w:vAlign w:val="center"/>
          </w:tcPr>
          <w:p w14:paraId="7C1BB6B8" w14:textId="77777777" w:rsidR="000C2BDF" w:rsidRPr="00644CCA" w:rsidRDefault="000C2BDF" w:rsidP="00621097">
            <w:pPr>
              <w:spacing w:after="0" w:line="240" w:lineRule="auto"/>
              <w:jc w:val="center"/>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Total articles:</w:t>
            </w:r>
          </w:p>
        </w:tc>
        <w:tc>
          <w:tcPr>
            <w:tcW w:w="1016" w:type="dxa"/>
            <w:shd w:val="clear" w:color="auto" w:fill="auto"/>
            <w:vAlign w:val="center"/>
          </w:tcPr>
          <w:p w14:paraId="4E3D9AA4" w14:textId="77777777" w:rsidR="000C2BDF" w:rsidRPr="00644CCA" w:rsidRDefault="000C2BDF" w:rsidP="00621097">
            <w:pPr>
              <w:spacing w:after="0" w:line="240" w:lineRule="auto"/>
              <w:jc w:val="center"/>
              <w:rPr>
                <w:rFonts w:ascii="Times New Roman" w:eastAsia="Times New Roman" w:hAnsi="Times New Roman" w:cs="Times New Roman"/>
                <w:b/>
                <w:color w:val="000000"/>
                <w:sz w:val="20"/>
                <w:szCs w:val="20"/>
              </w:rPr>
            </w:pPr>
            <w:r w:rsidRPr="00644CCA">
              <w:rPr>
                <w:rFonts w:ascii="Times New Roman" w:eastAsia="Times New Roman" w:hAnsi="Times New Roman" w:cs="Times New Roman"/>
                <w:b/>
                <w:color w:val="000000"/>
                <w:sz w:val="20"/>
                <w:szCs w:val="20"/>
              </w:rPr>
              <w:t>4</w:t>
            </w:r>
          </w:p>
        </w:tc>
      </w:tr>
    </w:tbl>
    <w:p w14:paraId="57B0BDFC" w14:textId="77777777" w:rsidR="000C2BDF" w:rsidRPr="00644CCA" w:rsidRDefault="000C2BDF" w:rsidP="000C2BDF">
      <w:pPr>
        <w:spacing w:after="0" w:line="240" w:lineRule="auto"/>
        <w:rPr>
          <w:rFonts w:ascii="Times New Roman" w:eastAsia="Times New Roman" w:hAnsi="Times New Roman" w:cs="Times New Roman"/>
          <w:b/>
          <w:color w:val="000000"/>
          <w:sz w:val="20"/>
          <w:szCs w:val="20"/>
        </w:rPr>
      </w:pPr>
    </w:p>
    <w:p w14:paraId="39B2A43C" w14:textId="77777777" w:rsidR="000C2BDF" w:rsidRPr="00644CCA" w:rsidRDefault="000C2BDF" w:rsidP="000C2BDF">
      <w:pPr>
        <w:jc w:val="both"/>
        <w:rPr>
          <w:rFonts w:ascii="Times New Roman" w:eastAsia="Times New Roman" w:hAnsi="Times New Roman" w:cs="Times New Roman"/>
          <w:b/>
          <w:sz w:val="20"/>
          <w:szCs w:val="20"/>
          <w:u w:val="single"/>
        </w:rPr>
      </w:pPr>
    </w:p>
    <w:p w14:paraId="497DD615" w14:textId="77777777" w:rsidR="008D2CF0" w:rsidRPr="00644CCA" w:rsidRDefault="008D2CF0" w:rsidP="000C2BDF">
      <w:pPr>
        <w:rPr>
          <w:rFonts w:ascii="Times New Roman" w:eastAsia="Times New Roman" w:hAnsi="Times New Roman" w:cs="Times New Roman"/>
          <w:b/>
          <w:sz w:val="20"/>
          <w:szCs w:val="20"/>
        </w:rPr>
      </w:pPr>
    </w:p>
    <w:p w14:paraId="28DA1669" w14:textId="5D9DB211" w:rsidR="000C2BDF" w:rsidRPr="00644CCA" w:rsidRDefault="000C2BDF" w:rsidP="000C2BDF">
      <w:pPr>
        <w:rPr>
          <w:rFonts w:ascii="Times New Roman" w:eastAsia="Times New Roman" w:hAnsi="Times New Roman" w:cs="Times New Roman"/>
          <w:i/>
          <w:sz w:val="20"/>
          <w:szCs w:val="20"/>
        </w:rPr>
      </w:pPr>
      <w:r w:rsidRPr="00644CCA">
        <w:rPr>
          <w:rFonts w:ascii="Times New Roman" w:eastAsia="Times New Roman" w:hAnsi="Times New Roman" w:cs="Times New Roman"/>
          <w:b/>
          <w:sz w:val="20"/>
          <w:szCs w:val="20"/>
        </w:rPr>
        <w:t xml:space="preserve">Table </w:t>
      </w:r>
      <w:r w:rsidR="00970FA8" w:rsidRPr="00644CCA">
        <w:rPr>
          <w:rFonts w:ascii="Times New Roman" w:eastAsia="Times New Roman" w:hAnsi="Times New Roman" w:cs="Times New Roman"/>
          <w:b/>
          <w:sz w:val="20"/>
          <w:szCs w:val="20"/>
        </w:rPr>
        <w:t>7</w:t>
      </w:r>
      <w:r w:rsidRPr="00644CCA">
        <w:rPr>
          <w:rFonts w:ascii="Times New Roman" w:eastAsia="Times New Roman" w:hAnsi="Times New Roman" w:cs="Times New Roman"/>
          <w:b/>
          <w:sz w:val="20"/>
          <w:szCs w:val="20"/>
        </w:rPr>
        <w:t xml:space="preserve"> </w:t>
      </w:r>
      <w:r w:rsidRPr="00644CCA">
        <w:rPr>
          <w:rFonts w:ascii="Times New Roman" w:eastAsia="Times New Roman" w:hAnsi="Times New Roman" w:cs="Times New Roman"/>
          <w:iCs/>
          <w:sz w:val="20"/>
          <w:szCs w:val="20"/>
        </w:rPr>
        <w:t>Population of the world</w:t>
      </w:r>
    </w:p>
    <w:tbl>
      <w:tblPr>
        <w:tblW w:w="5318" w:type="dxa"/>
        <w:jc w:val="center"/>
        <w:tblLayout w:type="fixed"/>
        <w:tblLook w:val="0400" w:firstRow="0" w:lastRow="0" w:firstColumn="0" w:lastColumn="0" w:noHBand="0" w:noVBand="1"/>
      </w:tblPr>
      <w:tblGrid>
        <w:gridCol w:w="1440"/>
        <w:gridCol w:w="2520"/>
        <w:gridCol w:w="1358"/>
      </w:tblGrid>
      <w:tr w:rsidR="000C2BDF" w:rsidRPr="00644CCA" w14:paraId="49D5BD0D" w14:textId="77777777" w:rsidTr="00621097">
        <w:trPr>
          <w:cantSplit/>
          <w:trHeight w:val="290"/>
          <w:tblHeader/>
          <w:jc w:val="center"/>
        </w:trPr>
        <w:tc>
          <w:tcPr>
            <w:tcW w:w="144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9A873F" w14:textId="77777777" w:rsidR="000C2BDF" w:rsidRPr="00644CCA" w:rsidRDefault="000C2BDF" w:rsidP="00621097">
            <w:pPr>
              <w:spacing w:after="0" w:line="240" w:lineRule="auto"/>
              <w:jc w:val="center"/>
              <w:rPr>
                <w:rFonts w:ascii="Times New Roman" w:hAnsi="Times New Roman" w:cs="Times New Roman"/>
                <w:b/>
                <w:color w:val="000000"/>
                <w:sz w:val="20"/>
                <w:szCs w:val="20"/>
              </w:rPr>
            </w:pPr>
            <w:r w:rsidRPr="00644CCA">
              <w:rPr>
                <w:rFonts w:ascii="Times New Roman" w:hAnsi="Times New Roman" w:cs="Times New Roman"/>
                <w:b/>
                <w:color w:val="000000"/>
                <w:sz w:val="20"/>
                <w:szCs w:val="20"/>
              </w:rPr>
              <w:t>Continent</w:t>
            </w:r>
          </w:p>
        </w:tc>
        <w:tc>
          <w:tcPr>
            <w:tcW w:w="2520" w:type="dxa"/>
            <w:tcBorders>
              <w:top w:val="single" w:sz="4" w:space="0" w:color="000000"/>
              <w:left w:val="nil"/>
              <w:bottom w:val="single" w:sz="4" w:space="0" w:color="000000"/>
              <w:right w:val="single" w:sz="4" w:space="0" w:color="000000"/>
            </w:tcBorders>
            <w:shd w:val="clear" w:color="auto" w:fill="auto"/>
            <w:vAlign w:val="bottom"/>
          </w:tcPr>
          <w:p w14:paraId="30435235" w14:textId="77777777" w:rsidR="000C2BDF" w:rsidRPr="00644CCA" w:rsidRDefault="000C2BDF" w:rsidP="00621097">
            <w:pPr>
              <w:spacing w:after="0" w:line="240" w:lineRule="auto"/>
              <w:jc w:val="center"/>
              <w:rPr>
                <w:rFonts w:ascii="Times New Roman" w:hAnsi="Times New Roman" w:cs="Times New Roman"/>
                <w:b/>
                <w:color w:val="000000"/>
                <w:sz w:val="20"/>
                <w:szCs w:val="20"/>
              </w:rPr>
            </w:pPr>
            <w:r w:rsidRPr="00644CCA">
              <w:rPr>
                <w:rFonts w:ascii="Times New Roman" w:hAnsi="Times New Roman" w:cs="Times New Roman"/>
                <w:b/>
                <w:color w:val="000000"/>
                <w:sz w:val="20"/>
                <w:szCs w:val="20"/>
              </w:rPr>
              <w:t>Population (2023)</w:t>
            </w:r>
          </w:p>
        </w:tc>
        <w:tc>
          <w:tcPr>
            <w:tcW w:w="1358" w:type="dxa"/>
            <w:tcBorders>
              <w:top w:val="single" w:sz="4" w:space="0" w:color="000000"/>
              <w:left w:val="nil"/>
              <w:bottom w:val="single" w:sz="4" w:space="0" w:color="000000"/>
              <w:right w:val="single" w:sz="4" w:space="0" w:color="000000"/>
            </w:tcBorders>
            <w:shd w:val="clear" w:color="auto" w:fill="auto"/>
            <w:vAlign w:val="center"/>
          </w:tcPr>
          <w:p w14:paraId="21B57853" w14:textId="77777777" w:rsidR="000C2BDF" w:rsidRPr="00644CCA" w:rsidRDefault="000C2BDF" w:rsidP="00621097">
            <w:pPr>
              <w:spacing w:after="0" w:line="240" w:lineRule="auto"/>
              <w:jc w:val="center"/>
              <w:rPr>
                <w:rFonts w:ascii="Times New Roman" w:hAnsi="Times New Roman" w:cs="Times New Roman"/>
                <w:b/>
                <w:color w:val="000000"/>
                <w:sz w:val="20"/>
                <w:szCs w:val="20"/>
              </w:rPr>
            </w:pPr>
            <w:r w:rsidRPr="00644CCA">
              <w:rPr>
                <w:rFonts w:ascii="Times New Roman" w:hAnsi="Times New Roman" w:cs="Times New Roman"/>
                <w:b/>
                <w:color w:val="000000"/>
                <w:sz w:val="20"/>
                <w:szCs w:val="20"/>
              </w:rPr>
              <w:t>Percentage</w:t>
            </w:r>
          </w:p>
        </w:tc>
      </w:tr>
      <w:tr w:rsidR="000C2BDF" w:rsidRPr="00644CCA" w14:paraId="40E0403A" w14:textId="77777777" w:rsidTr="00621097">
        <w:trPr>
          <w:cantSplit/>
          <w:trHeight w:val="290"/>
          <w:tblHeader/>
          <w:jc w:val="center"/>
        </w:trPr>
        <w:tc>
          <w:tcPr>
            <w:tcW w:w="1440" w:type="dxa"/>
            <w:tcBorders>
              <w:top w:val="nil"/>
              <w:left w:val="single" w:sz="4" w:space="0" w:color="000000"/>
              <w:bottom w:val="single" w:sz="4" w:space="0" w:color="000000"/>
              <w:right w:val="single" w:sz="4" w:space="0" w:color="000000"/>
            </w:tcBorders>
            <w:shd w:val="clear" w:color="auto" w:fill="auto"/>
            <w:vAlign w:val="bottom"/>
          </w:tcPr>
          <w:p w14:paraId="27C27EB4"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Africa</w:t>
            </w:r>
          </w:p>
        </w:tc>
        <w:tc>
          <w:tcPr>
            <w:tcW w:w="2520" w:type="dxa"/>
            <w:tcBorders>
              <w:top w:val="nil"/>
              <w:left w:val="nil"/>
              <w:bottom w:val="single" w:sz="4" w:space="0" w:color="000000"/>
              <w:right w:val="single" w:sz="4" w:space="0" w:color="000000"/>
            </w:tcBorders>
            <w:shd w:val="clear" w:color="auto" w:fill="auto"/>
            <w:vAlign w:val="bottom"/>
          </w:tcPr>
          <w:p w14:paraId="6B839734"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1460476458</w:t>
            </w:r>
          </w:p>
        </w:tc>
        <w:tc>
          <w:tcPr>
            <w:tcW w:w="1358" w:type="dxa"/>
            <w:tcBorders>
              <w:top w:val="nil"/>
              <w:left w:val="nil"/>
              <w:bottom w:val="single" w:sz="4" w:space="0" w:color="000000"/>
              <w:right w:val="single" w:sz="4" w:space="0" w:color="000000"/>
            </w:tcBorders>
            <w:shd w:val="clear" w:color="auto" w:fill="auto"/>
            <w:vAlign w:val="center"/>
          </w:tcPr>
          <w:p w14:paraId="324CA199"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18.20%</w:t>
            </w:r>
          </w:p>
        </w:tc>
      </w:tr>
      <w:tr w:rsidR="000C2BDF" w:rsidRPr="00644CCA" w14:paraId="43476214" w14:textId="77777777" w:rsidTr="00621097">
        <w:trPr>
          <w:cantSplit/>
          <w:trHeight w:val="290"/>
          <w:tblHeader/>
          <w:jc w:val="center"/>
        </w:trPr>
        <w:tc>
          <w:tcPr>
            <w:tcW w:w="1440" w:type="dxa"/>
            <w:tcBorders>
              <w:top w:val="nil"/>
              <w:left w:val="single" w:sz="4" w:space="0" w:color="000000"/>
              <w:bottom w:val="single" w:sz="4" w:space="0" w:color="000000"/>
              <w:right w:val="single" w:sz="4" w:space="0" w:color="000000"/>
            </w:tcBorders>
            <w:shd w:val="clear" w:color="auto" w:fill="auto"/>
            <w:vAlign w:val="bottom"/>
          </w:tcPr>
          <w:p w14:paraId="760CBC25"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Antarctica</w:t>
            </w:r>
          </w:p>
        </w:tc>
        <w:tc>
          <w:tcPr>
            <w:tcW w:w="2520" w:type="dxa"/>
            <w:tcBorders>
              <w:top w:val="nil"/>
              <w:left w:val="nil"/>
              <w:bottom w:val="single" w:sz="4" w:space="0" w:color="000000"/>
              <w:right w:val="single" w:sz="4" w:space="0" w:color="000000"/>
            </w:tcBorders>
            <w:shd w:val="clear" w:color="auto" w:fill="auto"/>
            <w:vAlign w:val="bottom"/>
          </w:tcPr>
          <w:p w14:paraId="619AD7CB"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0</w:t>
            </w:r>
          </w:p>
        </w:tc>
        <w:tc>
          <w:tcPr>
            <w:tcW w:w="1358" w:type="dxa"/>
            <w:tcBorders>
              <w:top w:val="nil"/>
              <w:left w:val="nil"/>
              <w:bottom w:val="single" w:sz="4" w:space="0" w:color="000000"/>
              <w:right w:val="single" w:sz="4" w:space="0" w:color="000000"/>
            </w:tcBorders>
            <w:shd w:val="clear" w:color="auto" w:fill="auto"/>
            <w:vAlign w:val="center"/>
          </w:tcPr>
          <w:p w14:paraId="0C55666F"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0%</w:t>
            </w:r>
          </w:p>
        </w:tc>
      </w:tr>
      <w:tr w:rsidR="000C2BDF" w:rsidRPr="00644CCA" w14:paraId="4670EAA6" w14:textId="77777777" w:rsidTr="00621097">
        <w:trPr>
          <w:cantSplit/>
          <w:trHeight w:val="290"/>
          <w:tblHeader/>
          <w:jc w:val="center"/>
        </w:trPr>
        <w:tc>
          <w:tcPr>
            <w:tcW w:w="1440" w:type="dxa"/>
            <w:tcBorders>
              <w:top w:val="nil"/>
              <w:left w:val="single" w:sz="4" w:space="0" w:color="000000"/>
              <w:bottom w:val="single" w:sz="4" w:space="0" w:color="000000"/>
              <w:right w:val="single" w:sz="4" w:space="0" w:color="000000"/>
            </w:tcBorders>
            <w:shd w:val="clear" w:color="auto" w:fill="auto"/>
            <w:vAlign w:val="bottom"/>
          </w:tcPr>
          <w:p w14:paraId="248A641F"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Asia</w:t>
            </w:r>
          </w:p>
        </w:tc>
        <w:tc>
          <w:tcPr>
            <w:tcW w:w="2520" w:type="dxa"/>
            <w:tcBorders>
              <w:top w:val="nil"/>
              <w:left w:val="nil"/>
              <w:bottom w:val="single" w:sz="4" w:space="0" w:color="000000"/>
              <w:right w:val="single" w:sz="4" w:space="0" w:color="000000"/>
            </w:tcBorders>
            <w:shd w:val="clear" w:color="auto" w:fill="auto"/>
            <w:vAlign w:val="bottom"/>
          </w:tcPr>
          <w:p w14:paraId="6C2FBE58"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4751819588</w:t>
            </w:r>
          </w:p>
        </w:tc>
        <w:tc>
          <w:tcPr>
            <w:tcW w:w="1358" w:type="dxa"/>
            <w:tcBorders>
              <w:top w:val="nil"/>
              <w:left w:val="nil"/>
              <w:bottom w:val="single" w:sz="4" w:space="0" w:color="000000"/>
              <w:right w:val="single" w:sz="4" w:space="0" w:color="000000"/>
            </w:tcBorders>
            <w:shd w:val="clear" w:color="auto" w:fill="auto"/>
            <w:vAlign w:val="center"/>
          </w:tcPr>
          <w:p w14:paraId="7EA621F0"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59.22%</w:t>
            </w:r>
          </w:p>
        </w:tc>
      </w:tr>
      <w:tr w:rsidR="000C2BDF" w:rsidRPr="00644CCA" w14:paraId="58FF0292" w14:textId="77777777" w:rsidTr="00621097">
        <w:trPr>
          <w:cantSplit/>
          <w:trHeight w:val="290"/>
          <w:tblHeader/>
          <w:jc w:val="center"/>
        </w:trPr>
        <w:tc>
          <w:tcPr>
            <w:tcW w:w="1440" w:type="dxa"/>
            <w:tcBorders>
              <w:top w:val="nil"/>
              <w:left w:val="single" w:sz="4" w:space="0" w:color="000000"/>
              <w:bottom w:val="single" w:sz="4" w:space="0" w:color="000000"/>
              <w:right w:val="single" w:sz="4" w:space="0" w:color="000000"/>
            </w:tcBorders>
            <w:shd w:val="clear" w:color="auto" w:fill="auto"/>
            <w:vAlign w:val="bottom"/>
          </w:tcPr>
          <w:p w14:paraId="74E6C2E2"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Australia</w:t>
            </w:r>
          </w:p>
        </w:tc>
        <w:tc>
          <w:tcPr>
            <w:tcW w:w="2520" w:type="dxa"/>
            <w:tcBorders>
              <w:top w:val="nil"/>
              <w:left w:val="nil"/>
              <w:bottom w:val="single" w:sz="4" w:space="0" w:color="000000"/>
              <w:right w:val="single" w:sz="4" w:space="0" w:color="000000"/>
            </w:tcBorders>
            <w:shd w:val="clear" w:color="auto" w:fill="auto"/>
            <w:vAlign w:val="bottom"/>
          </w:tcPr>
          <w:p w14:paraId="53CF5D79"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26411948</w:t>
            </w:r>
          </w:p>
        </w:tc>
        <w:tc>
          <w:tcPr>
            <w:tcW w:w="1358" w:type="dxa"/>
            <w:tcBorders>
              <w:top w:val="nil"/>
              <w:left w:val="nil"/>
              <w:bottom w:val="single" w:sz="4" w:space="0" w:color="000000"/>
              <w:right w:val="single" w:sz="4" w:space="0" w:color="000000"/>
            </w:tcBorders>
            <w:shd w:val="clear" w:color="auto" w:fill="auto"/>
            <w:vAlign w:val="center"/>
          </w:tcPr>
          <w:p w14:paraId="5541D115"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0.33%</w:t>
            </w:r>
          </w:p>
        </w:tc>
      </w:tr>
      <w:tr w:rsidR="000C2BDF" w:rsidRPr="00644CCA" w14:paraId="07EFD286" w14:textId="77777777" w:rsidTr="00621097">
        <w:trPr>
          <w:cantSplit/>
          <w:trHeight w:val="290"/>
          <w:tblHeader/>
          <w:jc w:val="center"/>
        </w:trPr>
        <w:tc>
          <w:tcPr>
            <w:tcW w:w="1440" w:type="dxa"/>
            <w:tcBorders>
              <w:top w:val="nil"/>
              <w:left w:val="single" w:sz="4" w:space="0" w:color="000000"/>
              <w:bottom w:val="single" w:sz="4" w:space="0" w:color="000000"/>
              <w:right w:val="single" w:sz="4" w:space="0" w:color="000000"/>
            </w:tcBorders>
            <w:shd w:val="clear" w:color="auto" w:fill="auto"/>
            <w:vAlign w:val="bottom"/>
          </w:tcPr>
          <w:p w14:paraId="4A12831D"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Europe</w:t>
            </w:r>
          </w:p>
        </w:tc>
        <w:tc>
          <w:tcPr>
            <w:tcW w:w="2520" w:type="dxa"/>
            <w:tcBorders>
              <w:top w:val="nil"/>
              <w:left w:val="nil"/>
              <w:bottom w:val="single" w:sz="4" w:space="0" w:color="000000"/>
              <w:right w:val="single" w:sz="4" w:space="0" w:color="000000"/>
            </w:tcBorders>
            <w:shd w:val="clear" w:color="auto" w:fill="auto"/>
            <w:vAlign w:val="bottom"/>
          </w:tcPr>
          <w:p w14:paraId="433CD4D7"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741869197</w:t>
            </w:r>
          </w:p>
        </w:tc>
        <w:tc>
          <w:tcPr>
            <w:tcW w:w="1358" w:type="dxa"/>
            <w:tcBorders>
              <w:top w:val="nil"/>
              <w:left w:val="nil"/>
              <w:bottom w:val="single" w:sz="4" w:space="0" w:color="000000"/>
              <w:right w:val="single" w:sz="4" w:space="0" w:color="000000"/>
            </w:tcBorders>
            <w:shd w:val="clear" w:color="auto" w:fill="auto"/>
            <w:vAlign w:val="center"/>
          </w:tcPr>
          <w:p w14:paraId="0FBE05C3"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9.25%</w:t>
            </w:r>
          </w:p>
        </w:tc>
      </w:tr>
      <w:tr w:rsidR="000C2BDF" w:rsidRPr="00644CCA" w14:paraId="4EA78A40" w14:textId="77777777" w:rsidTr="00621097">
        <w:trPr>
          <w:cantSplit/>
          <w:trHeight w:val="290"/>
          <w:tblHeader/>
          <w:jc w:val="center"/>
        </w:trPr>
        <w:tc>
          <w:tcPr>
            <w:tcW w:w="1440" w:type="dxa"/>
            <w:tcBorders>
              <w:top w:val="nil"/>
              <w:left w:val="single" w:sz="4" w:space="0" w:color="000000"/>
              <w:bottom w:val="single" w:sz="4" w:space="0" w:color="000000"/>
              <w:right w:val="single" w:sz="4" w:space="0" w:color="000000"/>
            </w:tcBorders>
            <w:shd w:val="clear" w:color="auto" w:fill="auto"/>
            <w:vAlign w:val="bottom"/>
          </w:tcPr>
          <w:p w14:paraId="166C1980"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North America</w:t>
            </w:r>
          </w:p>
        </w:tc>
        <w:tc>
          <w:tcPr>
            <w:tcW w:w="2520" w:type="dxa"/>
            <w:tcBorders>
              <w:top w:val="nil"/>
              <w:left w:val="nil"/>
              <w:bottom w:val="single" w:sz="4" w:space="0" w:color="000000"/>
              <w:right w:val="single" w:sz="4" w:space="0" w:color="000000"/>
            </w:tcBorders>
            <w:shd w:val="clear" w:color="auto" w:fill="auto"/>
            <w:vAlign w:val="bottom"/>
          </w:tcPr>
          <w:p w14:paraId="4C1B0D87"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604155369</w:t>
            </w:r>
          </w:p>
        </w:tc>
        <w:tc>
          <w:tcPr>
            <w:tcW w:w="1358" w:type="dxa"/>
            <w:tcBorders>
              <w:top w:val="nil"/>
              <w:left w:val="nil"/>
              <w:bottom w:val="single" w:sz="4" w:space="0" w:color="000000"/>
              <w:right w:val="single" w:sz="4" w:space="0" w:color="000000"/>
            </w:tcBorders>
            <w:shd w:val="clear" w:color="auto" w:fill="auto"/>
            <w:vAlign w:val="center"/>
          </w:tcPr>
          <w:p w14:paraId="44E2DF91"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7.53%</w:t>
            </w:r>
          </w:p>
        </w:tc>
      </w:tr>
      <w:tr w:rsidR="000C2BDF" w:rsidRPr="00644CCA" w14:paraId="42683527" w14:textId="77777777" w:rsidTr="00621097">
        <w:trPr>
          <w:cantSplit/>
          <w:trHeight w:val="290"/>
          <w:tblHeader/>
          <w:jc w:val="center"/>
        </w:trPr>
        <w:tc>
          <w:tcPr>
            <w:tcW w:w="1440" w:type="dxa"/>
            <w:tcBorders>
              <w:top w:val="nil"/>
              <w:left w:val="single" w:sz="4" w:space="0" w:color="000000"/>
              <w:bottom w:val="single" w:sz="4" w:space="0" w:color="000000"/>
              <w:right w:val="single" w:sz="4" w:space="0" w:color="000000"/>
            </w:tcBorders>
            <w:shd w:val="clear" w:color="auto" w:fill="auto"/>
            <w:vAlign w:val="bottom"/>
          </w:tcPr>
          <w:p w14:paraId="0C6FAB85"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South America</w:t>
            </w:r>
          </w:p>
        </w:tc>
        <w:tc>
          <w:tcPr>
            <w:tcW w:w="2520" w:type="dxa"/>
            <w:tcBorders>
              <w:top w:val="nil"/>
              <w:left w:val="nil"/>
              <w:bottom w:val="single" w:sz="4" w:space="0" w:color="000000"/>
              <w:right w:val="single" w:sz="4" w:space="0" w:color="000000"/>
            </w:tcBorders>
            <w:shd w:val="clear" w:color="auto" w:fill="auto"/>
            <w:vAlign w:val="bottom"/>
          </w:tcPr>
          <w:p w14:paraId="3313C0DE"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439719009</w:t>
            </w:r>
          </w:p>
        </w:tc>
        <w:tc>
          <w:tcPr>
            <w:tcW w:w="1358" w:type="dxa"/>
            <w:tcBorders>
              <w:top w:val="nil"/>
              <w:left w:val="nil"/>
              <w:bottom w:val="single" w:sz="4" w:space="0" w:color="000000"/>
              <w:right w:val="single" w:sz="4" w:space="0" w:color="000000"/>
            </w:tcBorders>
            <w:shd w:val="clear" w:color="auto" w:fill="auto"/>
            <w:vAlign w:val="center"/>
          </w:tcPr>
          <w:p w14:paraId="17DADD4B" w14:textId="77777777" w:rsidR="000C2BDF" w:rsidRPr="00644CCA" w:rsidRDefault="000C2BDF" w:rsidP="00621097">
            <w:pPr>
              <w:spacing w:after="0" w:line="240" w:lineRule="auto"/>
              <w:jc w:val="center"/>
              <w:rPr>
                <w:rFonts w:ascii="Times New Roman" w:hAnsi="Times New Roman" w:cs="Times New Roman"/>
                <w:color w:val="000000"/>
                <w:sz w:val="20"/>
                <w:szCs w:val="20"/>
              </w:rPr>
            </w:pPr>
            <w:r w:rsidRPr="00644CCA">
              <w:rPr>
                <w:rFonts w:ascii="Times New Roman" w:hAnsi="Times New Roman" w:cs="Times New Roman"/>
                <w:color w:val="000000"/>
                <w:sz w:val="20"/>
                <w:szCs w:val="20"/>
              </w:rPr>
              <w:t>5.48%</w:t>
            </w:r>
          </w:p>
        </w:tc>
      </w:tr>
    </w:tbl>
    <w:p w14:paraId="32CBE7C5" w14:textId="77777777" w:rsidR="000C2BDF" w:rsidRPr="00644CCA" w:rsidRDefault="000C2BDF" w:rsidP="000C2BDF">
      <w:pPr>
        <w:jc w:val="both"/>
        <w:rPr>
          <w:rFonts w:ascii="Times New Roman" w:eastAsia="Times New Roman" w:hAnsi="Times New Roman" w:cs="Times New Roman"/>
          <w:b/>
          <w:sz w:val="20"/>
          <w:szCs w:val="20"/>
        </w:rPr>
      </w:pPr>
      <w:r w:rsidRPr="00644CCA">
        <w:rPr>
          <w:rFonts w:ascii="Times New Roman" w:eastAsia="Times New Roman" w:hAnsi="Times New Roman" w:cs="Times New Roman"/>
          <w:b/>
          <w:sz w:val="20"/>
          <w:szCs w:val="20"/>
        </w:rPr>
        <w:t xml:space="preserve">Source: </w:t>
      </w:r>
      <w:hyperlink r:id="rId7">
        <w:r w:rsidRPr="00644CCA">
          <w:rPr>
            <w:rFonts w:ascii="Times New Roman" w:eastAsia="Times New Roman" w:hAnsi="Times New Roman" w:cs="Times New Roman"/>
            <w:b/>
            <w:color w:val="0000FF"/>
            <w:sz w:val="20"/>
            <w:szCs w:val="20"/>
            <w:u w:val="single"/>
          </w:rPr>
          <w:t>https://worldpopulationreview.com/continents</w:t>
        </w:r>
      </w:hyperlink>
      <w:r w:rsidRPr="00644CCA">
        <w:rPr>
          <w:rFonts w:ascii="Times New Roman" w:eastAsia="Times New Roman" w:hAnsi="Times New Roman" w:cs="Times New Roman"/>
          <w:b/>
          <w:sz w:val="20"/>
          <w:szCs w:val="20"/>
        </w:rPr>
        <w:t xml:space="preserve"> (Accessed on 26/05/2023)</w:t>
      </w:r>
    </w:p>
    <w:p w14:paraId="7F0FC816" w14:textId="77777777" w:rsidR="005C1754" w:rsidRPr="001812EB" w:rsidRDefault="005C1754" w:rsidP="000C2BDF">
      <w:pPr>
        <w:rPr>
          <w:rFonts w:ascii="Times New Roman" w:eastAsia="Times New Roman" w:hAnsi="Times New Roman" w:cs="Times New Roman"/>
          <w:bCs/>
          <w:sz w:val="24"/>
          <w:szCs w:val="24"/>
        </w:rPr>
      </w:pPr>
    </w:p>
    <w:p w14:paraId="56ABC612" w14:textId="31AF2CC8" w:rsidR="000C2BDF" w:rsidRPr="001812EB" w:rsidRDefault="000C2BDF" w:rsidP="000C2BDF">
      <w:pPr>
        <w:rPr>
          <w:rFonts w:ascii="Times New Roman" w:eastAsia="Times New Roman" w:hAnsi="Times New Roman" w:cs="Times New Roman"/>
          <w:sz w:val="24"/>
          <w:szCs w:val="24"/>
        </w:rPr>
      </w:pPr>
    </w:p>
    <w:p w14:paraId="16DA8685" w14:textId="77777777" w:rsidR="000C2BDF" w:rsidRPr="001812EB" w:rsidRDefault="000C2BDF" w:rsidP="000C2BDF">
      <w:pPr>
        <w:pBdr>
          <w:top w:val="nil"/>
          <w:left w:val="nil"/>
          <w:bottom w:val="nil"/>
          <w:right w:val="nil"/>
          <w:between w:val="nil"/>
        </w:pBdr>
        <w:spacing w:after="240" w:line="360" w:lineRule="auto"/>
        <w:ind w:left="720" w:hanging="720"/>
        <w:jc w:val="both"/>
        <w:rPr>
          <w:rFonts w:ascii="Times New Roman" w:eastAsia="Times New Roman" w:hAnsi="Times New Roman" w:cs="Times New Roman"/>
          <w:color w:val="000000"/>
          <w:sz w:val="24"/>
          <w:szCs w:val="24"/>
        </w:rPr>
      </w:pPr>
    </w:p>
    <w:p w14:paraId="09F43A1B" w14:textId="77777777" w:rsidR="00A20A52" w:rsidRPr="006A67E1" w:rsidRDefault="00A20A52">
      <w:pPr>
        <w:rPr>
          <w:rFonts w:ascii="Times New Roman" w:hAnsi="Times New Roman" w:cs="Times New Roman"/>
          <w:sz w:val="24"/>
          <w:szCs w:val="24"/>
        </w:rPr>
      </w:pPr>
    </w:p>
    <w:sectPr w:rsidR="00A20A52" w:rsidRPr="006A67E1" w:rsidSect="00C03425">
      <w:pgSz w:w="11907" w:h="1683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3B37F8" w14:textId="77777777" w:rsidR="00B92CE6" w:rsidRPr="001812EB" w:rsidRDefault="00B92CE6" w:rsidP="00617BD5">
      <w:pPr>
        <w:spacing w:after="0" w:line="240" w:lineRule="auto"/>
      </w:pPr>
      <w:r w:rsidRPr="001812EB">
        <w:separator/>
      </w:r>
    </w:p>
  </w:endnote>
  <w:endnote w:type="continuationSeparator" w:id="0">
    <w:p w14:paraId="72A299A3" w14:textId="77777777" w:rsidR="00B92CE6" w:rsidRPr="001812EB" w:rsidRDefault="00B92CE6" w:rsidP="00617BD5">
      <w:pPr>
        <w:spacing w:after="0" w:line="240" w:lineRule="auto"/>
      </w:pPr>
      <w:r w:rsidRPr="001812E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EDB7C9" w14:textId="77777777" w:rsidR="00B92CE6" w:rsidRPr="001812EB" w:rsidRDefault="00B92CE6" w:rsidP="00617BD5">
      <w:pPr>
        <w:spacing w:after="0" w:line="240" w:lineRule="auto"/>
      </w:pPr>
      <w:r w:rsidRPr="001812EB">
        <w:separator/>
      </w:r>
    </w:p>
  </w:footnote>
  <w:footnote w:type="continuationSeparator" w:id="0">
    <w:p w14:paraId="3831A96D" w14:textId="77777777" w:rsidR="00B92CE6" w:rsidRPr="001812EB" w:rsidRDefault="00B92CE6" w:rsidP="00617BD5">
      <w:pPr>
        <w:spacing w:after="0" w:line="240" w:lineRule="auto"/>
      </w:pPr>
      <w:r w:rsidRPr="001812EB">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BF8486A"/>
    <w:multiLevelType w:val="hybridMultilevel"/>
    <w:tmpl w:val="110E9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73700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BDF"/>
    <w:rsid w:val="00014CAF"/>
    <w:rsid w:val="00042C90"/>
    <w:rsid w:val="00047A8D"/>
    <w:rsid w:val="00060C30"/>
    <w:rsid w:val="0009086D"/>
    <w:rsid w:val="000A0CA0"/>
    <w:rsid w:val="000A190D"/>
    <w:rsid w:val="000A1C61"/>
    <w:rsid w:val="000C2BDF"/>
    <w:rsid w:val="000C3445"/>
    <w:rsid w:val="000E6CFF"/>
    <w:rsid w:val="00106E54"/>
    <w:rsid w:val="00127C34"/>
    <w:rsid w:val="00134B0D"/>
    <w:rsid w:val="00142CAD"/>
    <w:rsid w:val="00144E1C"/>
    <w:rsid w:val="00151BD0"/>
    <w:rsid w:val="001655C3"/>
    <w:rsid w:val="00165AA5"/>
    <w:rsid w:val="0017302A"/>
    <w:rsid w:val="001745D1"/>
    <w:rsid w:val="001812EB"/>
    <w:rsid w:val="00183A1C"/>
    <w:rsid w:val="00190D6B"/>
    <w:rsid w:val="00197114"/>
    <w:rsid w:val="001C07D0"/>
    <w:rsid w:val="001D19F5"/>
    <w:rsid w:val="001F2F28"/>
    <w:rsid w:val="001F3EF7"/>
    <w:rsid w:val="001F3F99"/>
    <w:rsid w:val="00205DC9"/>
    <w:rsid w:val="00210986"/>
    <w:rsid w:val="00266787"/>
    <w:rsid w:val="00282D77"/>
    <w:rsid w:val="002A0F0C"/>
    <w:rsid w:val="002A6A55"/>
    <w:rsid w:val="002B1830"/>
    <w:rsid w:val="002C6DD5"/>
    <w:rsid w:val="002D5548"/>
    <w:rsid w:val="002F41AE"/>
    <w:rsid w:val="002F4828"/>
    <w:rsid w:val="002F7662"/>
    <w:rsid w:val="00301C98"/>
    <w:rsid w:val="00314AEF"/>
    <w:rsid w:val="00315A3D"/>
    <w:rsid w:val="00332FAA"/>
    <w:rsid w:val="00337B75"/>
    <w:rsid w:val="0038213E"/>
    <w:rsid w:val="0038652B"/>
    <w:rsid w:val="0039358A"/>
    <w:rsid w:val="00396EED"/>
    <w:rsid w:val="003975C0"/>
    <w:rsid w:val="003B70BE"/>
    <w:rsid w:val="003E6485"/>
    <w:rsid w:val="00437EBD"/>
    <w:rsid w:val="00447A5A"/>
    <w:rsid w:val="00451950"/>
    <w:rsid w:val="0045769B"/>
    <w:rsid w:val="00490C8D"/>
    <w:rsid w:val="00495B4B"/>
    <w:rsid w:val="004B1639"/>
    <w:rsid w:val="004D44BB"/>
    <w:rsid w:val="004E0A7A"/>
    <w:rsid w:val="004F608A"/>
    <w:rsid w:val="0051077A"/>
    <w:rsid w:val="005132B2"/>
    <w:rsid w:val="005441B5"/>
    <w:rsid w:val="005602B5"/>
    <w:rsid w:val="005650B9"/>
    <w:rsid w:val="005831B3"/>
    <w:rsid w:val="005842CD"/>
    <w:rsid w:val="00590AE3"/>
    <w:rsid w:val="0059115D"/>
    <w:rsid w:val="0059236E"/>
    <w:rsid w:val="00597207"/>
    <w:rsid w:val="005C1754"/>
    <w:rsid w:val="005D6CFB"/>
    <w:rsid w:val="005F6F8A"/>
    <w:rsid w:val="00601059"/>
    <w:rsid w:val="006030DF"/>
    <w:rsid w:val="006169CC"/>
    <w:rsid w:val="00617BD5"/>
    <w:rsid w:val="00621AF6"/>
    <w:rsid w:val="00644CCA"/>
    <w:rsid w:val="00660670"/>
    <w:rsid w:val="0066376B"/>
    <w:rsid w:val="00675C22"/>
    <w:rsid w:val="006840FF"/>
    <w:rsid w:val="006A2BA2"/>
    <w:rsid w:val="006A67E1"/>
    <w:rsid w:val="006B04B2"/>
    <w:rsid w:val="006B0C97"/>
    <w:rsid w:val="006E18D3"/>
    <w:rsid w:val="006E3AC3"/>
    <w:rsid w:val="006E63A9"/>
    <w:rsid w:val="006F168D"/>
    <w:rsid w:val="00710F63"/>
    <w:rsid w:val="007120E3"/>
    <w:rsid w:val="007332BC"/>
    <w:rsid w:val="00742EEF"/>
    <w:rsid w:val="00750048"/>
    <w:rsid w:val="00767B5A"/>
    <w:rsid w:val="00771008"/>
    <w:rsid w:val="007952BE"/>
    <w:rsid w:val="007B141C"/>
    <w:rsid w:val="007D3991"/>
    <w:rsid w:val="007D557C"/>
    <w:rsid w:val="007E061D"/>
    <w:rsid w:val="00815620"/>
    <w:rsid w:val="00824A2B"/>
    <w:rsid w:val="008630ED"/>
    <w:rsid w:val="00877C2D"/>
    <w:rsid w:val="00883BD8"/>
    <w:rsid w:val="00893F68"/>
    <w:rsid w:val="008D2CF0"/>
    <w:rsid w:val="008D3C0C"/>
    <w:rsid w:val="00910B98"/>
    <w:rsid w:val="00915ED6"/>
    <w:rsid w:val="00924CE7"/>
    <w:rsid w:val="00955413"/>
    <w:rsid w:val="00970FA8"/>
    <w:rsid w:val="0097179C"/>
    <w:rsid w:val="00972CF3"/>
    <w:rsid w:val="009938EB"/>
    <w:rsid w:val="009A00F3"/>
    <w:rsid w:val="009A2CBF"/>
    <w:rsid w:val="009B20C7"/>
    <w:rsid w:val="009E3B44"/>
    <w:rsid w:val="009E6143"/>
    <w:rsid w:val="009F35C4"/>
    <w:rsid w:val="00A01985"/>
    <w:rsid w:val="00A05B6D"/>
    <w:rsid w:val="00A05C5D"/>
    <w:rsid w:val="00A104BE"/>
    <w:rsid w:val="00A1547E"/>
    <w:rsid w:val="00A20A52"/>
    <w:rsid w:val="00A22B92"/>
    <w:rsid w:val="00A40AE4"/>
    <w:rsid w:val="00A94C57"/>
    <w:rsid w:val="00AA0B5C"/>
    <w:rsid w:val="00AA22CF"/>
    <w:rsid w:val="00AA3248"/>
    <w:rsid w:val="00AB2AAA"/>
    <w:rsid w:val="00B31BCF"/>
    <w:rsid w:val="00B33F33"/>
    <w:rsid w:val="00B35C4C"/>
    <w:rsid w:val="00B5327C"/>
    <w:rsid w:val="00B625EB"/>
    <w:rsid w:val="00B918E8"/>
    <w:rsid w:val="00B92CE6"/>
    <w:rsid w:val="00B94183"/>
    <w:rsid w:val="00BA4553"/>
    <w:rsid w:val="00BA59B2"/>
    <w:rsid w:val="00BB338D"/>
    <w:rsid w:val="00BB4DF7"/>
    <w:rsid w:val="00BE0D47"/>
    <w:rsid w:val="00BE5DCB"/>
    <w:rsid w:val="00BF00D9"/>
    <w:rsid w:val="00C005E4"/>
    <w:rsid w:val="00C013D6"/>
    <w:rsid w:val="00C0481B"/>
    <w:rsid w:val="00C079F7"/>
    <w:rsid w:val="00C37BDE"/>
    <w:rsid w:val="00C52E81"/>
    <w:rsid w:val="00C60784"/>
    <w:rsid w:val="00C67EDE"/>
    <w:rsid w:val="00C70B8B"/>
    <w:rsid w:val="00C94011"/>
    <w:rsid w:val="00C973A7"/>
    <w:rsid w:val="00CC41CB"/>
    <w:rsid w:val="00CD12EE"/>
    <w:rsid w:val="00CD35E1"/>
    <w:rsid w:val="00CD41F4"/>
    <w:rsid w:val="00CE1CCC"/>
    <w:rsid w:val="00D21B11"/>
    <w:rsid w:val="00D229B2"/>
    <w:rsid w:val="00D23723"/>
    <w:rsid w:val="00D46AC4"/>
    <w:rsid w:val="00D859A0"/>
    <w:rsid w:val="00D91A18"/>
    <w:rsid w:val="00DB37D1"/>
    <w:rsid w:val="00DE34C2"/>
    <w:rsid w:val="00DF0F85"/>
    <w:rsid w:val="00E14346"/>
    <w:rsid w:val="00E248D9"/>
    <w:rsid w:val="00E32DB1"/>
    <w:rsid w:val="00E45332"/>
    <w:rsid w:val="00E618F5"/>
    <w:rsid w:val="00E77D68"/>
    <w:rsid w:val="00E94918"/>
    <w:rsid w:val="00E94E8B"/>
    <w:rsid w:val="00E961F8"/>
    <w:rsid w:val="00EB536F"/>
    <w:rsid w:val="00EB7EE4"/>
    <w:rsid w:val="00EC14E5"/>
    <w:rsid w:val="00F03628"/>
    <w:rsid w:val="00F20E21"/>
    <w:rsid w:val="00F211D8"/>
    <w:rsid w:val="00F24230"/>
    <w:rsid w:val="00F37724"/>
    <w:rsid w:val="00F52C09"/>
    <w:rsid w:val="00F81CEF"/>
    <w:rsid w:val="00F87367"/>
    <w:rsid w:val="00FE6DFC"/>
    <w:rsid w:val="00FF62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C9DBCB"/>
  <w15:chartTrackingRefBased/>
  <w15:docId w15:val="{4B9A5897-2AF3-41AF-9E7D-F5938A0F1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2BDF"/>
    <w:rPr>
      <w:rFonts w:ascii="Calibri" w:eastAsia="Calibri" w:hAnsi="Calibri" w:cs="Calibri"/>
      <w:kern w:val="0"/>
      <w:lang w:val="en-IN"/>
      <w14:ligatures w14:val="none"/>
    </w:rPr>
  </w:style>
  <w:style w:type="paragraph" w:styleId="Heading1">
    <w:name w:val="heading 1"/>
    <w:basedOn w:val="Normal1"/>
    <w:next w:val="Normal1"/>
    <w:link w:val="Heading1Char"/>
    <w:uiPriority w:val="9"/>
    <w:qFormat/>
    <w:rsid w:val="000C2BDF"/>
    <w:pPr>
      <w:keepNext/>
      <w:keepLines/>
      <w:spacing w:before="480" w:after="120"/>
      <w:outlineLvl w:val="0"/>
    </w:pPr>
    <w:rPr>
      <w:b/>
      <w:sz w:val="48"/>
      <w:szCs w:val="48"/>
    </w:rPr>
  </w:style>
  <w:style w:type="paragraph" w:styleId="Heading2">
    <w:name w:val="heading 2"/>
    <w:basedOn w:val="Normal1"/>
    <w:next w:val="Normal1"/>
    <w:link w:val="Heading2Char"/>
    <w:uiPriority w:val="9"/>
    <w:qFormat/>
    <w:rsid w:val="000C2BDF"/>
    <w:pPr>
      <w:keepNext/>
      <w:keepLines/>
      <w:spacing w:before="360" w:after="80"/>
      <w:outlineLvl w:val="1"/>
    </w:pPr>
    <w:rPr>
      <w:b/>
      <w:sz w:val="36"/>
      <w:szCs w:val="36"/>
    </w:rPr>
  </w:style>
  <w:style w:type="paragraph" w:styleId="Heading3">
    <w:name w:val="heading 3"/>
    <w:basedOn w:val="Normal1"/>
    <w:next w:val="Normal1"/>
    <w:link w:val="Heading3Char"/>
    <w:uiPriority w:val="9"/>
    <w:qFormat/>
    <w:rsid w:val="000C2BDF"/>
    <w:pPr>
      <w:keepNext/>
      <w:keepLines/>
      <w:spacing w:before="280" w:after="80"/>
      <w:outlineLvl w:val="2"/>
    </w:pPr>
    <w:rPr>
      <w:b/>
      <w:sz w:val="28"/>
      <w:szCs w:val="28"/>
    </w:rPr>
  </w:style>
  <w:style w:type="paragraph" w:styleId="Heading4">
    <w:name w:val="heading 4"/>
    <w:basedOn w:val="Normal1"/>
    <w:next w:val="Normal1"/>
    <w:link w:val="Heading4Char"/>
    <w:uiPriority w:val="9"/>
    <w:qFormat/>
    <w:rsid w:val="000C2BDF"/>
    <w:pPr>
      <w:keepNext/>
      <w:keepLines/>
      <w:spacing w:before="240" w:after="40"/>
      <w:outlineLvl w:val="3"/>
    </w:pPr>
    <w:rPr>
      <w:b/>
      <w:sz w:val="24"/>
      <w:szCs w:val="24"/>
    </w:rPr>
  </w:style>
  <w:style w:type="paragraph" w:styleId="Heading5">
    <w:name w:val="heading 5"/>
    <w:basedOn w:val="Normal1"/>
    <w:next w:val="Normal1"/>
    <w:link w:val="Heading5Char"/>
    <w:uiPriority w:val="9"/>
    <w:qFormat/>
    <w:rsid w:val="000C2BDF"/>
    <w:pPr>
      <w:keepNext/>
      <w:keepLines/>
      <w:spacing w:before="220" w:after="40"/>
      <w:outlineLvl w:val="4"/>
    </w:pPr>
    <w:rPr>
      <w:b/>
    </w:rPr>
  </w:style>
  <w:style w:type="paragraph" w:styleId="Heading6">
    <w:name w:val="heading 6"/>
    <w:basedOn w:val="Normal1"/>
    <w:next w:val="Normal1"/>
    <w:link w:val="Heading6Char"/>
    <w:uiPriority w:val="9"/>
    <w:qFormat/>
    <w:rsid w:val="000C2BDF"/>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2BDF"/>
    <w:rPr>
      <w:rFonts w:ascii="Calibri" w:eastAsia="Calibri" w:hAnsi="Calibri" w:cs="Calibri"/>
      <w:b/>
      <w:kern w:val="0"/>
      <w:sz w:val="48"/>
      <w:szCs w:val="48"/>
      <w14:ligatures w14:val="none"/>
    </w:rPr>
  </w:style>
  <w:style w:type="character" w:customStyle="1" w:styleId="Heading2Char">
    <w:name w:val="Heading 2 Char"/>
    <w:basedOn w:val="DefaultParagraphFont"/>
    <w:link w:val="Heading2"/>
    <w:uiPriority w:val="9"/>
    <w:rsid w:val="000C2BDF"/>
    <w:rPr>
      <w:rFonts w:ascii="Calibri" w:eastAsia="Calibri" w:hAnsi="Calibri" w:cs="Calibri"/>
      <w:b/>
      <w:kern w:val="0"/>
      <w:sz w:val="36"/>
      <w:szCs w:val="36"/>
      <w14:ligatures w14:val="none"/>
    </w:rPr>
  </w:style>
  <w:style w:type="character" w:customStyle="1" w:styleId="Heading3Char">
    <w:name w:val="Heading 3 Char"/>
    <w:basedOn w:val="DefaultParagraphFont"/>
    <w:link w:val="Heading3"/>
    <w:uiPriority w:val="9"/>
    <w:rsid w:val="000C2BDF"/>
    <w:rPr>
      <w:rFonts w:ascii="Calibri" w:eastAsia="Calibri" w:hAnsi="Calibri" w:cs="Calibri"/>
      <w:b/>
      <w:kern w:val="0"/>
      <w:sz w:val="28"/>
      <w:szCs w:val="28"/>
      <w14:ligatures w14:val="none"/>
    </w:rPr>
  </w:style>
  <w:style w:type="character" w:customStyle="1" w:styleId="Heading4Char">
    <w:name w:val="Heading 4 Char"/>
    <w:basedOn w:val="DefaultParagraphFont"/>
    <w:link w:val="Heading4"/>
    <w:uiPriority w:val="9"/>
    <w:rsid w:val="000C2BDF"/>
    <w:rPr>
      <w:rFonts w:ascii="Calibri" w:eastAsia="Calibri" w:hAnsi="Calibri" w:cs="Calibri"/>
      <w:b/>
      <w:kern w:val="0"/>
      <w:sz w:val="24"/>
      <w:szCs w:val="24"/>
      <w14:ligatures w14:val="none"/>
    </w:rPr>
  </w:style>
  <w:style w:type="character" w:customStyle="1" w:styleId="Heading5Char">
    <w:name w:val="Heading 5 Char"/>
    <w:basedOn w:val="DefaultParagraphFont"/>
    <w:link w:val="Heading5"/>
    <w:uiPriority w:val="9"/>
    <w:rsid w:val="000C2BDF"/>
    <w:rPr>
      <w:rFonts w:ascii="Calibri" w:eastAsia="Calibri" w:hAnsi="Calibri" w:cs="Calibri"/>
      <w:b/>
      <w:kern w:val="0"/>
      <w14:ligatures w14:val="none"/>
    </w:rPr>
  </w:style>
  <w:style w:type="character" w:customStyle="1" w:styleId="Heading6Char">
    <w:name w:val="Heading 6 Char"/>
    <w:basedOn w:val="DefaultParagraphFont"/>
    <w:link w:val="Heading6"/>
    <w:uiPriority w:val="9"/>
    <w:rsid w:val="000C2BDF"/>
    <w:rPr>
      <w:rFonts w:ascii="Calibri" w:eastAsia="Calibri" w:hAnsi="Calibri" w:cs="Calibri"/>
      <w:b/>
      <w:kern w:val="0"/>
      <w:sz w:val="20"/>
      <w:szCs w:val="20"/>
      <w14:ligatures w14:val="none"/>
    </w:rPr>
  </w:style>
  <w:style w:type="paragraph" w:customStyle="1" w:styleId="Normal1">
    <w:name w:val="Normal1"/>
    <w:rsid w:val="000C2BDF"/>
    <w:rPr>
      <w:rFonts w:ascii="Calibri" w:eastAsia="Calibri" w:hAnsi="Calibri" w:cs="Calibri"/>
      <w:kern w:val="0"/>
      <w14:ligatures w14:val="none"/>
    </w:rPr>
  </w:style>
  <w:style w:type="paragraph" w:styleId="Title">
    <w:name w:val="Title"/>
    <w:basedOn w:val="Normal1"/>
    <w:next w:val="Normal1"/>
    <w:link w:val="TitleChar"/>
    <w:uiPriority w:val="10"/>
    <w:qFormat/>
    <w:rsid w:val="000C2BDF"/>
    <w:pPr>
      <w:keepNext/>
      <w:keepLines/>
      <w:spacing w:before="480" w:after="120"/>
    </w:pPr>
    <w:rPr>
      <w:b/>
      <w:sz w:val="72"/>
      <w:szCs w:val="72"/>
    </w:rPr>
  </w:style>
  <w:style w:type="character" w:customStyle="1" w:styleId="TitleChar">
    <w:name w:val="Title Char"/>
    <w:basedOn w:val="DefaultParagraphFont"/>
    <w:link w:val="Title"/>
    <w:uiPriority w:val="10"/>
    <w:rsid w:val="000C2BDF"/>
    <w:rPr>
      <w:rFonts w:ascii="Calibri" w:eastAsia="Calibri" w:hAnsi="Calibri" w:cs="Calibri"/>
      <w:b/>
      <w:kern w:val="0"/>
      <w:sz w:val="72"/>
      <w:szCs w:val="72"/>
      <w14:ligatures w14:val="none"/>
    </w:rPr>
  </w:style>
  <w:style w:type="paragraph" w:styleId="BalloonText">
    <w:name w:val="Balloon Text"/>
    <w:basedOn w:val="Normal"/>
    <w:link w:val="BalloonTextChar"/>
    <w:uiPriority w:val="99"/>
    <w:semiHidden/>
    <w:unhideWhenUsed/>
    <w:rsid w:val="000C2B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2BDF"/>
    <w:rPr>
      <w:rFonts w:ascii="Tahoma" w:eastAsia="Calibri" w:hAnsi="Tahoma" w:cs="Tahoma"/>
      <w:kern w:val="0"/>
      <w:sz w:val="16"/>
      <w:szCs w:val="16"/>
      <w14:ligatures w14:val="none"/>
    </w:rPr>
  </w:style>
  <w:style w:type="character" w:styleId="Hyperlink">
    <w:name w:val="Hyperlink"/>
    <w:basedOn w:val="DefaultParagraphFont"/>
    <w:uiPriority w:val="99"/>
    <w:unhideWhenUsed/>
    <w:rsid w:val="000C2BDF"/>
    <w:rPr>
      <w:color w:val="0563C1" w:themeColor="hyperlink"/>
      <w:u w:val="single"/>
    </w:rPr>
  </w:style>
  <w:style w:type="paragraph" w:styleId="ListParagraph">
    <w:name w:val="List Paragraph"/>
    <w:basedOn w:val="Normal"/>
    <w:uiPriority w:val="34"/>
    <w:qFormat/>
    <w:rsid w:val="000C2BDF"/>
    <w:pPr>
      <w:ind w:left="720"/>
      <w:contextualSpacing/>
    </w:pPr>
  </w:style>
  <w:style w:type="paragraph" w:styleId="Bibliography">
    <w:name w:val="Bibliography"/>
    <w:basedOn w:val="Normal"/>
    <w:next w:val="Normal"/>
    <w:uiPriority w:val="37"/>
    <w:unhideWhenUsed/>
    <w:rsid w:val="000C2BDF"/>
    <w:pPr>
      <w:spacing w:after="0" w:line="480" w:lineRule="auto"/>
      <w:ind w:left="720" w:hanging="720"/>
    </w:pPr>
  </w:style>
  <w:style w:type="paragraph" w:styleId="NormalWeb">
    <w:name w:val="Normal (Web)"/>
    <w:basedOn w:val="Normal"/>
    <w:uiPriority w:val="99"/>
    <w:semiHidden/>
    <w:unhideWhenUsed/>
    <w:rsid w:val="000C2BDF"/>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0C2BDF"/>
    <w:rPr>
      <w:color w:val="954F72" w:themeColor="followedHyperlink"/>
      <w:u w:val="single"/>
    </w:rPr>
  </w:style>
  <w:style w:type="paragraph" w:styleId="Subtitle">
    <w:name w:val="Subtitle"/>
    <w:basedOn w:val="Normal"/>
    <w:next w:val="Normal"/>
    <w:link w:val="SubtitleChar"/>
    <w:uiPriority w:val="11"/>
    <w:qFormat/>
    <w:rsid w:val="000C2BDF"/>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0C2BDF"/>
    <w:rPr>
      <w:rFonts w:ascii="Georgia" w:eastAsia="Georgia" w:hAnsi="Georgia" w:cs="Georgia"/>
      <w:i/>
      <w:color w:val="666666"/>
      <w:kern w:val="0"/>
      <w:sz w:val="48"/>
      <w:szCs w:val="48"/>
      <w14:ligatures w14:val="none"/>
    </w:rPr>
  </w:style>
  <w:style w:type="character" w:customStyle="1" w:styleId="UnresolvedMention1">
    <w:name w:val="Unresolved Mention1"/>
    <w:basedOn w:val="DefaultParagraphFont"/>
    <w:uiPriority w:val="99"/>
    <w:semiHidden/>
    <w:unhideWhenUsed/>
    <w:rsid w:val="000C2BDF"/>
    <w:rPr>
      <w:color w:val="605E5C"/>
      <w:shd w:val="clear" w:color="auto" w:fill="E1DFDD"/>
    </w:rPr>
  </w:style>
  <w:style w:type="table" w:styleId="TableGrid">
    <w:name w:val="Table Grid"/>
    <w:basedOn w:val="TableNormal"/>
    <w:uiPriority w:val="39"/>
    <w:rsid w:val="000C2BDF"/>
    <w:pPr>
      <w:spacing w:after="0" w:line="240" w:lineRule="auto"/>
    </w:pPr>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0C2BDF"/>
    <w:rPr>
      <w:b/>
      <w:bCs/>
    </w:rPr>
  </w:style>
  <w:style w:type="character" w:customStyle="1" w:styleId="row-boolean">
    <w:name w:val="row-boolean"/>
    <w:basedOn w:val="DefaultParagraphFont"/>
    <w:rsid w:val="000C2BDF"/>
  </w:style>
  <w:style w:type="character" w:styleId="UnresolvedMention">
    <w:name w:val="Unresolved Mention"/>
    <w:basedOn w:val="DefaultParagraphFont"/>
    <w:uiPriority w:val="99"/>
    <w:semiHidden/>
    <w:unhideWhenUsed/>
    <w:rsid w:val="000C2BDF"/>
    <w:rPr>
      <w:color w:val="605E5C"/>
      <w:shd w:val="clear" w:color="auto" w:fill="E1DFDD"/>
    </w:rPr>
  </w:style>
  <w:style w:type="paragraph" w:styleId="Header">
    <w:name w:val="header"/>
    <w:basedOn w:val="Normal"/>
    <w:link w:val="HeaderChar"/>
    <w:uiPriority w:val="99"/>
    <w:unhideWhenUsed/>
    <w:rsid w:val="00617B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7BD5"/>
    <w:rPr>
      <w:rFonts w:ascii="Calibri" w:eastAsia="Calibri" w:hAnsi="Calibri" w:cs="Calibri"/>
      <w:kern w:val="0"/>
      <w14:ligatures w14:val="none"/>
    </w:rPr>
  </w:style>
  <w:style w:type="paragraph" w:styleId="Footer">
    <w:name w:val="footer"/>
    <w:basedOn w:val="Normal"/>
    <w:link w:val="FooterChar"/>
    <w:uiPriority w:val="99"/>
    <w:unhideWhenUsed/>
    <w:rsid w:val="00617B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7BD5"/>
    <w:rPr>
      <w:rFonts w:ascii="Calibri" w:eastAsia="Calibri" w:hAnsi="Calibri" w:cs="Calibr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orldpopulationreview.com/contine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16</Pages>
  <Words>5722</Words>
  <Characters>32616</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ajoykummar24@gmail.com</dc:creator>
  <cp:keywords/>
  <dc:description/>
  <cp:lastModifiedBy>Nilesh Nawale</cp:lastModifiedBy>
  <cp:revision>2</cp:revision>
  <dcterms:created xsi:type="dcterms:W3CDTF">2024-09-25T06:19:00Z</dcterms:created>
  <dcterms:modified xsi:type="dcterms:W3CDTF">2024-09-25T06:19:00Z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70854ed48f25508cad766fcc769b2530b623f523e83c41e25e52aaea4bfe833d</vt:lpwstr>
  </property>
</Properties>
</file>