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1C2B07" w14:textId="77777777" w:rsidR="0038404E" w:rsidRPr="00E85BE3" w:rsidRDefault="0038404E" w:rsidP="0038404E">
      <w:pPr>
        <w:spacing w:line="360" w:lineRule="auto"/>
        <w:jc w:val="center"/>
        <w:rPr>
          <w:rFonts w:ascii="Times New Roman" w:hAnsi="Times New Roman" w:cs="Times New Roman"/>
          <w:b/>
          <w:bCs/>
          <w:sz w:val="28"/>
          <w:szCs w:val="32"/>
        </w:rPr>
      </w:pPr>
      <w:bookmarkStart w:id="0" w:name="_Hlk167347715"/>
      <w:bookmarkStart w:id="1" w:name="OLE_LINK6"/>
      <w:r w:rsidRPr="00E85BE3">
        <w:rPr>
          <w:rFonts w:ascii="Times New Roman" w:hAnsi="Times New Roman" w:cs="Times New Roman"/>
          <w:b/>
          <w:bCs/>
          <w:sz w:val="28"/>
          <w:szCs w:val="32"/>
        </w:rPr>
        <w:t>Permafrost degradation reverses warming-induced earlier vegetation green-up</w:t>
      </w:r>
      <w:bookmarkEnd w:id="0"/>
    </w:p>
    <w:bookmarkEnd w:id="1"/>
    <w:p w14:paraId="57878772" w14:textId="77777777" w:rsidR="00E85BE3" w:rsidRPr="00E85BE3" w:rsidRDefault="00E85BE3" w:rsidP="00E85BE3">
      <w:pPr>
        <w:spacing w:line="360" w:lineRule="auto"/>
        <w:jc w:val="center"/>
        <w:rPr>
          <w:rFonts w:ascii="Times New Roman" w:hAnsi="Times New Roman" w:cs="Times New Roman"/>
          <w:vertAlign w:val="superscript"/>
        </w:rPr>
      </w:pPr>
      <w:r w:rsidRPr="00E85BE3">
        <w:rPr>
          <w:rFonts w:ascii="Times New Roman" w:hAnsi="Times New Roman" w:cs="Times New Roman"/>
        </w:rPr>
        <w:t>Boyi Liang</w:t>
      </w:r>
      <w:r w:rsidRPr="00E85BE3">
        <w:rPr>
          <w:rFonts w:ascii="Times New Roman" w:hAnsi="Times New Roman" w:cs="Times New Roman"/>
          <w:vertAlign w:val="superscript"/>
        </w:rPr>
        <w:t>1</w:t>
      </w:r>
      <w:r w:rsidRPr="00E85BE3">
        <w:rPr>
          <w:rFonts w:ascii="Times New Roman" w:hAnsi="Times New Roman" w:cs="Times New Roman"/>
        </w:rPr>
        <w:t>, Jian Wang</w:t>
      </w:r>
      <w:r w:rsidRPr="00E85BE3">
        <w:rPr>
          <w:rFonts w:ascii="Times New Roman" w:hAnsi="Times New Roman" w:cs="Times New Roman"/>
          <w:vertAlign w:val="superscript"/>
        </w:rPr>
        <w:t>2,3</w:t>
      </w:r>
      <w:r w:rsidRPr="00E85BE3">
        <w:rPr>
          <w:rFonts w:ascii="Times New Roman" w:hAnsi="Times New Roman" w:cs="Times New Roman"/>
        </w:rPr>
        <w:t>, Chris Huntingford</w:t>
      </w:r>
      <w:r w:rsidRPr="00E85BE3">
        <w:rPr>
          <w:rFonts w:ascii="Times New Roman" w:hAnsi="Times New Roman" w:cs="Times New Roman"/>
          <w:vertAlign w:val="superscript"/>
        </w:rPr>
        <w:t>4</w:t>
      </w:r>
      <w:r w:rsidRPr="00E85BE3">
        <w:rPr>
          <w:rFonts w:ascii="Times New Roman" w:hAnsi="Times New Roman" w:cs="Times New Roman"/>
        </w:rPr>
        <w:t>, Hongyan Liu</w:t>
      </w:r>
      <w:r w:rsidRPr="00E85BE3">
        <w:rPr>
          <w:rFonts w:ascii="Times New Roman" w:hAnsi="Times New Roman" w:cs="Times New Roman"/>
          <w:vertAlign w:val="superscript"/>
        </w:rPr>
        <w:t>5,</w:t>
      </w:r>
      <w:r w:rsidRPr="00E85BE3">
        <w:rPr>
          <w:rFonts w:ascii="Times New Roman" w:hAnsi="Times New Roman" w:cs="Times New Roman"/>
        </w:rPr>
        <w:t>*, Elizabeth L. Cressey</w:t>
      </w:r>
      <w:r w:rsidRPr="00E85BE3">
        <w:rPr>
          <w:rFonts w:ascii="Times New Roman" w:hAnsi="Times New Roman" w:cs="Times New Roman"/>
          <w:vertAlign w:val="superscript"/>
        </w:rPr>
        <w:t>6</w:t>
      </w:r>
      <w:r w:rsidRPr="00E85BE3">
        <w:rPr>
          <w:rFonts w:ascii="Times New Roman" w:hAnsi="Times New Roman" w:cs="Times New Roman"/>
        </w:rPr>
        <w:t>, Chongyang Xu</w:t>
      </w:r>
      <w:r w:rsidRPr="00E85BE3">
        <w:rPr>
          <w:rFonts w:ascii="Times New Roman" w:hAnsi="Times New Roman" w:cs="Times New Roman"/>
          <w:vertAlign w:val="superscript"/>
        </w:rPr>
        <w:t>7</w:t>
      </w:r>
      <w:r w:rsidRPr="00E85BE3">
        <w:rPr>
          <w:rFonts w:ascii="Times New Roman" w:hAnsi="Times New Roman" w:cs="Times New Roman"/>
        </w:rPr>
        <w:t>, Liang Shi</w:t>
      </w:r>
      <w:r w:rsidRPr="00E85BE3">
        <w:rPr>
          <w:rFonts w:ascii="Times New Roman" w:hAnsi="Times New Roman" w:cs="Times New Roman"/>
          <w:vertAlign w:val="superscript"/>
        </w:rPr>
        <w:t>8,9</w:t>
      </w:r>
      <w:r w:rsidRPr="00E85BE3">
        <w:rPr>
          <w:rFonts w:ascii="Times New Roman" w:hAnsi="Times New Roman" w:cs="Times New Roman"/>
        </w:rPr>
        <w:t>, Lu Wang</w:t>
      </w:r>
      <w:r w:rsidRPr="00E85BE3">
        <w:rPr>
          <w:rFonts w:ascii="Times New Roman" w:hAnsi="Times New Roman" w:cs="Times New Roman"/>
          <w:vertAlign w:val="superscript"/>
        </w:rPr>
        <w:t>10</w:t>
      </w:r>
      <w:r w:rsidRPr="00E85BE3">
        <w:rPr>
          <w:rFonts w:ascii="Times New Roman" w:hAnsi="Times New Roman" w:cs="Times New Roman"/>
        </w:rPr>
        <w:t>, Jing Cao</w:t>
      </w:r>
      <w:r w:rsidRPr="00E85BE3">
        <w:rPr>
          <w:rFonts w:ascii="Times New Roman" w:hAnsi="Times New Roman" w:cs="Times New Roman"/>
          <w:vertAlign w:val="superscript"/>
        </w:rPr>
        <w:t>11</w:t>
      </w:r>
      <w:r w:rsidRPr="00E85BE3">
        <w:rPr>
          <w:rFonts w:ascii="Times New Roman" w:hAnsi="Times New Roman" w:cs="Times New Roman"/>
        </w:rPr>
        <w:t>, Yang Qi</w:t>
      </w:r>
      <w:r w:rsidRPr="00E85BE3">
        <w:rPr>
          <w:rFonts w:ascii="Times New Roman" w:hAnsi="Times New Roman" w:cs="Times New Roman"/>
          <w:vertAlign w:val="superscript"/>
        </w:rPr>
        <w:t>12</w:t>
      </w:r>
      <w:r w:rsidRPr="00E85BE3">
        <w:rPr>
          <w:rFonts w:ascii="Times New Roman" w:hAnsi="Times New Roman" w:cs="Times New Roman"/>
        </w:rPr>
        <w:t>, Zong Wang</w:t>
      </w:r>
      <w:r w:rsidRPr="00E85BE3">
        <w:rPr>
          <w:rFonts w:ascii="Times New Roman" w:hAnsi="Times New Roman" w:cs="Times New Roman"/>
          <w:vertAlign w:val="superscript"/>
        </w:rPr>
        <w:t>1</w:t>
      </w:r>
      <w:r w:rsidRPr="00E85BE3">
        <w:rPr>
          <w:rFonts w:ascii="Times New Roman" w:hAnsi="Times New Roman" w:cs="Times New Roman"/>
        </w:rPr>
        <w:t>, Jia Wang</w:t>
      </w:r>
      <w:r w:rsidRPr="00E85BE3">
        <w:rPr>
          <w:rFonts w:ascii="Times New Roman" w:hAnsi="Times New Roman" w:cs="Times New Roman"/>
          <w:vertAlign w:val="superscript"/>
        </w:rPr>
        <w:t>1</w:t>
      </w:r>
      <w:r w:rsidRPr="00E85BE3">
        <w:rPr>
          <w:rFonts w:ascii="Times New Roman" w:hAnsi="Times New Roman" w:cs="Times New Roman"/>
        </w:rPr>
        <w:t>, Timothy A. Quine</w:t>
      </w:r>
      <w:r w:rsidRPr="00E85BE3">
        <w:rPr>
          <w:rFonts w:ascii="Times New Roman" w:hAnsi="Times New Roman" w:cs="Times New Roman"/>
          <w:vertAlign w:val="superscript"/>
        </w:rPr>
        <w:t>6</w:t>
      </w:r>
    </w:p>
    <w:p w14:paraId="05640BB7" w14:textId="77777777" w:rsidR="00E85BE3" w:rsidRPr="00E85BE3" w:rsidRDefault="00E85BE3" w:rsidP="00E85BE3">
      <w:pPr>
        <w:spacing w:line="360" w:lineRule="auto"/>
        <w:jc w:val="center"/>
        <w:rPr>
          <w:rFonts w:ascii="Times New Roman" w:hAnsi="Times New Roman" w:cs="Times New Roman"/>
        </w:rPr>
      </w:pPr>
    </w:p>
    <w:p w14:paraId="6A222326" w14:textId="77777777" w:rsidR="00E85BE3" w:rsidRPr="00E85BE3" w:rsidRDefault="00E85BE3" w:rsidP="00E85BE3">
      <w:pPr>
        <w:rPr>
          <w:rFonts w:ascii="Times New Roman" w:hAnsi="Times New Roman" w:cs="Times New Roman"/>
          <w:sz w:val="20"/>
          <w:szCs w:val="21"/>
        </w:rPr>
      </w:pPr>
      <w:r w:rsidRPr="00E85BE3">
        <w:rPr>
          <w:rFonts w:ascii="Times New Roman" w:hAnsi="Times New Roman" w:cs="Times New Roman"/>
          <w:sz w:val="20"/>
          <w:szCs w:val="21"/>
        </w:rPr>
        <w:t>1. College of Forestry, Precision Forestry Key Laboratory of Beijing, Beijing Forestry University, Beijing 100083, China.</w:t>
      </w:r>
    </w:p>
    <w:p w14:paraId="3AAB676F" w14:textId="77777777" w:rsidR="00E85BE3" w:rsidRPr="00E85BE3" w:rsidRDefault="00E85BE3" w:rsidP="00E85BE3">
      <w:pPr>
        <w:rPr>
          <w:rFonts w:ascii="Times New Roman" w:hAnsi="Times New Roman" w:cs="Times New Roman"/>
          <w:sz w:val="20"/>
          <w:szCs w:val="21"/>
        </w:rPr>
      </w:pPr>
      <w:r w:rsidRPr="00E85BE3">
        <w:rPr>
          <w:rFonts w:ascii="Times New Roman" w:hAnsi="Times New Roman" w:cs="Times New Roman"/>
          <w:sz w:val="20"/>
          <w:szCs w:val="21"/>
        </w:rPr>
        <w:t>2. The Key Laboratory of Land Surface Pattern and Simulation, Institute of Geographical Sciences and Natural Resources Research, Chinese Academy of Sciences, Beijing, 100101, China.</w:t>
      </w:r>
    </w:p>
    <w:p w14:paraId="5CABE61D" w14:textId="77777777" w:rsidR="00E85BE3" w:rsidRPr="00E85BE3" w:rsidRDefault="00E85BE3" w:rsidP="00E85BE3">
      <w:pPr>
        <w:rPr>
          <w:rFonts w:ascii="Times New Roman" w:hAnsi="Times New Roman" w:cs="Times New Roman"/>
          <w:sz w:val="20"/>
          <w:szCs w:val="21"/>
        </w:rPr>
      </w:pPr>
      <w:r w:rsidRPr="00E85BE3">
        <w:rPr>
          <w:rFonts w:ascii="Times New Roman" w:hAnsi="Times New Roman" w:cs="Times New Roman"/>
          <w:sz w:val="20"/>
          <w:szCs w:val="21"/>
        </w:rPr>
        <w:t>3. University of the Chinese Academy of Sciences, Beijing, 100049, China.</w:t>
      </w:r>
    </w:p>
    <w:p w14:paraId="49A7C9BD" w14:textId="77777777" w:rsidR="00E85BE3" w:rsidRPr="00E85BE3" w:rsidRDefault="00E85BE3" w:rsidP="00E85BE3">
      <w:pPr>
        <w:rPr>
          <w:rFonts w:ascii="Times New Roman" w:hAnsi="Times New Roman" w:cs="Times New Roman"/>
          <w:sz w:val="20"/>
          <w:szCs w:val="21"/>
        </w:rPr>
      </w:pPr>
      <w:r w:rsidRPr="00E85BE3">
        <w:rPr>
          <w:rFonts w:ascii="Times New Roman" w:hAnsi="Times New Roman" w:cs="Times New Roman"/>
          <w:sz w:val="20"/>
          <w:szCs w:val="21"/>
        </w:rPr>
        <w:t>4. UK Centre for Ecology and Hydrology, Wallingford, Oxfordshire, UK</w:t>
      </w:r>
    </w:p>
    <w:p w14:paraId="44F34462" w14:textId="118EBC3F" w:rsidR="00E85BE3" w:rsidRPr="00E85BE3" w:rsidRDefault="00E85BE3" w:rsidP="00E85BE3">
      <w:pPr>
        <w:rPr>
          <w:rFonts w:ascii="Times New Roman" w:hAnsi="Times New Roman" w:cs="Times New Roman"/>
          <w:sz w:val="20"/>
          <w:szCs w:val="21"/>
        </w:rPr>
      </w:pPr>
      <w:bookmarkStart w:id="2" w:name="OLE_LINK5"/>
      <w:r w:rsidRPr="00E85BE3">
        <w:rPr>
          <w:rFonts w:ascii="Times New Roman" w:hAnsi="Times New Roman" w:cs="Times New Roman"/>
          <w:sz w:val="20"/>
          <w:szCs w:val="21"/>
        </w:rPr>
        <w:t>5.</w:t>
      </w:r>
      <w:bookmarkEnd w:id="2"/>
      <w:r w:rsidRPr="00E85BE3">
        <w:rPr>
          <w:rFonts w:ascii="Times New Roman" w:hAnsi="Times New Roman" w:cs="Times New Roman"/>
          <w:sz w:val="20"/>
          <w:szCs w:val="21"/>
        </w:rPr>
        <w:t xml:space="preserve"> </w:t>
      </w:r>
      <w:r w:rsidR="00B956A6" w:rsidRPr="00B956A6">
        <w:rPr>
          <w:rFonts w:ascii="Times New Roman" w:hAnsi="Times New Roman" w:cs="Times New Roman" w:hint="eastAsia"/>
          <w:sz w:val="20"/>
          <w:szCs w:val="21"/>
        </w:rPr>
        <w:t>College of Urban and Environmental Sciences, Institute of Ecology and Institute of Carbon Neutrality, Peking University</w:t>
      </w:r>
      <w:r w:rsidRPr="00E85BE3">
        <w:rPr>
          <w:rFonts w:ascii="Times New Roman" w:hAnsi="Times New Roman" w:cs="Times New Roman"/>
          <w:sz w:val="20"/>
          <w:szCs w:val="21"/>
        </w:rPr>
        <w:t>, Beijing, 100871, China.</w:t>
      </w:r>
    </w:p>
    <w:p w14:paraId="43932C95" w14:textId="77777777" w:rsidR="00E85BE3" w:rsidRPr="00E85BE3" w:rsidRDefault="00E85BE3" w:rsidP="00E85BE3">
      <w:pPr>
        <w:rPr>
          <w:rFonts w:ascii="Times New Roman" w:hAnsi="Times New Roman" w:cs="Times New Roman"/>
          <w:sz w:val="20"/>
          <w:szCs w:val="21"/>
        </w:rPr>
      </w:pPr>
      <w:r w:rsidRPr="00E85BE3">
        <w:rPr>
          <w:rFonts w:ascii="Times New Roman" w:hAnsi="Times New Roman" w:cs="Times New Roman"/>
          <w:sz w:val="20"/>
          <w:szCs w:val="21"/>
        </w:rPr>
        <w:t>6. Geography, College of Life and Environmental Sciences, University of Exeter, Exeter, EX4 4RJ, UK.</w:t>
      </w:r>
    </w:p>
    <w:p w14:paraId="002226D3" w14:textId="77777777" w:rsidR="00E85BE3" w:rsidRPr="00E85BE3" w:rsidRDefault="00E85BE3" w:rsidP="00E85BE3">
      <w:pPr>
        <w:rPr>
          <w:rFonts w:ascii="Times New Roman" w:hAnsi="Times New Roman" w:cs="Times New Roman"/>
          <w:sz w:val="20"/>
          <w:szCs w:val="21"/>
        </w:rPr>
      </w:pPr>
      <w:r w:rsidRPr="00E85BE3">
        <w:rPr>
          <w:rFonts w:ascii="Times New Roman" w:hAnsi="Times New Roman" w:cs="Times New Roman"/>
          <w:sz w:val="20"/>
          <w:szCs w:val="21"/>
        </w:rPr>
        <w:t>7.</w:t>
      </w:r>
      <w:r w:rsidRPr="00E85BE3">
        <w:rPr>
          <w:rFonts w:ascii="Times New Roman" w:hAnsi="Times New Roman" w:cs="Times New Roman"/>
          <w:sz w:val="20"/>
          <w:szCs w:val="21"/>
          <w:vertAlign w:val="superscript"/>
        </w:rPr>
        <w:t xml:space="preserve"> </w:t>
      </w:r>
      <w:r w:rsidRPr="00E85BE3">
        <w:rPr>
          <w:rFonts w:ascii="Times New Roman" w:hAnsi="Times New Roman" w:cs="Times New Roman"/>
          <w:sz w:val="20"/>
          <w:szCs w:val="21"/>
        </w:rPr>
        <w:t>Faculty of Agriculture, Food and Environment, The Hebrew University of Jerusalem, Rehovot, 7610001, Israel.</w:t>
      </w:r>
    </w:p>
    <w:p w14:paraId="39382633" w14:textId="77777777" w:rsidR="00E85BE3" w:rsidRPr="00E85BE3" w:rsidRDefault="00E85BE3" w:rsidP="00E85BE3">
      <w:pPr>
        <w:rPr>
          <w:rFonts w:ascii="Times New Roman" w:hAnsi="Times New Roman" w:cs="Times New Roman"/>
          <w:sz w:val="20"/>
          <w:szCs w:val="21"/>
        </w:rPr>
      </w:pPr>
      <w:r w:rsidRPr="00E85BE3">
        <w:rPr>
          <w:rFonts w:ascii="Times New Roman" w:hAnsi="Times New Roman" w:cs="Times New Roman"/>
          <w:sz w:val="20"/>
          <w:szCs w:val="21"/>
        </w:rPr>
        <w:t>8. Key Laboratory of Ecosystem Network Observation and Modeling, Institute of Geographic Sciences and Natural Resources Research, Chinese Academy of Sciences, Beijing, 100101, China.</w:t>
      </w:r>
    </w:p>
    <w:p w14:paraId="3A1E3930" w14:textId="77777777" w:rsidR="00E85BE3" w:rsidRPr="00E85BE3" w:rsidRDefault="00E85BE3" w:rsidP="00E85BE3">
      <w:pPr>
        <w:rPr>
          <w:rFonts w:ascii="Times New Roman" w:hAnsi="Times New Roman" w:cs="Times New Roman"/>
          <w:sz w:val="20"/>
          <w:szCs w:val="21"/>
        </w:rPr>
      </w:pPr>
      <w:r w:rsidRPr="00E85BE3">
        <w:rPr>
          <w:rFonts w:ascii="Times New Roman" w:hAnsi="Times New Roman" w:cs="Times New Roman"/>
          <w:sz w:val="20"/>
          <w:szCs w:val="21"/>
        </w:rPr>
        <w:t>9. National Ecosystem Science Data Center, Beijing, 100101, China.</w:t>
      </w:r>
    </w:p>
    <w:p w14:paraId="3484B351" w14:textId="77777777" w:rsidR="00E85BE3" w:rsidRPr="00E85BE3" w:rsidRDefault="00E85BE3" w:rsidP="00E85BE3">
      <w:pPr>
        <w:rPr>
          <w:rFonts w:ascii="Times New Roman" w:hAnsi="Times New Roman" w:cs="Times New Roman"/>
          <w:sz w:val="20"/>
          <w:szCs w:val="21"/>
        </w:rPr>
      </w:pPr>
      <w:r w:rsidRPr="00E85BE3">
        <w:rPr>
          <w:rFonts w:ascii="Times New Roman" w:hAnsi="Times New Roman" w:cs="Times New Roman"/>
          <w:sz w:val="20"/>
          <w:szCs w:val="21"/>
        </w:rPr>
        <w:t>10. Key Laboratory for Agro‐Ecological Processes in Subtropical Region, Institute of Subtropical Agriculture, Chinese Academy of Sciences, Changsha, China.</w:t>
      </w:r>
    </w:p>
    <w:p w14:paraId="61DFEBD6" w14:textId="77777777" w:rsidR="00E85BE3" w:rsidRPr="00E85BE3" w:rsidRDefault="00E85BE3" w:rsidP="00E85BE3">
      <w:pPr>
        <w:rPr>
          <w:rFonts w:ascii="Times New Roman" w:hAnsi="Times New Roman" w:cs="Times New Roman"/>
          <w:sz w:val="20"/>
          <w:szCs w:val="21"/>
        </w:rPr>
      </w:pPr>
      <w:r w:rsidRPr="00E85BE3">
        <w:rPr>
          <w:rFonts w:ascii="Times New Roman" w:hAnsi="Times New Roman" w:cs="Times New Roman"/>
          <w:sz w:val="20"/>
          <w:szCs w:val="21"/>
        </w:rPr>
        <w:t>11.</w:t>
      </w:r>
      <w:r w:rsidRPr="00E85BE3">
        <w:rPr>
          <w:rFonts w:ascii="Times New Roman" w:hAnsi="Times New Roman" w:cs="Times New Roman"/>
          <w:sz w:val="20"/>
          <w:szCs w:val="21"/>
          <w:vertAlign w:val="superscript"/>
        </w:rPr>
        <w:t xml:space="preserve"> </w:t>
      </w:r>
      <w:r w:rsidRPr="00E85BE3">
        <w:rPr>
          <w:rFonts w:ascii="Times New Roman" w:hAnsi="Times New Roman" w:cs="Times New Roman"/>
          <w:sz w:val="20"/>
          <w:szCs w:val="21"/>
        </w:rPr>
        <w:t>State Key Laboratory of Environmental Criteria and Risk Assessment, State Environmental Protection Key Laboratory of Regional Eco-process and Function Assessment, Chinese Research Academy of Environmental Sciences, Beijing, 100012, China.</w:t>
      </w:r>
    </w:p>
    <w:p w14:paraId="66676088" w14:textId="77777777" w:rsidR="00E85BE3" w:rsidRPr="00E85BE3" w:rsidRDefault="00E85BE3" w:rsidP="00E85BE3">
      <w:pPr>
        <w:spacing w:line="360" w:lineRule="auto"/>
        <w:rPr>
          <w:rFonts w:ascii="Times New Roman" w:hAnsi="Times New Roman" w:cs="Times New Roman"/>
          <w:sz w:val="20"/>
          <w:szCs w:val="21"/>
        </w:rPr>
      </w:pPr>
      <w:r w:rsidRPr="00E85BE3">
        <w:rPr>
          <w:rFonts w:ascii="Times New Roman" w:hAnsi="Times New Roman" w:cs="Times New Roman"/>
          <w:sz w:val="20"/>
          <w:szCs w:val="21"/>
        </w:rPr>
        <w:t>12. College of JunCao Science and Ecology, Fujian Agriculture and Forestry University, Fuzhou 350002, China.</w:t>
      </w:r>
    </w:p>
    <w:p w14:paraId="26EF41E9" w14:textId="77777777" w:rsidR="00E85BE3" w:rsidRPr="00E85BE3" w:rsidRDefault="00E85BE3" w:rsidP="00E85BE3">
      <w:pPr>
        <w:spacing w:line="360" w:lineRule="auto"/>
        <w:rPr>
          <w:rFonts w:ascii="Times New Roman" w:hAnsi="Times New Roman" w:cs="Times New Roman"/>
          <w:sz w:val="20"/>
          <w:szCs w:val="21"/>
        </w:rPr>
      </w:pPr>
      <w:r w:rsidRPr="00E85BE3">
        <w:rPr>
          <w:rFonts w:ascii="Times New Roman" w:hAnsi="Times New Roman" w:cs="Times New Roman"/>
          <w:sz w:val="20"/>
          <w:szCs w:val="21"/>
        </w:rPr>
        <w:t>*Corresponding author: Hongyan Liu (</w:t>
      </w:r>
      <w:hyperlink r:id="rId4" w:history="1">
        <w:r w:rsidRPr="00E85BE3">
          <w:rPr>
            <w:rFonts w:ascii="Times New Roman" w:hAnsi="Times New Roman" w:cs="Times New Roman"/>
            <w:sz w:val="20"/>
            <w:szCs w:val="21"/>
          </w:rPr>
          <w:t>lhy@urban.pku.edu.cn)</w:t>
        </w:r>
      </w:hyperlink>
    </w:p>
    <w:p w14:paraId="3A91FDCC" w14:textId="2DD35109" w:rsidR="00122CFB" w:rsidRPr="00E85BE3" w:rsidRDefault="00122CFB" w:rsidP="00122CFB">
      <w:pPr>
        <w:jc w:val="center"/>
        <w:rPr>
          <w:rFonts w:ascii="Times New Roman" w:hAnsi="Times New Roman" w:cs="Times New Roman"/>
        </w:rPr>
      </w:pPr>
      <w:r w:rsidRPr="00E85BE3">
        <w:rPr>
          <w:rFonts w:ascii="Times New Roman" w:hAnsi="Times New Roman" w:cs="Times New Roman"/>
          <w:noProof/>
        </w:rPr>
        <w:lastRenderedPageBreak/>
        <w:drawing>
          <wp:inline distT="0" distB="0" distL="0" distR="0" wp14:anchorId="47F61C28" wp14:editId="47A30AF7">
            <wp:extent cx="4676400" cy="5760000"/>
            <wp:effectExtent l="0" t="0" r="0" b="0"/>
            <wp:docPr id="18871837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183730" name="图片 1887183730"/>
                    <pic:cNvPicPr/>
                  </pic:nvPicPr>
                  <pic:blipFill>
                    <a:blip r:embed="rId5"/>
                    <a:stretch>
                      <a:fillRect/>
                    </a:stretch>
                  </pic:blipFill>
                  <pic:spPr>
                    <a:xfrm>
                      <a:off x="0" y="0"/>
                      <a:ext cx="4676400" cy="5760000"/>
                    </a:xfrm>
                    <a:prstGeom prst="rect">
                      <a:avLst/>
                    </a:prstGeom>
                  </pic:spPr>
                </pic:pic>
              </a:graphicData>
            </a:graphic>
          </wp:inline>
        </w:drawing>
      </w:r>
    </w:p>
    <w:p w14:paraId="10B7CA41" w14:textId="77777777" w:rsidR="00C46368" w:rsidRPr="00D20E8F" w:rsidRDefault="00122CFB" w:rsidP="00C46368">
      <w:pPr>
        <w:jc w:val="center"/>
        <w:rPr>
          <w:rFonts w:ascii="Times New Roman" w:hAnsi="Times New Roman" w:cs="Times New Roman"/>
          <w:b/>
          <w:bCs/>
          <w:sz w:val="20"/>
          <w:szCs w:val="21"/>
        </w:rPr>
      </w:pPr>
      <w:r w:rsidRPr="00D20E8F">
        <w:rPr>
          <w:rFonts w:ascii="Times New Roman" w:hAnsi="Times New Roman" w:cs="Times New Roman"/>
          <w:b/>
          <w:bCs/>
          <w:sz w:val="20"/>
          <w:szCs w:val="21"/>
        </w:rPr>
        <w:t xml:space="preserve">Figure S1 </w:t>
      </w:r>
      <w:r w:rsidR="00C46368" w:rsidRPr="00D20E8F">
        <w:rPr>
          <w:rFonts w:ascii="Times New Roman" w:hAnsi="Times New Roman" w:cs="Times New Roman"/>
          <w:b/>
          <w:bCs/>
          <w:sz w:val="20"/>
          <w:szCs w:val="21"/>
        </w:rPr>
        <w:t>Temporal variation of green-up date (GUD) slope in different biomes, including</w:t>
      </w:r>
      <w:r w:rsidR="00C46368" w:rsidRPr="00D20E8F">
        <w:rPr>
          <w:rFonts w:ascii="Times New Roman" w:hAnsi="Times New Roman" w:cs="Times New Roman"/>
          <w:sz w:val="20"/>
          <w:szCs w:val="21"/>
        </w:rPr>
        <w:t xml:space="preserve"> </w:t>
      </w:r>
      <w:r w:rsidR="00C46368" w:rsidRPr="00D20E8F">
        <w:rPr>
          <w:rFonts w:ascii="Times New Roman" w:hAnsi="Times New Roman" w:cs="Times New Roman"/>
          <w:b/>
          <w:bCs/>
          <w:sz w:val="20"/>
          <w:szCs w:val="21"/>
        </w:rPr>
        <w:t>evergreen needleleaf forests (ENF), deciduous needleleaf forests (DNF), deciduous broadleaf forests (DBF), mixed forests (MF), shrublands (SHL), woodlands (WDL), grasslands (GRA), and permanent wetlands (WET). The asterisk represents the average of the slope for each 15-years moving window.</w:t>
      </w:r>
    </w:p>
    <w:p w14:paraId="74F3CC6B" w14:textId="75D6DEB3" w:rsidR="00122CFB" w:rsidRPr="00D20E8F" w:rsidRDefault="00122CFB" w:rsidP="00122CFB">
      <w:pPr>
        <w:jc w:val="center"/>
        <w:rPr>
          <w:rFonts w:ascii="Times New Roman" w:hAnsi="Times New Roman" w:cs="Times New Roman"/>
          <w:b/>
          <w:bCs/>
          <w:sz w:val="20"/>
          <w:szCs w:val="21"/>
        </w:rPr>
      </w:pPr>
    </w:p>
    <w:p w14:paraId="49616343" w14:textId="77777777" w:rsidR="00122CFB" w:rsidRPr="00E85BE3" w:rsidRDefault="00122CFB" w:rsidP="00122CFB">
      <w:pPr>
        <w:jc w:val="center"/>
        <w:rPr>
          <w:rFonts w:ascii="Times New Roman" w:hAnsi="Times New Roman" w:cs="Times New Roman"/>
        </w:rPr>
      </w:pPr>
      <w:r w:rsidRPr="00E85BE3">
        <w:rPr>
          <w:rFonts w:ascii="Times New Roman" w:hAnsi="Times New Roman" w:cs="Times New Roman"/>
          <w:noProof/>
        </w:rPr>
        <w:lastRenderedPageBreak/>
        <w:drawing>
          <wp:inline distT="0" distB="0" distL="0" distR="0" wp14:anchorId="0BDF9D6E" wp14:editId="1CA73777">
            <wp:extent cx="3060000" cy="6120000"/>
            <wp:effectExtent l="0" t="0" r="7620" b="0"/>
            <wp:docPr id="117127942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279427" name="图片 1171279427"/>
                    <pic:cNvPicPr/>
                  </pic:nvPicPr>
                  <pic:blipFill>
                    <a:blip r:embed="rId6"/>
                    <a:stretch>
                      <a:fillRect/>
                    </a:stretch>
                  </pic:blipFill>
                  <pic:spPr>
                    <a:xfrm>
                      <a:off x="0" y="0"/>
                      <a:ext cx="3060000" cy="6120000"/>
                    </a:xfrm>
                    <a:prstGeom prst="rect">
                      <a:avLst/>
                    </a:prstGeom>
                  </pic:spPr>
                </pic:pic>
              </a:graphicData>
            </a:graphic>
          </wp:inline>
        </w:drawing>
      </w:r>
    </w:p>
    <w:p w14:paraId="0775C25A" w14:textId="621B17FF" w:rsidR="00C46368" w:rsidRPr="00D20E8F" w:rsidRDefault="00122CFB" w:rsidP="00C46368">
      <w:pPr>
        <w:jc w:val="center"/>
        <w:rPr>
          <w:rFonts w:ascii="Times New Roman" w:hAnsi="Times New Roman" w:cs="Times New Roman"/>
          <w:b/>
          <w:bCs/>
          <w:sz w:val="20"/>
          <w:szCs w:val="21"/>
        </w:rPr>
      </w:pPr>
      <w:r w:rsidRPr="00D20E8F">
        <w:rPr>
          <w:rFonts w:ascii="Times New Roman" w:hAnsi="Times New Roman" w:cs="Times New Roman"/>
          <w:b/>
          <w:bCs/>
          <w:sz w:val="20"/>
          <w:szCs w:val="21"/>
        </w:rPr>
        <w:t xml:space="preserve">Figure S2 </w:t>
      </w:r>
      <w:r w:rsidR="00C46368" w:rsidRPr="00D20E8F">
        <w:rPr>
          <w:rFonts w:ascii="Times New Roman" w:hAnsi="Times New Roman" w:cs="Times New Roman"/>
          <w:b/>
          <w:bCs/>
          <w:sz w:val="20"/>
          <w:szCs w:val="21"/>
        </w:rPr>
        <w:t>Temporal variation of ALT slope in the different biomes; where ENF denotes evergreen needleleaf forests, DNF – deciduous needleleaf forests, DBF – deciduous broadleaf forests, MF – mixed forests, SHL – shrublands, WDL – woodlands, GRA – grasslands, and WET – permanent wetlands. The asterisk represents the average of the slope for each 15-years moving window.</w:t>
      </w:r>
    </w:p>
    <w:p w14:paraId="3829E7FE" w14:textId="4BADB58F" w:rsidR="00122CFB" w:rsidRPr="00D20E8F" w:rsidRDefault="00122CFB" w:rsidP="00122CFB">
      <w:pPr>
        <w:jc w:val="center"/>
        <w:rPr>
          <w:rFonts w:ascii="Times New Roman" w:hAnsi="Times New Roman" w:cs="Times New Roman"/>
          <w:b/>
          <w:bCs/>
          <w:sz w:val="20"/>
          <w:szCs w:val="21"/>
        </w:rPr>
      </w:pPr>
    </w:p>
    <w:p w14:paraId="3AB5CF45" w14:textId="77777777" w:rsidR="00122CFB" w:rsidRPr="00E85BE3" w:rsidRDefault="00122CFB" w:rsidP="00122CFB">
      <w:pPr>
        <w:jc w:val="center"/>
        <w:rPr>
          <w:rFonts w:ascii="Times New Roman" w:hAnsi="Times New Roman" w:cs="Times New Roman"/>
        </w:rPr>
      </w:pPr>
    </w:p>
    <w:p w14:paraId="6BDD554B" w14:textId="77777777" w:rsidR="00122CFB" w:rsidRPr="00E85BE3" w:rsidRDefault="00122CFB" w:rsidP="00122CFB">
      <w:pPr>
        <w:jc w:val="center"/>
        <w:rPr>
          <w:rFonts w:ascii="Times New Roman" w:hAnsi="Times New Roman" w:cs="Times New Roman"/>
        </w:rPr>
      </w:pPr>
      <w:r w:rsidRPr="00E85BE3">
        <w:rPr>
          <w:rFonts w:ascii="Times New Roman" w:hAnsi="Times New Roman" w:cs="Times New Roman"/>
          <w:noProof/>
        </w:rPr>
        <w:lastRenderedPageBreak/>
        <w:drawing>
          <wp:inline distT="0" distB="0" distL="0" distR="0" wp14:anchorId="5607940A" wp14:editId="7BC72C3B">
            <wp:extent cx="3150000" cy="7200000"/>
            <wp:effectExtent l="0" t="0" r="0" b="1270"/>
            <wp:docPr id="62509612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096122" name="图片 625096122"/>
                    <pic:cNvPicPr/>
                  </pic:nvPicPr>
                  <pic:blipFill>
                    <a:blip r:embed="rId7"/>
                    <a:stretch>
                      <a:fillRect/>
                    </a:stretch>
                  </pic:blipFill>
                  <pic:spPr>
                    <a:xfrm>
                      <a:off x="0" y="0"/>
                      <a:ext cx="3150000" cy="7200000"/>
                    </a:xfrm>
                    <a:prstGeom prst="rect">
                      <a:avLst/>
                    </a:prstGeom>
                  </pic:spPr>
                </pic:pic>
              </a:graphicData>
            </a:graphic>
          </wp:inline>
        </w:drawing>
      </w:r>
    </w:p>
    <w:p w14:paraId="4659F46C" w14:textId="77777777" w:rsidR="00B9373A" w:rsidRPr="00D20E8F" w:rsidRDefault="00122CFB" w:rsidP="00B9373A">
      <w:pPr>
        <w:jc w:val="center"/>
        <w:rPr>
          <w:rFonts w:ascii="Times New Roman" w:hAnsi="Times New Roman" w:cs="Times New Roman"/>
          <w:b/>
          <w:bCs/>
          <w:sz w:val="20"/>
          <w:szCs w:val="21"/>
        </w:rPr>
      </w:pPr>
      <w:r w:rsidRPr="00D20E8F">
        <w:rPr>
          <w:rFonts w:ascii="Times New Roman" w:hAnsi="Times New Roman" w:cs="Times New Roman"/>
          <w:b/>
          <w:bCs/>
          <w:sz w:val="20"/>
          <w:szCs w:val="21"/>
        </w:rPr>
        <w:t xml:space="preserve">Figure S3 </w:t>
      </w:r>
      <w:r w:rsidR="00B9373A" w:rsidRPr="00D20E8F">
        <w:rPr>
          <w:rFonts w:ascii="Times New Roman" w:hAnsi="Times New Roman" w:cs="Times New Roman"/>
          <w:b/>
          <w:bCs/>
          <w:sz w:val="20"/>
          <w:szCs w:val="21"/>
        </w:rPr>
        <w:t>Temporal variation of temperature slope in different biomes; where ENF denotes evergreen needleleaf forests, DNF – deciduous needleleaf forests, DBF – deciduous broadleaf forests, MF – mixed forests, SHL – shrublands, WDL – woodlands, GRA – grasslands, and WET – permanent wetlands. The asterisk represents the average of the slope for each 15-years moving window.</w:t>
      </w:r>
    </w:p>
    <w:p w14:paraId="251E062C" w14:textId="0402B3D3" w:rsidR="00122CFB" w:rsidRPr="00D20E8F" w:rsidRDefault="00122CFB" w:rsidP="00122CFB">
      <w:pPr>
        <w:jc w:val="center"/>
        <w:rPr>
          <w:rFonts w:ascii="Times New Roman" w:hAnsi="Times New Roman" w:cs="Times New Roman"/>
          <w:b/>
          <w:bCs/>
          <w:sz w:val="20"/>
          <w:szCs w:val="21"/>
        </w:rPr>
      </w:pPr>
    </w:p>
    <w:p w14:paraId="07B2B2B9" w14:textId="77777777" w:rsidR="00122CFB" w:rsidRPr="00E85BE3" w:rsidRDefault="00122CFB" w:rsidP="00122CFB">
      <w:pPr>
        <w:jc w:val="center"/>
        <w:rPr>
          <w:rFonts w:ascii="Times New Roman" w:hAnsi="Times New Roman" w:cs="Times New Roman"/>
        </w:rPr>
      </w:pPr>
      <w:r w:rsidRPr="00E85BE3">
        <w:rPr>
          <w:rFonts w:ascii="Times New Roman" w:hAnsi="Times New Roman" w:cs="Times New Roman"/>
        </w:rPr>
        <w:lastRenderedPageBreak/>
        <w:tab/>
      </w:r>
      <w:r w:rsidRPr="00E85BE3">
        <w:rPr>
          <w:rFonts w:ascii="Times New Roman" w:hAnsi="Times New Roman" w:cs="Times New Roman"/>
          <w:noProof/>
        </w:rPr>
        <w:drawing>
          <wp:inline distT="0" distB="0" distL="0" distR="0" wp14:anchorId="037003C0" wp14:editId="7B4C8941">
            <wp:extent cx="3358800" cy="2520000"/>
            <wp:effectExtent l="0" t="0" r="0" b="0"/>
            <wp:docPr id="15174092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409243" name="图片 1517409243"/>
                    <pic:cNvPicPr/>
                  </pic:nvPicPr>
                  <pic:blipFill>
                    <a:blip r:embed="rId8"/>
                    <a:stretch>
                      <a:fillRect/>
                    </a:stretch>
                  </pic:blipFill>
                  <pic:spPr>
                    <a:xfrm>
                      <a:off x="0" y="0"/>
                      <a:ext cx="3358800" cy="2520000"/>
                    </a:xfrm>
                    <a:prstGeom prst="rect">
                      <a:avLst/>
                    </a:prstGeom>
                  </pic:spPr>
                </pic:pic>
              </a:graphicData>
            </a:graphic>
          </wp:inline>
        </w:drawing>
      </w:r>
    </w:p>
    <w:p w14:paraId="735FA3CD" w14:textId="77777777" w:rsidR="00B9373A" w:rsidRPr="00D20E8F" w:rsidRDefault="00122CFB" w:rsidP="00B9373A">
      <w:pPr>
        <w:jc w:val="center"/>
        <w:rPr>
          <w:rFonts w:ascii="Times New Roman" w:hAnsi="Times New Roman" w:cs="Times New Roman"/>
          <w:b/>
          <w:bCs/>
          <w:sz w:val="20"/>
          <w:szCs w:val="21"/>
        </w:rPr>
      </w:pPr>
      <w:r w:rsidRPr="00D20E8F">
        <w:rPr>
          <w:rFonts w:ascii="Times New Roman" w:hAnsi="Times New Roman" w:cs="Times New Roman"/>
          <w:b/>
          <w:bCs/>
          <w:sz w:val="20"/>
          <w:szCs w:val="21"/>
        </w:rPr>
        <w:t xml:space="preserve">Figure S4 </w:t>
      </w:r>
      <w:r w:rsidR="00B9373A" w:rsidRPr="00D20E8F">
        <w:rPr>
          <w:rFonts w:ascii="Times New Roman" w:hAnsi="Times New Roman" w:cs="Times New Roman"/>
          <w:b/>
          <w:bCs/>
          <w:sz w:val="20"/>
          <w:szCs w:val="21"/>
        </w:rPr>
        <w:t>Determination coefficient (R</w:t>
      </w:r>
      <w:r w:rsidR="00B9373A" w:rsidRPr="00D20E8F">
        <w:rPr>
          <w:rFonts w:ascii="Times New Roman" w:hAnsi="Times New Roman" w:cs="Times New Roman"/>
          <w:b/>
          <w:bCs/>
          <w:sz w:val="20"/>
          <w:szCs w:val="21"/>
          <w:vertAlign w:val="superscript"/>
        </w:rPr>
        <w:t>2</w:t>
      </w:r>
      <w:r w:rsidR="00B9373A" w:rsidRPr="00D20E8F">
        <w:rPr>
          <w:rFonts w:ascii="Times New Roman" w:hAnsi="Times New Roman" w:cs="Times New Roman"/>
          <w:b/>
          <w:bCs/>
          <w:sz w:val="20"/>
          <w:szCs w:val="21"/>
        </w:rPr>
        <w:t>) of boosted regression tree (BRT) models in the different biomes; where ENF denotes evergreen needleleaf forests, DNF – deciduous needleleaf forests, DBF – deciduous broadleaf forests, MF – mixed forests, SHL – shrublands, WDL – woodlands, GRA – grasslands, and WET – permanent wetlands.</w:t>
      </w:r>
    </w:p>
    <w:p w14:paraId="5B07F3FF" w14:textId="371BE569" w:rsidR="00EB1CF4" w:rsidRPr="00E85BE3" w:rsidRDefault="00EB1CF4" w:rsidP="00EB1CF4">
      <w:pPr>
        <w:jc w:val="center"/>
        <w:rPr>
          <w:rFonts w:ascii="Times New Roman" w:hAnsi="Times New Roman" w:cs="Times New Roman"/>
        </w:rPr>
      </w:pPr>
      <w:r w:rsidRPr="00E85BE3">
        <w:rPr>
          <w:rFonts w:ascii="Times New Roman" w:hAnsi="Times New Roman" w:cs="Times New Roman"/>
          <w:noProof/>
        </w:rPr>
        <w:lastRenderedPageBreak/>
        <w:drawing>
          <wp:inline distT="0" distB="0" distL="0" distR="0" wp14:anchorId="4A84D407" wp14:editId="64C6F70B">
            <wp:extent cx="4925060" cy="8863330"/>
            <wp:effectExtent l="0" t="0" r="8890" b="0"/>
            <wp:docPr id="1283636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636961" name="图片 1283636961"/>
                    <pic:cNvPicPr/>
                  </pic:nvPicPr>
                  <pic:blipFill>
                    <a:blip r:embed="rId9"/>
                    <a:stretch>
                      <a:fillRect/>
                    </a:stretch>
                  </pic:blipFill>
                  <pic:spPr>
                    <a:xfrm>
                      <a:off x="0" y="0"/>
                      <a:ext cx="4925060" cy="8863330"/>
                    </a:xfrm>
                    <a:prstGeom prst="rect">
                      <a:avLst/>
                    </a:prstGeom>
                  </pic:spPr>
                </pic:pic>
              </a:graphicData>
            </a:graphic>
          </wp:inline>
        </w:drawing>
      </w:r>
    </w:p>
    <w:p w14:paraId="5B286436" w14:textId="7B63D7C4" w:rsidR="00EB1CF4" w:rsidRPr="00D20E8F" w:rsidRDefault="00EB1CF4" w:rsidP="00EB1CF4">
      <w:pPr>
        <w:jc w:val="center"/>
        <w:rPr>
          <w:rFonts w:ascii="Times New Roman" w:hAnsi="Times New Roman" w:cs="Times New Roman"/>
          <w:b/>
          <w:bCs/>
          <w:sz w:val="20"/>
          <w:szCs w:val="21"/>
        </w:rPr>
      </w:pPr>
      <w:r w:rsidRPr="00D20E8F">
        <w:rPr>
          <w:rFonts w:ascii="Times New Roman" w:hAnsi="Times New Roman" w:cs="Times New Roman"/>
          <w:b/>
          <w:bCs/>
          <w:sz w:val="20"/>
          <w:szCs w:val="21"/>
        </w:rPr>
        <w:lastRenderedPageBreak/>
        <w:t xml:space="preserve">Figure S5 </w:t>
      </w:r>
      <w:bookmarkStart w:id="3" w:name="_Hlk167564379"/>
      <w:r w:rsidR="00360959" w:rsidRPr="00D20E8F">
        <w:rPr>
          <w:rFonts w:ascii="Times New Roman" w:hAnsi="Times New Roman" w:cs="Times New Roman"/>
          <w:b/>
          <w:bCs/>
          <w:sz w:val="20"/>
          <w:szCs w:val="21"/>
        </w:rPr>
        <w:t>Temporal variation of partial correlation coefficient</w:t>
      </w:r>
      <w:bookmarkEnd w:id="3"/>
      <w:r w:rsidR="00360959" w:rsidRPr="00D20E8F">
        <w:rPr>
          <w:rFonts w:ascii="Times New Roman" w:hAnsi="Times New Roman" w:cs="Times New Roman"/>
          <w:b/>
          <w:bCs/>
          <w:sz w:val="20"/>
          <w:szCs w:val="21"/>
        </w:rPr>
        <w:t xml:space="preserve"> (within range of two standard deviations, black dashed lines denote the threshold of partial correlation coefficients with a significance level of &lt;0.1) in different biomes; where ENF denotes evergreen needleleaf forests, DNF – deciduous needleleaf forests, DBF – deciduous broadleaf forests, MF – mixed forests, SHL – shrublands, WDL – woodlands, GRA – grasslands, and WET – permanent wetlands. The asterisk represents the average of the slope for each 15-years moving window.</w:t>
      </w:r>
    </w:p>
    <w:p w14:paraId="37995F02" w14:textId="77777777" w:rsidR="00EB1CF4" w:rsidRPr="00E85BE3" w:rsidRDefault="00EB1CF4" w:rsidP="00EB1CF4">
      <w:pPr>
        <w:jc w:val="center"/>
        <w:rPr>
          <w:rFonts w:ascii="Times New Roman" w:hAnsi="Times New Roman" w:cs="Times New Roman"/>
        </w:rPr>
      </w:pPr>
    </w:p>
    <w:p w14:paraId="11DE9F14" w14:textId="77777777" w:rsidR="00EB1CF4" w:rsidRPr="00E85BE3" w:rsidRDefault="00EB1CF4" w:rsidP="00EB1CF4">
      <w:pPr>
        <w:jc w:val="center"/>
        <w:rPr>
          <w:rFonts w:ascii="Times New Roman" w:hAnsi="Times New Roman" w:cs="Times New Roman"/>
        </w:rPr>
      </w:pPr>
      <w:r w:rsidRPr="00E85BE3">
        <w:rPr>
          <w:rFonts w:ascii="Times New Roman" w:hAnsi="Times New Roman" w:cs="Times New Roman"/>
          <w:noProof/>
        </w:rPr>
        <w:drawing>
          <wp:inline distT="0" distB="0" distL="0" distR="0" wp14:anchorId="40004D6B" wp14:editId="66A6D557">
            <wp:extent cx="5274310" cy="2895600"/>
            <wp:effectExtent l="0" t="0" r="2540" b="0"/>
            <wp:docPr id="34182170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821706" name="图片 341821706"/>
                    <pic:cNvPicPr/>
                  </pic:nvPicPr>
                  <pic:blipFill>
                    <a:blip r:embed="rId10"/>
                    <a:stretch>
                      <a:fillRect/>
                    </a:stretch>
                  </pic:blipFill>
                  <pic:spPr>
                    <a:xfrm>
                      <a:off x="0" y="0"/>
                      <a:ext cx="5274310" cy="2895600"/>
                    </a:xfrm>
                    <a:prstGeom prst="rect">
                      <a:avLst/>
                    </a:prstGeom>
                  </pic:spPr>
                </pic:pic>
              </a:graphicData>
            </a:graphic>
          </wp:inline>
        </w:drawing>
      </w:r>
    </w:p>
    <w:p w14:paraId="24898375" w14:textId="5A8BB46F" w:rsidR="00EB1CF4" w:rsidRDefault="00EB1CF4" w:rsidP="00EB1CF4">
      <w:pPr>
        <w:jc w:val="center"/>
        <w:rPr>
          <w:rFonts w:ascii="Times New Roman" w:hAnsi="Times New Roman" w:cs="Times New Roman"/>
          <w:b/>
          <w:bCs/>
          <w:sz w:val="20"/>
          <w:szCs w:val="21"/>
        </w:rPr>
      </w:pPr>
      <w:r w:rsidRPr="00D20E8F">
        <w:rPr>
          <w:rFonts w:ascii="Times New Roman" w:hAnsi="Times New Roman" w:cs="Times New Roman"/>
          <w:b/>
          <w:bCs/>
          <w:sz w:val="20"/>
          <w:szCs w:val="21"/>
        </w:rPr>
        <w:t xml:space="preserve">Figure S6 </w:t>
      </w:r>
      <w:r w:rsidR="00360959" w:rsidRPr="00D20E8F">
        <w:rPr>
          <w:rFonts w:ascii="Times New Roman" w:hAnsi="Times New Roman" w:cs="Times New Roman"/>
          <w:b/>
          <w:bCs/>
          <w:sz w:val="20"/>
          <w:szCs w:val="21"/>
        </w:rPr>
        <w:t xml:space="preserve">Regression coefficients for </w:t>
      </w:r>
      <w:bookmarkStart w:id="4" w:name="_Hlk168673096"/>
      <w:r w:rsidR="00360959" w:rsidRPr="00D20E8F">
        <w:rPr>
          <w:rFonts w:ascii="Times New Roman" w:hAnsi="Times New Roman" w:cs="Times New Roman"/>
          <w:b/>
          <w:bCs/>
          <w:sz w:val="20"/>
          <w:szCs w:val="21"/>
        </w:rPr>
        <w:t>active layer thickness (ALT)</w:t>
      </w:r>
      <w:bookmarkEnd w:id="4"/>
      <w:r w:rsidR="00360959" w:rsidRPr="00D20E8F">
        <w:rPr>
          <w:rFonts w:ascii="Times New Roman" w:hAnsi="Times New Roman" w:cs="Times New Roman"/>
          <w:b/>
          <w:bCs/>
          <w:sz w:val="20"/>
          <w:szCs w:val="21"/>
        </w:rPr>
        <w:t xml:space="preserve"> from partial least squares regression (PLSR) in different biomes. The circle mark represents the average of the coefficient for each 15-years moving window. Identifying the period with maximum value of regression coefficients as the tipping period and the linear regression for the time periods before (red) and after (blue) the period, respectively. Where ENF denotes evergreen needleleaf forests, DNF – deciduous needleleaf forests, DBF – deciduous broadleaf forests, MF – mixed forests, SHL – shrublands, WDL – woodlands, GRA – grasslands, and WET – permanent wetlands</w:t>
      </w:r>
      <w:r w:rsidRPr="00D20E8F">
        <w:rPr>
          <w:rFonts w:ascii="Times New Roman" w:hAnsi="Times New Roman" w:cs="Times New Roman"/>
          <w:b/>
          <w:bCs/>
          <w:sz w:val="20"/>
          <w:szCs w:val="21"/>
        </w:rPr>
        <w:t>.</w:t>
      </w:r>
    </w:p>
    <w:p w14:paraId="7E302B5C" w14:textId="77777777" w:rsidR="00EB1CF4" w:rsidRPr="00E85BE3" w:rsidRDefault="00EB1CF4" w:rsidP="00EB1CF4">
      <w:pPr>
        <w:jc w:val="center"/>
        <w:rPr>
          <w:rFonts w:ascii="Times New Roman" w:hAnsi="Times New Roman" w:cs="Times New Roman"/>
        </w:rPr>
      </w:pPr>
      <w:r w:rsidRPr="00E85BE3">
        <w:rPr>
          <w:rFonts w:ascii="Times New Roman" w:hAnsi="Times New Roman" w:cs="Times New Roman"/>
          <w:noProof/>
        </w:rPr>
        <w:drawing>
          <wp:inline distT="0" distB="0" distL="0" distR="0" wp14:anchorId="22DF9AFC" wp14:editId="77497DA0">
            <wp:extent cx="3358800" cy="2520000"/>
            <wp:effectExtent l="0" t="0" r="0" b="0"/>
            <wp:docPr id="5738820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882019" name="图片 573882019"/>
                    <pic:cNvPicPr/>
                  </pic:nvPicPr>
                  <pic:blipFill>
                    <a:blip r:embed="rId11"/>
                    <a:stretch>
                      <a:fillRect/>
                    </a:stretch>
                  </pic:blipFill>
                  <pic:spPr>
                    <a:xfrm>
                      <a:off x="0" y="0"/>
                      <a:ext cx="3358800" cy="2520000"/>
                    </a:xfrm>
                    <a:prstGeom prst="rect">
                      <a:avLst/>
                    </a:prstGeom>
                  </pic:spPr>
                </pic:pic>
              </a:graphicData>
            </a:graphic>
          </wp:inline>
        </w:drawing>
      </w:r>
    </w:p>
    <w:p w14:paraId="18FC51EC" w14:textId="7F57884A" w:rsidR="00EB1CF4" w:rsidRPr="00D20E8F" w:rsidRDefault="00EB1CF4" w:rsidP="00EB1CF4">
      <w:pPr>
        <w:jc w:val="center"/>
        <w:rPr>
          <w:rFonts w:ascii="Times New Roman" w:hAnsi="Times New Roman" w:cs="Times New Roman"/>
          <w:b/>
          <w:bCs/>
          <w:sz w:val="20"/>
          <w:szCs w:val="21"/>
        </w:rPr>
      </w:pPr>
      <w:r w:rsidRPr="00D20E8F">
        <w:rPr>
          <w:rFonts w:ascii="Times New Roman" w:hAnsi="Times New Roman" w:cs="Times New Roman"/>
          <w:b/>
          <w:bCs/>
          <w:sz w:val="20"/>
          <w:szCs w:val="21"/>
        </w:rPr>
        <w:t xml:space="preserve">Figure S7 Difference of root depth between grasslands and other biomes by Kruskal-Wallis test </w:t>
      </w:r>
      <w:r w:rsidR="00250A72" w:rsidRPr="00D20E8F">
        <w:rPr>
          <w:rFonts w:ascii="Times New Roman" w:hAnsi="Times New Roman" w:cs="Times New Roman"/>
          <w:b/>
          <w:bCs/>
          <w:sz w:val="20"/>
          <w:szCs w:val="21"/>
        </w:rPr>
        <w:t>(</w:t>
      </w:r>
      <w:r w:rsidRPr="00D20E8F">
        <w:rPr>
          <w:rFonts w:ascii="Times New Roman" w:hAnsi="Times New Roman" w:cs="Times New Roman"/>
          <w:b/>
          <w:bCs/>
          <w:sz w:val="20"/>
          <w:szCs w:val="21"/>
        </w:rPr>
        <w:t>***: P&lt;0.001).</w:t>
      </w:r>
    </w:p>
    <w:p w14:paraId="6CC6E2C3" w14:textId="77777777" w:rsidR="00EB1CF4" w:rsidRPr="00E85BE3" w:rsidRDefault="00EB1CF4" w:rsidP="00EB1CF4">
      <w:pPr>
        <w:jc w:val="center"/>
        <w:rPr>
          <w:rFonts w:ascii="Times New Roman" w:hAnsi="Times New Roman" w:cs="Times New Roman"/>
        </w:rPr>
      </w:pPr>
      <w:r w:rsidRPr="00E85BE3">
        <w:rPr>
          <w:rFonts w:ascii="Times New Roman" w:hAnsi="Times New Roman" w:cs="Times New Roman"/>
          <w:noProof/>
        </w:rPr>
        <w:lastRenderedPageBreak/>
        <w:drawing>
          <wp:inline distT="0" distB="0" distL="0" distR="0" wp14:anchorId="18F67D82" wp14:editId="43399887">
            <wp:extent cx="5274310" cy="1638935"/>
            <wp:effectExtent l="0" t="0" r="2540" b="0"/>
            <wp:docPr id="14649923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992394" name="图片 1464992394"/>
                    <pic:cNvPicPr/>
                  </pic:nvPicPr>
                  <pic:blipFill>
                    <a:blip r:embed="rId12"/>
                    <a:stretch>
                      <a:fillRect/>
                    </a:stretch>
                  </pic:blipFill>
                  <pic:spPr>
                    <a:xfrm>
                      <a:off x="0" y="0"/>
                      <a:ext cx="5274310" cy="1638935"/>
                    </a:xfrm>
                    <a:prstGeom prst="rect">
                      <a:avLst/>
                    </a:prstGeom>
                  </pic:spPr>
                </pic:pic>
              </a:graphicData>
            </a:graphic>
          </wp:inline>
        </w:drawing>
      </w:r>
    </w:p>
    <w:p w14:paraId="24F653B8" w14:textId="190AB0D4" w:rsidR="00EB1CF4" w:rsidRPr="00D20E8F" w:rsidRDefault="00EB1CF4" w:rsidP="00EB1CF4">
      <w:pPr>
        <w:jc w:val="center"/>
        <w:rPr>
          <w:rFonts w:ascii="Times New Roman" w:hAnsi="Times New Roman" w:cs="Times New Roman"/>
          <w:b/>
          <w:bCs/>
          <w:sz w:val="20"/>
          <w:szCs w:val="21"/>
        </w:rPr>
      </w:pPr>
      <w:r w:rsidRPr="00D20E8F">
        <w:rPr>
          <w:rFonts w:ascii="Times New Roman" w:hAnsi="Times New Roman" w:cs="Times New Roman"/>
          <w:b/>
          <w:bCs/>
          <w:sz w:val="20"/>
          <w:szCs w:val="21"/>
        </w:rPr>
        <w:t>Figure S8 Active layer thickness (ALT) slope in the Northern Hemisphere permafrost region</w:t>
      </w:r>
      <w:r w:rsidR="006901C6" w:rsidRPr="00D20E8F">
        <w:rPr>
          <w:rFonts w:ascii="Times New Roman" w:hAnsi="Times New Roman" w:cs="Times New Roman"/>
          <w:b/>
          <w:bCs/>
          <w:sz w:val="20"/>
          <w:szCs w:val="21"/>
        </w:rPr>
        <w:t>.</w:t>
      </w:r>
      <w:r w:rsidRPr="00D20E8F">
        <w:rPr>
          <w:rFonts w:ascii="Times New Roman" w:hAnsi="Times New Roman" w:cs="Times New Roman"/>
          <w:b/>
          <w:bCs/>
          <w:sz w:val="20"/>
          <w:szCs w:val="21"/>
        </w:rPr>
        <w:t xml:space="preserve"> NS represents nonsignificant</w:t>
      </w:r>
      <w:r w:rsidR="006901C6" w:rsidRPr="00D20E8F">
        <w:rPr>
          <w:rFonts w:ascii="Times New Roman" w:hAnsi="Times New Roman" w:cs="Times New Roman"/>
          <w:b/>
          <w:bCs/>
          <w:sz w:val="20"/>
          <w:szCs w:val="21"/>
        </w:rPr>
        <w:t>.</w:t>
      </w:r>
    </w:p>
    <w:p w14:paraId="6394F47B" w14:textId="419B71F8" w:rsidR="00A81894" w:rsidRPr="00D20E8F" w:rsidRDefault="00A81894" w:rsidP="00122CFB">
      <w:pPr>
        <w:tabs>
          <w:tab w:val="left" w:pos="749"/>
        </w:tabs>
        <w:rPr>
          <w:rFonts w:ascii="Times New Roman" w:hAnsi="Times New Roman" w:cs="Times New Roman"/>
          <w:b/>
          <w:bCs/>
          <w:sz w:val="20"/>
          <w:szCs w:val="21"/>
        </w:rPr>
      </w:pPr>
    </w:p>
    <w:sectPr w:rsidR="00A81894" w:rsidRPr="00D20E8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4FC6"/>
    <w:rsid w:val="0001153A"/>
    <w:rsid w:val="00084081"/>
    <w:rsid w:val="0011135F"/>
    <w:rsid w:val="00122CFB"/>
    <w:rsid w:val="001E18AF"/>
    <w:rsid w:val="00250A72"/>
    <w:rsid w:val="0034038B"/>
    <w:rsid w:val="00360959"/>
    <w:rsid w:val="0038404E"/>
    <w:rsid w:val="005439C3"/>
    <w:rsid w:val="00543C95"/>
    <w:rsid w:val="005700C3"/>
    <w:rsid w:val="005A1FE6"/>
    <w:rsid w:val="006553F8"/>
    <w:rsid w:val="006901C6"/>
    <w:rsid w:val="007314A3"/>
    <w:rsid w:val="00734FC6"/>
    <w:rsid w:val="00801278"/>
    <w:rsid w:val="00942C06"/>
    <w:rsid w:val="00A81894"/>
    <w:rsid w:val="00AA5291"/>
    <w:rsid w:val="00AB4B21"/>
    <w:rsid w:val="00B9373A"/>
    <w:rsid w:val="00B956A6"/>
    <w:rsid w:val="00C46368"/>
    <w:rsid w:val="00D20E8F"/>
    <w:rsid w:val="00DE284B"/>
    <w:rsid w:val="00E20E54"/>
    <w:rsid w:val="00E85BE3"/>
    <w:rsid w:val="00EB1CF4"/>
    <w:rsid w:val="00EE07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F8C327"/>
  <w15:chartTrackingRefBased/>
  <w15:docId w15:val="{208C3E71-2408-4F6E-8062-00289DAA0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22CF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1113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g"/><Relationship Id="rId12" Type="http://schemas.openxmlformats.org/officeDocument/2006/relationships/image" Target="media/image8.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g"/><Relationship Id="rId10" Type="http://schemas.openxmlformats.org/officeDocument/2006/relationships/image" Target="media/image6.jpg"/><Relationship Id="rId4" Type="http://schemas.openxmlformats.org/officeDocument/2006/relationships/hyperlink" Target="mailto:email@address.edu)" TargetMode="External"/><Relationship Id="rId9" Type="http://schemas.openxmlformats.org/officeDocument/2006/relationships/image" Target="media/image5.jp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719</Words>
  <Characters>4103</Characters>
  <Application>Microsoft Office Word</Application>
  <DocSecurity>0</DocSecurity>
  <Lines>34</Lines>
  <Paragraphs>9</Paragraphs>
  <ScaleCrop>false</ScaleCrop>
  <Company/>
  <LinksUpToDate>false</LinksUpToDate>
  <CharactersWithSpaces>4813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dc:creator>
  <cp:keywords/>
  <dc:description/>
  <cp:lastModifiedBy>BL</cp:lastModifiedBy>
  <cp:revision>17</cp:revision>
  <dcterms:created xsi:type="dcterms:W3CDTF">2024-07-01T02:24:00Z</dcterms:created>
  <dcterms:modified xsi:type="dcterms:W3CDTF">2024-09-12T00:34:00Z</dcterms:modified>
</cp:coreProperties>
</file>