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DA0AE" w14:textId="77777777" w:rsidR="0092229D" w:rsidRPr="00270CA3" w:rsidRDefault="0092229D" w:rsidP="0092229D">
      <w:pPr>
        <w:pageBreakBefore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70CA3">
        <w:rPr>
          <w:rFonts w:ascii="Times New Roman" w:hAnsi="Times New Roman" w:cs="Times New Roman"/>
          <w:sz w:val="28"/>
          <w:szCs w:val="28"/>
        </w:rPr>
        <w:t>Supplementary Figures</w:t>
      </w:r>
    </w:p>
    <w:p w14:paraId="091A16A5" w14:textId="77777777" w:rsidR="0092229D" w:rsidRDefault="0092229D" w:rsidP="0092229D">
      <w:pPr>
        <w:spacing w:line="360" w:lineRule="auto"/>
        <w:jc w:val="center"/>
        <w:rPr>
          <w:noProof/>
        </w:rPr>
      </w:pPr>
    </w:p>
    <w:p w14:paraId="48E36CD7" w14:textId="77777777" w:rsidR="0092229D" w:rsidRDefault="0092229D" w:rsidP="0092229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3CBA8E0" wp14:editId="771A7D1A">
            <wp:extent cx="5760720" cy="186376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63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35716" w14:textId="77777777" w:rsidR="0092229D" w:rsidRDefault="0092229D" w:rsidP="0092229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A7F98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F</w:t>
      </w:r>
      <w:r w:rsidRPr="00EA7F98">
        <w:rPr>
          <w:rFonts w:ascii="Times New Roman" w:hAnsi="Times New Roman" w:cs="Times New Roman"/>
          <w:b/>
          <w:sz w:val="20"/>
          <w:szCs w:val="20"/>
        </w:rPr>
        <w:t xml:space="preserve">igure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EA7F98">
        <w:rPr>
          <w:rFonts w:ascii="Times New Roman" w:hAnsi="Times New Roman" w:cs="Times New Roman"/>
          <w:b/>
          <w:sz w:val="20"/>
          <w:szCs w:val="20"/>
        </w:rPr>
        <w:t xml:space="preserve">1. </w:t>
      </w:r>
      <w:r>
        <w:rPr>
          <w:rFonts w:ascii="Times New Roman" w:hAnsi="Times New Roman" w:cs="Times New Roman"/>
          <w:b/>
          <w:sz w:val="20"/>
          <w:szCs w:val="20"/>
        </w:rPr>
        <w:t xml:space="preserve">Incucyte assay to evaluate CAR20-T cell killing potency of lymphoma cell lines. A-B) </w:t>
      </w:r>
      <w:r w:rsidRPr="00E17ADD">
        <w:rPr>
          <w:rFonts w:ascii="Times New Roman" w:hAnsi="Times New Roman" w:cs="Times New Roman"/>
          <w:sz w:val="20"/>
          <w:szCs w:val="20"/>
        </w:rPr>
        <w:t xml:space="preserve">Relative viability of scarlet-expressing </w:t>
      </w:r>
      <w:r>
        <w:rPr>
          <w:rFonts w:ascii="Times New Roman" w:hAnsi="Times New Roman" w:cs="Times New Roman"/>
          <w:sz w:val="20"/>
          <w:szCs w:val="20"/>
        </w:rPr>
        <w:t>(A) Raji or (B) DG75</w:t>
      </w:r>
      <w:r w:rsidRPr="00E17ADD">
        <w:rPr>
          <w:rFonts w:ascii="Times New Roman" w:hAnsi="Times New Roman" w:cs="Times New Roman"/>
          <w:sz w:val="20"/>
          <w:szCs w:val="20"/>
        </w:rPr>
        <w:t xml:space="preserve"> cells measured over time by total fluorescence using Incucyte after co-culture with CAR20-T cells or Mock-T cells, prepared from one healthy donor, at the effector to target ratio 5:1. Data is shown as mean fluorescence signal measured every 30min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1C0BECE" w14:textId="77777777" w:rsidR="0092229D" w:rsidRDefault="0092229D" w:rsidP="0092229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4E3E4595" wp14:editId="460037C6">
            <wp:extent cx="5753100" cy="2638425"/>
            <wp:effectExtent l="0" t="0" r="0" b="9525"/>
            <wp:docPr id="1104528717" name="Picture 2" descr="A close-up of a m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528717" name="Picture 2" descr="A close-up of a m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4E08B" w14:textId="77777777" w:rsidR="0092229D" w:rsidRPr="00943F65" w:rsidRDefault="0092229D" w:rsidP="0092229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43F65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S2.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CAR20(NAP)-T cells prolong survival of 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 xml:space="preserve">NOD-SCID </w:t>
      </w:r>
      <w:r>
        <w:rPr>
          <w:rFonts w:ascii="Times New Roman" w:hAnsi="Times New Roman" w:cs="Times New Roman"/>
          <w:b/>
          <w:bCs/>
          <w:sz w:val="20"/>
          <w:szCs w:val="20"/>
        </w:rPr>
        <w:t>mice with systemically injected human lymphoma cells.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 xml:space="preserve"> 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>NOD-SCID mice were injected intravenously with 1</w:t>
      </w:r>
      <w:r w:rsidRPr="00943F65">
        <w:rPr>
          <w:rFonts w:ascii="Times New Roman" w:hAnsi="Times New Roman" w:cs="Times New Roman" w:hint="eastAsia"/>
          <w:sz w:val="20"/>
          <w:szCs w:val="20"/>
          <w:lang w:eastAsia="zh-CN"/>
        </w:rPr>
        <w:t>×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>10</w:t>
      </w:r>
      <w:r w:rsidRPr="00943F65">
        <w:rPr>
          <w:rFonts w:ascii="Times New Roman" w:hAnsi="Times New Roman" w:cs="Times New Roman"/>
          <w:sz w:val="20"/>
          <w:szCs w:val="20"/>
          <w:vertAlign w:val="superscript"/>
          <w:lang w:eastAsia="zh-CN"/>
        </w:rPr>
        <w:t>6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 xml:space="preserve"> firefly luciferase (fLuc) expressing </w:t>
      </w:r>
      <w:r>
        <w:rPr>
          <w:rFonts w:ascii="Times New Roman" w:hAnsi="Times New Roman" w:cs="Times New Roman"/>
          <w:sz w:val="20"/>
          <w:szCs w:val="20"/>
          <w:lang w:eastAsia="zh-CN"/>
        </w:rPr>
        <w:t>CD20</w:t>
      </w:r>
      <w:r w:rsidRPr="00270CA3">
        <w:rPr>
          <w:rFonts w:ascii="Times New Roman" w:hAnsi="Times New Roman" w:cs="Times New Roman"/>
          <w:sz w:val="20"/>
          <w:szCs w:val="20"/>
          <w:vertAlign w:val="superscript"/>
          <w:lang w:eastAsia="zh-CN"/>
        </w:rPr>
        <w:t>+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>Daudi cells on day 0</w:t>
      </w:r>
      <w:r>
        <w:rPr>
          <w:rFonts w:ascii="Times New Roman" w:hAnsi="Times New Roman" w:cs="Times New Roman"/>
          <w:sz w:val="20"/>
          <w:szCs w:val="20"/>
          <w:lang w:eastAsia="zh-CN"/>
        </w:rPr>
        <w:t>. Mice were then treated with two injections (</w:t>
      </w:r>
      <w:r w:rsidRPr="00D07B92">
        <w:rPr>
          <w:rFonts w:ascii="Times New Roman" w:hAnsi="Times New Roman" w:cs="Times New Roman"/>
          <w:sz w:val="20"/>
          <w:szCs w:val="20"/>
          <w:lang w:eastAsia="zh-CN"/>
        </w:rPr>
        <w:t>2</w:t>
      </w:r>
      <w:r w:rsidRPr="00D07B92">
        <w:rPr>
          <w:rFonts w:ascii="Times New Roman" w:hAnsi="Times New Roman" w:cs="Times New Roman" w:hint="eastAsia"/>
          <w:sz w:val="20"/>
          <w:szCs w:val="20"/>
          <w:lang w:eastAsia="zh-CN"/>
        </w:rPr>
        <w:t>×</w:t>
      </w:r>
      <w:r w:rsidRPr="00D07B92">
        <w:rPr>
          <w:rFonts w:ascii="Times New Roman" w:hAnsi="Times New Roman" w:cs="Times New Roman"/>
          <w:sz w:val="20"/>
          <w:szCs w:val="20"/>
          <w:lang w:eastAsia="zh-CN"/>
        </w:rPr>
        <w:t>10</w:t>
      </w:r>
      <w:r w:rsidRPr="00D07B92">
        <w:rPr>
          <w:rFonts w:ascii="Times New Roman" w:hAnsi="Times New Roman" w:cs="Times New Roman"/>
          <w:sz w:val="20"/>
          <w:szCs w:val="20"/>
          <w:vertAlign w:val="superscript"/>
          <w:lang w:eastAsia="zh-CN"/>
        </w:rPr>
        <w:t xml:space="preserve">6 </w:t>
      </w:r>
      <w:r w:rsidRPr="00D07B92">
        <w:rPr>
          <w:rFonts w:ascii="Times New Roman" w:hAnsi="Times New Roman" w:cs="Times New Roman"/>
          <w:sz w:val="20"/>
          <w:szCs w:val="20"/>
          <w:lang w:eastAsia="zh-CN"/>
        </w:rPr>
        <w:t>cells/do</w:t>
      </w:r>
      <w:r>
        <w:rPr>
          <w:rFonts w:ascii="Times New Roman" w:hAnsi="Times New Roman" w:cs="Times New Roman"/>
          <w:sz w:val="20"/>
          <w:szCs w:val="20"/>
          <w:lang w:eastAsia="zh-CN"/>
        </w:rPr>
        <w:t>se) of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 xml:space="preserve"> Mock-T cells (n= 6) or CAR20(NAP)-T cells (n= 5)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on 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>day</w:t>
      </w:r>
      <w:r>
        <w:rPr>
          <w:rFonts w:ascii="Times New Roman" w:hAnsi="Times New Roman" w:cs="Times New Roman"/>
          <w:sz w:val="20"/>
          <w:szCs w:val="20"/>
          <w:lang w:eastAsia="zh-CN"/>
        </w:rPr>
        <w:t>s</w:t>
      </w:r>
      <w:r w:rsidRPr="00943F65">
        <w:rPr>
          <w:rFonts w:ascii="Times New Roman" w:hAnsi="Times New Roman" w:cs="Times New Roman"/>
          <w:sz w:val="20"/>
          <w:szCs w:val="20"/>
          <w:lang w:eastAsia="zh-CN"/>
        </w:rPr>
        <w:t xml:space="preserve"> 4 and 8.</w:t>
      </w:r>
      <w:r w:rsidRPr="00943F65">
        <w:rPr>
          <w:rFonts w:ascii="Times New Roman" w:hAnsi="Times New Roman" w:cs="Times New Roman"/>
          <w:sz w:val="20"/>
          <w:szCs w:val="20"/>
        </w:rPr>
        <w:t xml:space="preserve"> Tumor progression was monitored by bioluminescence imaging. (A) </w:t>
      </w:r>
      <w:r>
        <w:rPr>
          <w:rFonts w:ascii="Times New Roman" w:hAnsi="Times New Roman" w:cs="Times New Roman"/>
          <w:sz w:val="20"/>
          <w:szCs w:val="20"/>
        </w:rPr>
        <w:t>Representative bioluminescence images of individual mice</w:t>
      </w:r>
      <w:r w:rsidRPr="00943F65">
        <w:rPr>
          <w:rFonts w:ascii="Times New Roman" w:hAnsi="Times New Roman" w:cs="Times New Roman"/>
          <w:sz w:val="20"/>
          <w:szCs w:val="20"/>
        </w:rPr>
        <w:t xml:space="preserve"> on day 43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943F65">
        <w:rPr>
          <w:rFonts w:ascii="Times New Roman" w:hAnsi="Times New Roman" w:cs="Times New Roman"/>
          <w:sz w:val="20"/>
          <w:szCs w:val="20"/>
        </w:rPr>
        <w:t>(B) Tumor burden presented by bioluminescence (in photon/sec).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(C) </w:t>
      </w:r>
      <w:r w:rsidRPr="00754798">
        <w:rPr>
          <w:rFonts w:ascii="Times New Roman" w:hAnsi="Times New Roman" w:cs="Times New Roman"/>
          <w:sz w:val="20"/>
          <w:szCs w:val="20"/>
          <w:lang w:eastAsia="zh-CN"/>
        </w:rPr>
        <w:t>Kaplan-Meier survival curve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. The </w:t>
      </w:r>
      <w:r>
        <w:rPr>
          <w:rFonts w:ascii="Times New Roman" w:hAnsi="Times New Roman" w:cs="Times New Roman"/>
          <w:sz w:val="20"/>
          <w:szCs w:val="20"/>
          <w:lang w:eastAsia="zh-CN"/>
        </w:rPr>
        <w:t>survival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curve was compared by long-rank test </w:t>
      </w:r>
      <w:r>
        <w:rPr>
          <w:rFonts w:ascii="Times New Roman" w:hAnsi="Times New Roman" w:cs="Times New Roman"/>
          <w:sz w:val="20"/>
          <w:szCs w:val="20"/>
        </w:rPr>
        <w:t>(**p&lt;0.01, ****p&lt;0.0001)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>.</w:t>
      </w:r>
    </w:p>
    <w:p w14:paraId="4B070A10" w14:textId="77777777" w:rsidR="0092229D" w:rsidRDefault="0092229D" w:rsidP="009222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819F249" w14:textId="77777777" w:rsidR="0092229D" w:rsidRDefault="0092229D" w:rsidP="0092229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70B8A1" w14:textId="77777777" w:rsidR="0092229D" w:rsidRDefault="0092229D" w:rsidP="0092229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1688E2F" wp14:editId="73236016">
            <wp:extent cx="4678680" cy="3550920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12"/>
                    <a:stretch/>
                  </pic:blipFill>
                  <pic:spPr bwMode="auto">
                    <a:xfrm>
                      <a:off x="0" y="0"/>
                      <a:ext cx="467868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67D7B8" w14:textId="77777777" w:rsidR="0092229D" w:rsidRPr="00485C6A" w:rsidRDefault="0092229D" w:rsidP="0092229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4754C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F</w:t>
      </w:r>
      <w:r w:rsidRPr="0074754C">
        <w:rPr>
          <w:rFonts w:ascii="Times New Roman" w:hAnsi="Times New Roman" w:cs="Times New Roman"/>
          <w:b/>
          <w:sz w:val="20"/>
          <w:szCs w:val="20"/>
        </w:rPr>
        <w:t xml:space="preserve">igure </w:t>
      </w:r>
      <w:r>
        <w:rPr>
          <w:rFonts w:ascii="Times New Roman" w:hAnsi="Times New Roman" w:cs="Times New Roman"/>
          <w:b/>
          <w:sz w:val="20"/>
          <w:szCs w:val="20"/>
        </w:rPr>
        <w:t>S3. H</w:t>
      </w:r>
      <w:r w:rsidRPr="007C32AD">
        <w:rPr>
          <w:rFonts w:ascii="Times New Roman" w:hAnsi="Times New Roman" w:cs="Times New Roman"/>
          <w:b/>
          <w:sz w:val="20"/>
          <w:szCs w:val="20"/>
        </w:rPr>
        <w:t>ematology analysis</w:t>
      </w:r>
      <w:r>
        <w:rPr>
          <w:rFonts w:ascii="Times New Roman" w:hAnsi="Times New Roman" w:cs="Times New Roman"/>
          <w:b/>
          <w:sz w:val="20"/>
          <w:szCs w:val="20"/>
        </w:rPr>
        <w:t xml:space="preserve"> of human blood components after exposure to recombinant NAP protein in a human whole blood loop system. </w:t>
      </w:r>
      <w:r>
        <w:rPr>
          <w:rFonts w:ascii="Times New Roman" w:hAnsi="Times New Roman" w:cs="Times New Roman"/>
          <w:sz w:val="20"/>
          <w:szCs w:val="20"/>
        </w:rPr>
        <w:t xml:space="preserve">Freshly acquired whole blood was incubated with PBS, NAP proteins, Alemtuzumab or LPS in a circulation loop system. The final concentrations of the NAP proteins, Alemtuzumab and LPS were displayed in brackets in the figure. After 4h, blood samples were collected </w:t>
      </w:r>
      <w:r w:rsidRPr="009A55B3">
        <w:rPr>
          <w:rFonts w:ascii="Times New Roman" w:hAnsi="Times New Roman" w:cs="Times New Roman"/>
          <w:sz w:val="20"/>
          <w:szCs w:val="20"/>
        </w:rPr>
        <w:t>analyzed for hematology parameters</w:t>
      </w:r>
      <w:r>
        <w:rPr>
          <w:rFonts w:ascii="Times New Roman" w:hAnsi="Times New Roman" w:cs="Times New Roman"/>
          <w:sz w:val="20"/>
          <w:szCs w:val="20"/>
        </w:rPr>
        <w:t>, including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) platelets, (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Pr="009A55B3">
        <w:rPr>
          <w:rFonts w:ascii="Times New Roman" w:hAnsi="Times New Roman" w:cs="Times New Roman"/>
          <w:sz w:val="20"/>
          <w:szCs w:val="20"/>
        </w:rPr>
        <w:t>white blood cell count WBC</w:t>
      </w:r>
      <w:r>
        <w:rPr>
          <w:rFonts w:ascii="Times New Roman" w:hAnsi="Times New Roman" w:cs="Times New Roman"/>
          <w:sz w:val="20"/>
          <w:szCs w:val="20"/>
        </w:rPr>
        <w:t>s,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) neutrophils,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>) monocytes,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>) lymphocytes, (</w:t>
      </w:r>
      <w:r w:rsidRPr="00C14554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>) eosinophil,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>) basophil and (</w:t>
      </w:r>
      <w:r w:rsidRPr="009A55B3">
        <w:rPr>
          <w:rFonts w:ascii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Pr="009A55B3">
        <w:rPr>
          <w:rFonts w:ascii="Times New Roman" w:hAnsi="Times New Roman" w:cs="Times New Roman"/>
          <w:sz w:val="20"/>
          <w:szCs w:val="20"/>
        </w:rPr>
        <w:t>red blood cell</w:t>
      </w:r>
      <w:r>
        <w:rPr>
          <w:rFonts w:ascii="Times New Roman" w:hAnsi="Times New Roman" w:cs="Times New Roman"/>
          <w:sz w:val="20"/>
          <w:szCs w:val="20"/>
        </w:rPr>
        <w:t xml:space="preserve"> RBCs.</w:t>
      </w:r>
    </w:p>
    <w:p w14:paraId="6F4F9FB4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29D"/>
    <w:rsid w:val="000C76F0"/>
    <w:rsid w:val="0066625B"/>
    <w:rsid w:val="0092229D"/>
    <w:rsid w:val="00B55919"/>
    <w:rsid w:val="00E8638D"/>
    <w:rsid w:val="00FD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8A32D"/>
  <w15:chartTrackingRefBased/>
  <w15:docId w15:val="{95E11842-3A3D-4D28-B214-5EAAAE00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29D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2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2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29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29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29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29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29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29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29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2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2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2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2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2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2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2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2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2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2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22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29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22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29D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22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29D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22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2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2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2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2024-09-25T11:31:00Z</dcterms:created>
  <dcterms:modified xsi:type="dcterms:W3CDTF">2024-09-25T11:31:00Z</dcterms:modified>
</cp:coreProperties>
</file>