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jc w:val="center"/>
        <w:rPr>
          <w:color w:val="auto"/>
        </w:rPr>
      </w:pPr>
      <w:r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hint="eastAsia" w:ascii="Times New Roman" w:hAnsi="Times New Roman"/>
          <w:b/>
          <w:sz w:val="24"/>
          <w:szCs w:val="24"/>
          <w:lang w:val="en-US" w:eastAsia="zh-CN"/>
        </w:rPr>
        <w:t>S</w:t>
      </w:r>
      <w:r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color w:val="auto"/>
        </w:rPr>
        <w:t>Methylation of</w:t>
      </w:r>
      <w:r>
        <w:rPr>
          <w:i/>
          <w:iCs/>
          <w:color w:val="auto"/>
        </w:rPr>
        <w:t xml:space="preserve"> </w:t>
      </w:r>
      <w:r>
        <w:rPr>
          <w:rFonts w:hint="eastAsia"/>
          <w:i/>
          <w:iCs/>
          <w:color w:val="auto"/>
        </w:rPr>
        <w:t>R</w:t>
      </w:r>
      <w:r>
        <w:rPr>
          <w:i/>
          <w:iCs/>
          <w:color w:val="auto"/>
        </w:rPr>
        <w:t>BP7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color w:val="auto"/>
        </w:rPr>
        <w:t>in patients with</w:t>
      </w:r>
      <w:r>
        <w:rPr>
          <w:rFonts w:hint="eastAsia"/>
          <w:color w:val="auto"/>
          <w:lang w:val="en-US" w:eastAsia="zh-CN"/>
        </w:rPr>
        <w:t xml:space="preserve"> ER(</w:t>
      </w:r>
      <w:r>
        <w:rPr>
          <w:rFonts w:hint="eastAsia"/>
          <w:color w:val="auto"/>
          <w:vertAlign w:val="baseline"/>
          <w:lang w:val="en-US" w:eastAsia="zh-CN"/>
        </w:rPr>
        <w:t>-)</w:t>
      </w:r>
      <w:r>
        <w:rPr>
          <w:color w:val="auto"/>
        </w:rPr>
        <w:t>: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color w:val="auto"/>
        </w:rPr>
        <w:t xml:space="preserve">univariate and multivariate models </w:t>
      </w:r>
      <w:r>
        <w:rPr>
          <w:rFonts w:hint="eastAsia"/>
          <w:color w:val="auto"/>
        </w:rPr>
        <w:t xml:space="preserve">with </w:t>
      </w:r>
      <w:r>
        <w:rPr>
          <w:color w:val="auto"/>
        </w:rPr>
        <w:t xml:space="preserve">clinicopathological characteristics </w:t>
      </w:r>
    </w:p>
    <w:p>
      <w:pPr>
        <w:pStyle w:val="16"/>
        <w:jc w:val="center"/>
        <w:rPr>
          <w:color w:val="auto"/>
        </w:rPr>
      </w:pPr>
    </w:p>
    <w:tbl>
      <w:tblPr>
        <w:tblStyle w:val="5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2153"/>
        <w:gridCol w:w="892"/>
        <w:gridCol w:w="278"/>
        <w:gridCol w:w="2302"/>
        <w:gridCol w:w="892"/>
        <w:gridCol w:w="2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Characteristics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U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nivariate</w:t>
            </w:r>
          </w:p>
        </w:tc>
        <w:tc>
          <w:tcPr>
            <w:tcW w:w="284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Multivariate</w:t>
            </w:r>
          </w:p>
        </w:tc>
        <w:tc>
          <w:tcPr>
            <w:tcW w:w="236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OR* (95% CI)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P</w:t>
            </w:r>
          </w:p>
        </w:tc>
        <w:tc>
          <w:tcPr>
            <w:tcW w:w="284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OR* (95% CI)</w:t>
            </w:r>
          </w:p>
        </w:tc>
        <w:tc>
          <w:tcPr>
            <w:tcW w:w="81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P</w:t>
            </w: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PR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0.26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1.40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0.31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0.05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2.01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Her</w:t>
            </w:r>
            <w:r>
              <w:rPr>
                <w:rFonts w:ascii="Times New Roman" w:hAnsi="Times New Roman"/>
                <w:color w:val="auto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7.50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2.55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22.11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&lt;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001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9.61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2.76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22.51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&lt;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001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LNM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0.75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29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1.92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40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12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1.29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Radiotherapy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ind w:firstLine="240" w:firstLineChars="10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65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22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1.88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3.13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73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13.47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Survival status</w:t>
            </w:r>
          </w:p>
        </w:tc>
        <w:tc>
          <w:tcPr>
            <w:tcW w:w="223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3.33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1.13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9.83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28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5.13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1.24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21.21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</w:tbl>
    <w:p>
      <w:pPr>
        <w:rPr>
          <w:color w:val="auto"/>
          <w:sz w:val="24"/>
          <w:szCs w:val="24"/>
        </w:rPr>
      </w:pPr>
    </w:p>
    <w:p>
      <w:pPr>
        <w:pStyle w:val="16"/>
        <w:ind w:left="420" w:leftChars="200"/>
        <w:jc w:val="left"/>
        <w:rPr>
          <w:color w:val="C00000"/>
        </w:rPr>
      </w:pPr>
      <w:r>
        <w:rPr>
          <w:color w:val="auto"/>
        </w:rPr>
        <w:t xml:space="preserve">*OR: odds ratio with 95% confidence interval; Survival status (alive </w:t>
      </w:r>
      <w:r>
        <w:rPr>
          <w:i/>
          <w:color w:val="auto"/>
        </w:rPr>
        <w:t>vs</w:t>
      </w:r>
      <w:r>
        <w:rPr>
          <w:color w:val="auto"/>
        </w:rPr>
        <w:t xml:space="preserve">. dead). </w:t>
      </w:r>
    </w:p>
    <w:p>
      <w:pPr>
        <w:rPr>
          <w:color w:val="C00000"/>
        </w:rPr>
      </w:pPr>
      <w:r>
        <w:rPr>
          <w:color w:val="C00000"/>
        </w:rPr>
        <w:br w:type="page"/>
      </w:r>
    </w:p>
    <w:p>
      <w:pPr>
        <w:pStyle w:val="16"/>
        <w:jc w:val="center"/>
        <w:rPr>
          <w:color w:val="auto"/>
        </w:rPr>
      </w:pPr>
      <w:r>
        <w:rPr>
          <w:rFonts w:hint="eastAsia"/>
          <w:b/>
          <w:color w:val="auto"/>
        </w:rPr>
        <w:t xml:space="preserve">Table </w:t>
      </w:r>
      <w:r>
        <w:rPr>
          <w:rFonts w:hint="eastAsia"/>
          <w:b/>
          <w:color w:val="auto"/>
          <w:lang w:val="en-US" w:eastAsia="zh-CN"/>
        </w:rPr>
        <w:t>S2</w:t>
      </w:r>
      <w:r>
        <w:rPr>
          <w:rFonts w:hint="eastAsia"/>
          <w:b/>
          <w:color w:val="auto"/>
        </w:rPr>
        <w:t>: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Methylation of</w:t>
      </w:r>
      <w:r>
        <w:rPr>
          <w:i/>
          <w:iCs/>
          <w:color w:val="auto"/>
        </w:rPr>
        <w:t xml:space="preserve"> </w:t>
      </w:r>
      <w:r>
        <w:rPr>
          <w:rFonts w:hint="eastAsia"/>
          <w:i/>
          <w:iCs/>
          <w:color w:val="auto"/>
        </w:rPr>
        <w:t>R</w:t>
      </w:r>
      <w:r>
        <w:rPr>
          <w:i/>
          <w:iCs/>
          <w:color w:val="auto"/>
        </w:rPr>
        <w:t>BP7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color w:val="auto"/>
        </w:rPr>
        <w:t>in patients with</w:t>
      </w:r>
      <w:r>
        <w:rPr>
          <w:rFonts w:hint="eastAsia"/>
          <w:color w:val="auto"/>
          <w:lang w:val="en-US" w:eastAsia="zh-CN"/>
        </w:rPr>
        <w:t xml:space="preserve"> PR(</w:t>
      </w:r>
      <w:r>
        <w:rPr>
          <w:rFonts w:hint="eastAsia"/>
          <w:color w:val="auto"/>
          <w:vertAlign w:val="baseline"/>
          <w:lang w:val="en-US" w:eastAsia="zh-CN"/>
        </w:rPr>
        <w:t>-)</w:t>
      </w:r>
      <w:r>
        <w:rPr>
          <w:color w:val="auto"/>
        </w:rPr>
        <w:t>: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color w:val="auto"/>
        </w:rPr>
        <w:t xml:space="preserve">univariate and multivariate models </w:t>
      </w:r>
      <w:r>
        <w:rPr>
          <w:rFonts w:hint="eastAsia"/>
          <w:color w:val="auto"/>
        </w:rPr>
        <w:t xml:space="preserve">with </w:t>
      </w:r>
      <w:r>
        <w:rPr>
          <w:color w:val="auto"/>
        </w:rPr>
        <w:t xml:space="preserve">clinicopathological characteristics </w:t>
      </w:r>
    </w:p>
    <w:p>
      <w:pPr>
        <w:pStyle w:val="16"/>
        <w:jc w:val="center"/>
        <w:rPr>
          <w:color w:val="auto"/>
        </w:rPr>
      </w:pPr>
    </w:p>
    <w:tbl>
      <w:tblPr>
        <w:tblStyle w:val="5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2233"/>
        <w:gridCol w:w="756"/>
        <w:gridCol w:w="284"/>
        <w:gridCol w:w="2397"/>
        <w:gridCol w:w="816"/>
        <w:gridCol w:w="2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Characteristics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U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nivariate</w:t>
            </w:r>
          </w:p>
        </w:tc>
        <w:tc>
          <w:tcPr>
            <w:tcW w:w="284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Multivariate</w:t>
            </w:r>
          </w:p>
        </w:tc>
        <w:tc>
          <w:tcPr>
            <w:tcW w:w="236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17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OR* (95% CI)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P</w:t>
            </w:r>
          </w:p>
        </w:tc>
        <w:tc>
          <w:tcPr>
            <w:tcW w:w="284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OR* (95% CI)</w:t>
            </w:r>
          </w:p>
        </w:tc>
        <w:tc>
          <w:tcPr>
            <w:tcW w:w="81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P</w:t>
            </w: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177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ER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3.16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96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10.44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06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7.58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1.66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34.59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009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Her</w:t>
            </w:r>
            <w:r>
              <w:rPr>
                <w:rFonts w:ascii="Times New Roman" w:hAnsi="Times New Roman"/>
                <w:color w:val="auto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5.03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1.79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14.09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002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8.64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2.46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30.31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001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LNM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0.68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28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1.65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17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1.11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07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Radiotherapy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ind w:firstLine="240" w:firstLineChars="10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1.37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51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3.66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4.86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1.25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18.81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177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Survival status</w:t>
            </w:r>
          </w:p>
        </w:tc>
        <w:tc>
          <w:tcPr>
            <w:tcW w:w="223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3.75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1.140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12.29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28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7.79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1.83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33.20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005</w:t>
            </w: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</w:tbl>
    <w:p>
      <w:pPr>
        <w:rPr>
          <w:color w:val="auto"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/>
          <w:color w:val="C00000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*OR: odds ratio with 95% confidence interval; Survival status (alive vs. dead).</w:t>
      </w:r>
    </w:p>
    <w:p>
      <w:pPr>
        <w:pStyle w:val="16"/>
        <w:jc w:val="center"/>
        <w:rPr>
          <w:rFonts w:hint="eastAsia"/>
          <w:b/>
          <w:color w:val="C00000"/>
        </w:rPr>
      </w:pPr>
    </w:p>
    <w:p>
      <w:pPr>
        <w:rPr>
          <w:rFonts w:hint="eastAsia"/>
          <w:b/>
          <w:color w:val="C00000"/>
        </w:rPr>
      </w:pPr>
      <w:r>
        <w:rPr>
          <w:rFonts w:hint="eastAsia"/>
          <w:b/>
          <w:color w:val="C00000"/>
        </w:rPr>
        <w:br w:type="page"/>
      </w:r>
    </w:p>
    <w:p>
      <w:pPr>
        <w:pStyle w:val="16"/>
        <w:jc w:val="center"/>
        <w:rPr>
          <w:color w:val="auto"/>
        </w:rPr>
      </w:pPr>
      <w:r>
        <w:rPr>
          <w:rFonts w:hint="eastAsia"/>
          <w:b/>
          <w:color w:val="auto"/>
        </w:rPr>
        <w:t xml:space="preserve">Table </w:t>
      </w:r>
      <w:r>
        <w:rPr>
          <w:rFonts w:hint="eastAsia"/>
          <w:b/>
          <w:color w:val="auto"/>
          <w:lang w:val="en-US" w:eastAsia="zh-CN"/>
        </w:rPr>
        <w:t>S3</w:t>
      </w:r>
      <w:r>
        <w:rPr>
          <w:rFonts w:hint="eastAsia"/>
          <w:b/>
          <w:color w:val="auto"/>
        </w:rPr>
        <w:t>: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 xml:space="preserve">Methylation of </w:t>
      </w:r>
      <w:r>
        <w:rPr>
          <w:rFonts w:hint="eastAsia"/>
          <w:i/>
          <w:iCs/>
          <w:color w:val="auto"/>
        </w:rPr>
        <w:t>R</w:t>
      </w:r>
      <w:r>
        <w:rPr>
          <w:i/>
          <w:iCs/>
          <w:color w:val="auto"/>
        </w:rPr>
        <w:t>BP7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color w:val="auto"/>
        </w:rPr>
        <w:t>in patients with</w:t>
      </w:r>
      <w:r>
        <w:rPr>
          <w:rFonts w:hint="eastAsia"/>
          <w:color w:val="auto"/>
          <w:lang w:val="en-US" w:eastAsia="zh-CN"/>
        </w:rPr>
        <w:t xml:space="preserve"> Her</w:t>
      </w:r>
      <w:r>
        <w:rPr>
          <w:rFonts w:hint="eastAsia"/>
          <w:color w:val="auto"/>
          <w:vertAlign w:val="superscript"/>
          <w:lang w:val="en-US" w:eastAsia="zh-CN"/>
        </w:rPr>
        <w:t>2</w:t>
      </w:r>
      <w:r>
        <w:rPr>
          <w:rFonts w:hint="eastAsia"/>
          <w:color w:val="auto"/>
          <w:lang w:val="en-US" w:eastAsia="zh-CN"/>
        </w:rPr>
        <w:t>(</w:t>
      </w:r>
      <w:r>
        <w:rPr>
          <w:rFonts w:hint="eastAsia"/>
          <w:color w:val="auto"/>
          <w:vertAlign w:val="baseline"/>
          <w:lang w:val="en-US" w:eastAsia="zh-CN"/>
        </w:rPr>
        <w:t>-)</w:t>
      </w:r>
      <w:r>
        <w:rPr>
          <w:color w:val="auto"/>
        </w:rPr>
        <w:t>: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color w:val="auto"/>
        </w:rPr>
        <w:t xml:space="preserve">univariate and multivariate models </w:t>
      </w:r>
      <w:r>
        <w:rPr>
          <w:rFonts w:hint="eastAsia"/>
          <w:color w:val="auto"/>
        </w:rPr>
        <w:t xml:space="preserve">with </w:t>
      </w:r>
      <w:r>
        <w:rPr>
          <w:color w:val="auto"/>
        </w:rPr>
        <w:t xml:space="preserve">clinicopathological characteristics </w:t>
      </w:r>
    </w:p>
    <w:p>
      <w:pPr>
        <w:pStyle w:val="16"/>
        <w:jc w:val="center"/>
        <w:rPr>
          <w:color w:val="auto"/>
        </w:rPr>
      </w:pPr>
    </w:p>
    <w:tbl>
      <w:tblPr>
        <w:tblStyle w:val="5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2233"/>
        <w:gridCol w:w="756"/>
        <w:gridCol w:w="284"/>
        <w:gridCol w:w="2397"/>
        <w:gridCol w:w="816"/>
        <w:gridCol w:w="2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Characteristics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U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nivariate</w:t>
            </w:r>
          </w:p>
        </w:tc>
        <w:tc>
          <w:tcPr>
            <w:tcW w:w="284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Multivariate</w:t>
            </w:r>
          </w:p>
        </w:tc>
        <w:tc>
          <w:tcPr>
            <w:tcW w:w="236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OR* (95% CI)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P</w:t>
            </w:r>
          </w:p>
        </w:tc>
        <w:tc>
          <w:tcPr>
            <w:tcW w:w="284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OR* (95% CI)</w:t>
            </w:r>
          </w:p>
        </w:tc>
        <w:tc>
          <w:tcPr>
            <w:tcW w:w="81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P</w:t>
            </w: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ER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3.06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1.48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6.34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003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11.31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2.85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44.79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001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PR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1.40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0.71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2.75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0.33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0.33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0.09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1.15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08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LNM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0.50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0.97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0.04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0.37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0.82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Radiotherapy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ind w:firstLine="240" w:firstLineChars="10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1.61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72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3.60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4.48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1.52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13.21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007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Survival status</w:t>
            </w:r>
          </w:p>
        </w:tc>
        <w:tc>
          <w:tcPr>
            <w:tcW w:w="223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2.67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98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7.26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06</w:t>
            </w:r>
          </w:p>
        </w:tc>
        <w:tc>
          <w:tcPr>
            <w:tcW w:w="28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7.16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2.00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25.40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002</w:t>
            </w: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</w:tbl>
    <w:p>
      <w:pPr>
        <w:rPr>
          <w:color w:val="auto"/>
          <w:sz w:val="24"/>
          <w:szCs w:val="24"/>
        </w:rPr>
      </w:pPr>
    </w:p>
    <w:p>
      <w:pPr>
        <w:pStyle w:val="16"/>
        <w:ind w:left="420" w:leftChars="200"/>
        <w:jc w:val="left"/>
        <w:rPr>
          <w:color w:val="auto"/>
        </w:rPr>
      </w:pPr>
      <w:r>
        <w:rPr>
          <w:color w:val="auto"/>
        </w:rPr>
        <w:t xml:space="preserve">*OR: odds ratio with 95% confidence interval; Survival status (alive </w:t>
      </w:r>
      <w:r>
        <w:rPr>
          <w:i/>
          <w:color w:val="auto"/>
        </w:rPr>
        <w:t>vs</w:t>
      </w:r>
      <w:r>
        <w:rPr>
          <w:color w:val="auto"/>
        </w:rPr>
        <w:t>. dead).</w:t>
      </w:r>
    </w:p>
    <w:p>
      <w:pPr>
        <w:pStyle w:val="16"/>
        <w:ind w:left="420" w:leftChars="200"/>
        <w:jc w:val="left"/>
        <w:rPr>
          <w:color w:val="C00000"/>
        </w:rPr>
      </w:pPr>
    </w:p>
    <w:p>
      <w:pPr>
        <w:rPr>
          <w:rFonts w:hint="eastAsia"/>
          <w:b/>
          <w:color w:val="C00000"/>
        </w:rPr>
      </w:pPr>
      <w:r>
        <w:rPr>
          <w:rFonts w:hint="eastAsia"/>
          <w:b/>
          <w:color w:val="C00000"/>
        </w:rPr>
        <w:br w:type="page"/>
      </w:r>
    </w:p>
    <w:p>
      <w:pPr>
        <w:spacing w:after="120" w:afterLines="50" w:line="360" w:lineRule="auto"/>
        <w:jc w:val="center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color w:val="auto"/>
          <w:kern w:val="2"/>
          <w:sz w:val="24"/>
          <w:szCs w:val="24"/>
          <w:lang w:val="en-US" w:eastAsia="zh-CN" w:bidi="ar-SA"/>
        </w:rPr>
        <w:t xml:space="preserve">Table </w:t>
      </w:r>
      <w:r>
        <w:rPr>
          <w:rFonts w:hint="eastAsia" w:ascii="Times New Roman" w:hAnsi="Times New Roman" w:cs="Times New Roman"/>
          <w:b/>
          <w:color w:val="auto"/>
          <w:kern w:val="2"/>
          <w:sz w:val="24"/>
          <w:szCs w:val="24"/>
          <w:lang w:val="en-US" w:eastAsia="zh-CN" w:bidi="ar-SA"/>
        </w:rPr>
        <w:t>S4</w:t>
      </w:r>
      <w:r>
        <w:rPr>
          <w:rFonts w:hint="eastAsia" w:ascii="Times New Roman" w:hAnsi="Times New Roman" w:eastAsia="宋体" w:cs="Times New Roman"/>
          <w:b/>
          <w:color w:val="auto"/>
          <w:kern w:val="2"/>
          <w:sz w:val="24"/>
          <w:szCs w:val="24"/>
          <w:lang w:val="en-US" w:eastAsia="zh-CN" w:bidi="ar-SA"/>
        </w:rPr>
        <w:t xml:space="preserve">: </w:t>
      </w:r>
      <w:r>
        <w:rPr>
          <w:rFonts w:ascii="Times New Roman" w:hAnsi="Times New Roman"/>
          <w:bCs/>
          <w:color w:val="auto"/>
          <w:sz w:val="24"/>
          <w:szCs w:val="24"/>
        </w:rPr>
        <w:t>Prognostic value of clinicopathological factors and methylation of RBP7</w:t>
      </w:r>
      <w:r>
        <w:rPr>
          <w:rFonts w:hint="eastAsia" w:ascii="Times New Roman" w:hAnsi="Times New Roman"/>
          <w:bCs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/>
          <w:bCs/>
          <w:color w:val="auto"/>
          <w:sz w:val="24"/>
          <w:szCs w:val="24"/>
        </w:rPr>
        <w:t>with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 ER</w:t>
      </w:r>
      <w:r>
        <w:rPr>
          <w:rFonts w:hint="eastAsia" w:ascii="Times New Roman" w:hAnsi="Times New Roman"/>
          <w:bCs/>
          <w:color w:val="auto"/>
          <w:sz w:val="24"/>
          <w:szCs w:val="24"/>
          <w:vertAlign w:val="baseline"/>
          <w:lang w:val="en-US" w:eastAsia="zh-CN"/>
        </w:rPr>
        <w:t>(-)</w:t>
      </w:r>
      <w:r>
        <w:rPr>
          <w:rFonts w:hint="eastAsia" w:ascii="Times New Roman" w:hAnsi="Times New Roman"/>
          <w:bCs/>
          <w:color w:val="auto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ascii="Times New Roman" w:hAnsi="Times New Roman"/>
          <w:bCs/>
          <w:color w:val="auto"/>
          <w:sz w:val="24"/>
          <w:szCs w:val="24"/>
        </w:rPr>
        <w:t>using univariate</w:t>
      </w:r>
      <w:r>
        <w:rPr>
          <w:rFonts w:hint="eastAsia" w:ascii="Times New Roman" w:hAnsi="Times New Roman"/>
          <w:bCs/>
          <w:color w:val="auto"/>
          <w:sz w:val="24"/>
          <w:szCs w:val="24"/>
          <w:lang w:val="en-US" w:eastAsia="zh-CN"/>
        </w:rPr>
        <w:t xml:space="preserve"> and </w:t>
      </w:r>
      <w:r>
        <w:rPr>
          <w:rFonts w:ascii="Times New Roman" w:hAnsi="Times New Roman"/>
          <w:bCs/>
          <w:color w:val="auto"/>
          <w:sz w:val="24"/>
          <w:szCs w:val="24"/>
        </w:rPr>
        <w:t>multivariate Cox regression analysis</w:t>
      </w:r>
    </w:p>
    <w:tbl>
      <w:tblPr>
        <w:tblStyle w:val="5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2233"/>
        <w:gridCol w:w="756"/>
        <w:gridCol w:w="284"/>
        <w:gridCol w:w="2397"/>
        <w:gridCol w:w="816"/>
        <w:gridCol w:w="2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Characteristics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U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nivariate</w:t>
            </w:r>
          </w:p>
        </w:tc>
        <w:tc>
          <w:tcPr>
            <w:tcW w:w="284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Multivariate</w:t>
            </w:r>
          </w:p>
        </w:tc>
        <w:tc>
          <w:tcPr>
            <w:tcW w:w="236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H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R* (95% CI)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P</w:t>
            </w:r>
          </w:p>
        </w:tc>
        <w:tc>
          <w:tcPr>
            <w:tcW w:w="284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H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R* (95% CI)</w:t>
            </w:r>
          </w:p>
        </w:tc>
        <w:tc>
          <w:tcPr>
            <w:tcW w:w="81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P</w:t>
            </w: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i/>
                <w:iCs/>
                <w:color w:val="auto"/>
                <w:sz w:val="24"/>
                <w:szCs w:val="24"/>
              </w:rPr>
              <w:t>R</w:t>
            </w:r>
            <w:r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BP7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methylation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9.24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2.12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40.35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003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17.79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3.15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100.57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001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PR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0.62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0.15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2.69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0.53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0.76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0.16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3.05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Her</w:t>
            </w:r>
            <w:r>
              <w:rPr>
                <w:rFonts w:ascii="Times New Roman" w:hAnsi="Times New Roman"/>
                <w:color w:val="auto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3.01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1.24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7.30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0.02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0.57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0.18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1.79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LNM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3.31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1.12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9.80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0.03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7.15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2.31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22.15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001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Radiotherapy</w:t>
            </w:r>
          </w:p>
        </w:tc>
        <w:tc>
          <w:tcPr>
            <w:tcW w:w="223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0.02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1.56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08</w:t>
            </w:r>
          </w:p>
        </w:tc>
        <w:tc>
          <w:tcPr>
            <w:tcW w:w="28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na</w:t>
            </w:r>
          </w:p>
        </w:tc>
        <w:tc>
          <w:tcPr>
            <w:tcW w:w="81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na</w:t>
            </w: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</w:tbl>
    <w:p>
      <w:pPr>
        <w:jc w:val="left"/>
        <w:rPr>
          <w:rFonts w:ascii="Times New Roman" w:hAnsi="Times New Roman"/>
          <w:color w:val="auto"/>
          <w:sz w:val="24"/>
          <w:szCs w:val="24"/>
        </w:rPr>
      </w:pPr>
    </w:p>
    <w:p>
      <w:pPr>
        <w:pStyle w:val="16"/>
        <w:jc w:val="center"/>
        <w:rPr>
          <w:color w:val="auto"/>
        </w:rPr>
      </w:pPr>
      <w:r>
        <w:rPr>
          <w:color w:val="auto"/>
        </w:rPr>
        <w:t>*HR: hazard ratio with 95% confidence interval (CI)</w:t>
      </w:r>
    </w:p>
    <w:p>
      <w:pPr>
        <w:jc w:val="center"/>
        <w:rPr>
          <w:rFonts w:ascii="Times New Roman" w:hAnsi="Times New Roman"/>
          <w:b/>
          <w:color w:val="auto"/>
          <w:sz w:val="24"/>
          <w:szCs w:val="24"/>
        </w:rPr>
        <w:sectPr>
          <w:footerReference r:id="rId3" w:type="default"/>
          <w:type w:val="continuous"/>
          <w:pgSz w:w="11906" w:h="16838"/>
          <w:pgMar w:top="1440" w:right="1797" w:bottom="1440" w:left="1797" w:header="851" w:footer="992" w:gutter="0"/>
          <w:cols w:space="425" w:num="1"/>
          <w:docGrid w:linePitch="312" w:charSpace="0"/>
        </w:sect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rPr>
          <w:color w:val="C00000"/>
          <w:sz w:val="24"/>
          <w:szCs w:val="24"/>
        </w:rPr>
      </w:pPr>
    </w:p>
    <w:p>
      <w:pPr>
        <w:spacing w:after="120" w:afterLines="50" w:line="360" w:lineRule="auto"/>
        <w:jc w:val="center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Table </w:t>
      </w:r>
      <w:r>
        <w:rPr>
          <w:rFonts w:hint="eastAsia" w:ascii="Times New Roman" w:hAnsi="Times New Roman"/>
          <w:b/>
          <w:color w:val="auto"/>
          <w:sz w:val="24"/>
          <w:szCs w:val="24"/>
          <w:lang w:val="en-US" w:eastAsia="zh-CN"/>
        </w:rPr>
        <w:t>S5</w:t>
      </w:r>
      <w:r>
        <w:rPr>
          <w:rFonts w:ascii="Times New Roman" w:hAnsi="Times New Roman"/>
          <w:b/>
          <w:color w:val="auto"/>
          <w:sz w:val="24"/>
          <w:szCs w:val="24"/>
        </w:rPr>
        <w:t>:</w:t>
      </w:r>
      <w:r>
        <w:rPr>
          <w:rFonts w:ascii="Times New Roman" w:hAnsi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auto"/>
          <w:sz w:val="24"/>
          <w:szCs w:val="24"/>
        </w:rPr>
        <w:t>Prognostic value of clinicopathological factors and methylation of RBP7</w:t>
      </w:r>
      <w:r>
        <w:rPr>
          <w:rFonts w:hint="eastAsia" w:ascii="Times New Roman" w:hAnsi="Times New Roman"/>
          <w:bCs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/>
          <w:bCs/>
          <w:color w:val="auto"/>
          <w:sz w:val="24"/>
          <w:szCs w:val="24"/>
        </w:rPr>
        <w:t>with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/>
          <w:bCs/>
          <w:color w:val="auto"/>
          <w:sz w:val="24"/>
          <w:szCs w:val="24"/>
          <w:lang w:val="en-US" w:eastAsia="zh-CN"/>
        </w:rPr>
        <w:t>P</w:t>
      </w:r>
      <w:r>
        <w:rPr>
          <w:rFonts w:ascii="Times New Roman" w:hAnsi="Times New Roman"/>
          <w:bCs/>
          <w:color w:val="auto"/>
          <w:sz w:val="24"/>
          <w:szCs w:val="24"/>
        </w:rPr>
        <w:t>R</w:t>
      </w:r>
      <w:r>
        <w:rPr>
          <w:rFonts w:hint="eastAsia" w:ascii="Times New Roman" w:hAnsi="Times New Roman"/>
          <w:bCs/>
          <w:color w:val="auto"/>
          <w:sz w:val="24"/>
          <w:szCs w:val="24"/>
          <w:vertAlign w:val="baseline"/>
          <w:lang w:val="en-US" w:eastAsia="zh-CN"/>
        </w:rPr>
        <w:t>(-)</w:t>
      </w:r>
      <w:r>
        <w:rPr>
          <w:rFonts w:hint="eastAsia" w:ascii="Times New Roman" w:hAnsi="Times New Roman"/>
          <w:bCs/>
          <w:color w:val="auto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ascii="Times New Roman" w:hAnsi="Times New Roman"/>
          <w:bCs/>
          <w:color w:val="auto"/>
          <w:sz w:val="24"/>
          <w:szCs w:val="24"/>
        </w:rPr>
        <w:t>using univariate</w:t>
      </w:r>
      <w:r>
        <w:rPr>
          <w:rFonts w:hint="eastAsia" w:ascii="Times New Roman" w:hAnsi="Times New Roman"/>
          <w:bCs/>
          <w:color w:val="auto"/>
          <w:sz w:val="24"/>
          <w:szCs w:val="24"/>
          <w:lang w:val="en-US" w:eastAsia="zh-CN"/>
        </w:rPr>
        <w:t xml:space="preserve"> and </w:t>
      </w:r>
      <w:r>
        <w:rPr>
          <w:rFonts w:ascii="Times New Roman" w:hAnsi="Times New Roman"/>
          <w:bCs/>
          <w:color w:val="auto"/>
          <w:sz w:val="24"/>
          <w:szCs w:val="24"/>
        </w:rPr>
        <w:t>multivariate Cox regression analysis</w:t>
      </w:r>
    </w:p>
    <w:tbl>
      <w:tblPr>
        <w:tblStyle w:val="5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2233"/>
        <w:gridCol w:w="756"/>
        <w:gridCol w:w="284"/>
        <w:gridCol w:w="2397"/>
        <w:gridCol w:w="816"/>
        <w:gridCol w:w="2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Characteristics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U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nivariate</w:t>
            </w:r>
          </w:p>
        </w:tc>
        <w:tc>
          <w:tcPr>
            <w:tcW w:w="284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Multivariate</w:t>
            </w:r>
          </w:p>
        </w:tc>
        <w:tc>
          <w:tcPr>
            <w:tcW w:w="236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H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R* (95% CI)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P</w:t>
            </w:r>
          </w:p>
        </w:tc>
        <w:tc>
          <w:tcPr>
            <w:tcW w:w="284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H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R* (95% CI)</w:t>
            </w:r>
          </w:p>
        </w:tc>
        <w:tc>
          <w:tcPr>
            <w:tcW w:w="81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P</w:t>
            </w: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i/>
                <w:iCs/>
                <w:color w:val="auto"/>
                <w:sz w:val="24"/>
                <w:szCs w:val="24"/>
              </w:rPr>
              <w:t>R</w:t>
            </w:r>
            <w:r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BP7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methylation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7.23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1.67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31.30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008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15.09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3.00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75.87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001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E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R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0.32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0.07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1.35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0.12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0.24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0.05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1.12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07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Her</w:t>
            </w:r>
            <w:r>
              <w:rPr>
                <w:rFonts w:ascii="Times New Roman" w:hAnsi="Times New Roman"/>
                <w:color w:val="auto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2.76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1.16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6.53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0.02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0.68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0.23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2.00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LNM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3.83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1.29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11.33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0.02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7.17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2.30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22.39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001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Radiotherapy</w:t>
            </w:r>
          </w:p>
        </w:tc>
        <w:tc>
          <w:tcPr>
            <w:tcW w:w="223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0.24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1.03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06</w:t>
            </w:r>
          </w:p>
        </w:tc>
        <w:tc>
          <w:tcPr>
            <w:tcW w:w="28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0.12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0.02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0.58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009</w:t>
            </w: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</w:tbl>
    <w:p>
      <w:pPr>
        <w:jc w:val="left"/>
        <w:rPr>
          <w:rFonts w:ascii="Times New Roman" w:hAnsi="Times New Roman"/>
          <w:color w:val="auto"/>
          <w:sz w:val="24"/>
          <w:szCs w:val="24"/>
        </w:rPr>
      </w:pPr>
    </w:p>
    <w:p>
      <w:pPr>
        <w:spacing w:after="120" w:afterLines="50" w:line="360" w:lineRule="auto"/>
        <w:jc w:val="center"/>
        <w:rPr>
          <w:rFonts w:ascii="Times New Roman" w:hAnsi="Times New Roman"/>
          <w:bCs/>
          <w:color w:val="C00000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*HR: hazard ratio with 95% confidence interval (CI)</w:t>
      </w:r>
    </w:p>
    <w:p>
      <w:pPr>
        <w:rPr>
          <w:color w:val="C00000"/>
        </w:rPr>
      </w:pPr>
    </w:p>
    <w:p>
      <w:pPr>
        <w:rPr>
          <w:color w:val="C00000"/>
        </w:rPr>
      </w:pPr>
      <w:r>
        <w:rPr>
          <w:color w:val="C00000"/>
        </w:rPr>
        <w:br w:type="page"/>
      </w:r>
    </w:p>
    <w:p>
      <w:pPr>
        <w:spacing w:after="120" w:afterLines="50" w:line="360" w:lineRule="auto"/>
        <w:jc w:val="center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Table </w:t>
      </w:r>
      <w:r>
        <w:rPr>
          <w:rFonts w:hint="eastAsia" w:ascii="Times New Roman" w:hAnsi="Times New Roman"/>
          <w:b/>
          <w:color w:val="auto"/>
          <w:sz w:val="24"/>
          <w:szCs w:val="24"/>
          <w:lang w:val="en-US" w:eastAsia="zh-CN"/>
        </w:rPr>
        <w:t>S6</w:t>
      </w:r>
      <w:bookmarkStart w:id="0" w:name="_GoBack"/>
      <w:bookmarkEnd w:id="0"/>
      <w:r>
        <w:rPr>
          <w:rFonts w:ascii="Times New Roman" w:hAnsi="Times New Roman"/>
          <w:b/>
          <w:color w:val="auto"/>
          <w:sz w:val="24"/>
          <w:szCs w:val="24"/>
        </w:rPr>
        <w:t>:</w:t>
      </w:r>
      <w:r>
        <w:rPr>
          <w:rFonts w:ascii="Times New Roman" w:hAnsi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auto"/>
          <w:sz w:val="24"/>
          <w:szCs w:val="24"/>
        </w:rPr>
        <w:t>Prognostic value of clinicopathological factors and methylation of RBP7</w:t>
      </w:r>
      <w:r>
        <w:rPr>
          <w:rFonts w:hint="eastAsia" w:ascii="Times New Roman" w:hAnsi="Times New Roman"/>
          <w:bCs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/>
          <w:bCs/>
          <w:color w:val="auto"/>
          <w:sz w:val="24"/>
          <w:szCs w:val="24"/>
        </w:rPr>
        <w:t>with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/>
          <w:bCs/>
          <w:color w:val="auto"/>
          <w:sz w:val="24"/>
          <w:szCs w:val="24"/>
          <w:lang w:val="en-US" w:eastAsia="zh-CN"/>
        </w:rPr>
        <w:t>Her</w:t>
      </w:r>
      <w:r>
        <w:rPr>
          <w:rFonts w:hint="eastAsia" w:ascii="Times New Roman" w:hAnsi="Times New Roman"/>
          <w:bCs/>
          <w:color w:val="auto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/>
          <w:bCs/>
          <w:color w:val="auto"/>
          <w:sz w:val="24"/>
          <w:szCs w:val="24"/>
          <w:vertAlign w:val="baseline"/>
          <w:lang w:val="en-US" w:eastAsia="zh-CN"/>
        </w:rPr>
        <w:t>(-)</w:t>
      </w:r>
      <w:r>
        <w:rPr>
          <w:rFonts w:hint="eastAsia" w:ascii="Times New Roman" w:hAnsi="Times New Roman"/>
          <w:bCs/>
          <w:color w:val="auto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ascii="Times New Roman" w:hAnsi="Times New Roman"/>
          <w:bCs/>
          <w:color w:val="auto"/>
          <w:sz w:val="24"/>
          <w:szCs w:val="24"/>
        </w:rPr>
        <w:t>using univariate</w:t>
      </w:r>
      <w:r>
        <w:rPr>
          <w:rFonts w:hint="eastAsia" w:ascii="Times New Roman" w:hAnsi="Times New Roman"/>
          <w:bCs/>
          <w:color w:val="auto"/>
          <w:sz w:val="24"/>
          <w:szCs w:val="24"/>
          <w:lang w:val="en-US" w:eastAsia="zh-CN"/>
        </w:rPr>
        <w:t xml:space="preserve"> and </w:t>
      </w:r>
      <w:r>
        <w:rPr>
          <w:rFonts w:ascii="Times New Roman" w:hAnsi="Times New Roman"/>
          <w:bCs/>
          <w:color w:val="auto"/>
          <w:sz w:val="24"/>
          <w:szCs w:val="24"/>
        </w:rPr>
        <w:t>multivariate Cox regression analysis</w:t>
      </w:r>
    </w:p>
    <w:tbl>
      <w:tblPr>
        <w:tblStyle w:val="5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2233"/>
        <w:gridCol w:w="709"/>
        <w:gridCol w:w="284"/>
        <w:gridCol w:w="2397"/>
        <w:gridCol w:w="816"/>
        <w:gridCol w:w="2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Characteristics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U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nivariate</w:t>
            </w:r>
          </w:p>
        </w:tc>
        <w:tc>
          <w:tcPr>
            <w:tcW w:w="284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1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Multivariate</w:t>
            </w:r>
          </w:p>
        </w:tc>
        <w:tc>
          <w:tcPr>
            <w:tcW w:w="236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H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R* (95% CI)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P</w:t>
            </w:r>
          </w:p>
        </w:tc>
        <w:tc>
          <w:tcPr>
            <w:tcW w:w="284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H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R* (95% CI)</w:t>
            </w:r>
          </w:p>
        </w:tc>
        <w:tc>
          <w:tcPr>
            <w:tcW w:w="81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auto"/>
                <w:sz w:val="24"/>
                <w:szCs w:val="24"/>
              </w:rPr>
              <w:t>P</w:t>
            </w: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i/>
                <w:iCs/>
                <w:color w:val="auto"/>
                <w:sz w:val="24"/>
                <w:szCs w:val="24"/>
              </w:rPr>
              <w:t>R</w:t>
            </w:r>
            <w:r>
              <w:rPr>
                <w:rFonts w:ascii="Times New Roman" w:hAnsi="Times New Roman"/>
                <w:i/>
                <w:iCs/>
                <w:color w:val="auto"/>
                <w:sz w:val="24"/>
                <w:szCs w:val="24"/>
              </w:rPr>
              <w:t>BP7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methylation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8.17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1.02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65.70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05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19.50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2.11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180.01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009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E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R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0.67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0.20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2.26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0.52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0.24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0.03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2.14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PR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0.82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0.25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2.70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0.74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1.30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0.22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7.55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vAlign w:val="top"/>
          </w:tcPr>
          <w:p>
            <w:pPr>
              <w:spacing w:before="120" w:beforeLines="50"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LNM</w:t>
            </w:r>
          </w:p>
        </w:tc>
        <w:tc>
          <w:tcPr>
            <w:tcW w:w="22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1.49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45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4.89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0.51</w:t>
            </w:r>
          </w:p>
        </w:tc>
        <w:tc>
          <w:tcPr>
            <w:tcW w:w="28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2.75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0.77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9.78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3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Radiotherapy</w:t>
            </w:r>
          </w:p>
        </w:tc>
        <w:tc>
          <w:tcPr>
            <w:tcW w:w="223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0.36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(0.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05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2.84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28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39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0.13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0.01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1.16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81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07</w:t>
            </w:r>
          </w:p>
        </w:tc>
        <w:tc>
          <w:tcPr>
            <w:tcW w:w="23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</w:tbl>
    <w:p>
      <w:pPr>
        <w:jc w:val="left"/>
        <w:rPr>
          <w:rFonts w:ascii="Times New Roman" w:hAnsi="Times New Roman"/>
          <w:color w:val="auto"/>
          <w:sz w:val="24"/>
          <w:szCs w:val="24"/>
        </w:rPr>
      </w:pPr>
    </w:p>
    <w:p>
      <w:pPr>
        <w:spacing w:after="120" w:afterLines="50" w:line="360" w:lineRule="auto"/>
        <w:jc w:val="center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*HR: hazard ratio with 95% confidence interval (CI)</w:t>
      </w:r>
    </w:p>
    <w:p>
      <w:pPr>
        <w:rPr>
          <w:color w:val="000000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sectPr>
      <w:footerReference r:id="rId4" w:type="default"/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IzNDk5YzcwMGRkNzMxYjQyNWU2NWViYTYxYTM0ZDcifQ=="/>
  </w:docVars>
  <w:rsids>
    <w:rsidRoot w:val="00B33C22"/>
    <w:rsid w:val="00002745"/>
    <w:rsid w:val="000B2AAD"/>
    <w:rsid w:val="000F65BA"/>
    <w:rsid w:val="00184CFE"/>
    <w:rsid w:val="00197802"/>
    <w:rsid w:val="001F4999"/>
    <w:rsid w:val="00206CD6"/>
    <w:rsid w:val="0026672E"/>
    <w:rsid w:val="002A2FDE"/>
    <w:rsid w:val="002A6C1C"/>
    <w:rsid w:val="002A7511"/>
    <w:rsid w:val="002C00F1"/>
    <w:rsid w:val="002F44F7"/>
    <w:rsid w:val="002F4C13"/>
    <w:rsid w:val="003354E3"/>
    <w:rsid w:val="0038451D"/>
    <w:rsid w:val="003B2D9A"/>
    <w:rsid w:val="003D3FA3"/>
    <w:rsid w:val="004012B0"/>
    <w:rsid w:val="0042237C"/>
    <w:rsid w:val="00452FCF"/>
    <w:rsid w:val="004615A3"/>
    <w:rsid w:val="004837FC"/>
    <w:rsid w:val="004A0CB3"/>
    <w:rsid w:val="004A1DA1"/>
    <w:rsid w:val="00512394"/>
    <w:rsid w:val="0051290D"/>
    <w:rsid w:val="005513D0"/>
    <w:rsid w:val="005756AD"/>
    <w:rsid w:val="00575F34"/>
    <w:rsid w:val="00587FB1"/>
    <w:rsid w:val="005C3CE6"/>
    <w:rsid w:val="005E714C"/>
    <w:rsid w:val="00602899"/>
    <w:rsid w:val="006053F6"/>
    <w:rsid w:val="006532B0"/>
    <w:rsid w:val="006E0A20"/>
    <w:rsid w:val="00701E09"/>
    <w:rsid w:val="00704871"/>
    <w:rsid w:val="00717B20"/>
    <w:rsid w:val="007250CD"/>
    <w:rsid w:val="00741BEA"/>
    <w:rsid w:val="00760627"/>
    <w:rsid w:val="00761A71"/>
    <w:rsid w:val="00761D88"/>
    <w:rsid w:val="007F25A8"/>
    <w:rsid w:val="0087419B"/>
    <w:rsid w:val="008A561C"/>
    <w:rsid w:val="008B3BF8"/>
    <w:rsid w:val="008B7CDA"/>
    <w:rsid w:val="008E4F5D"/>
    <w:rsid w:val="008E73A1"/>
    <w:rsid w:val="0090583D"/>
    <w:rsid w:val="00927FCC"/>
    <w:rsid w:val="009303F1"/>
    <w:rsid w:val="009D6477"/>
    <w:rsid w:val="009E6F11"/>
    <w:rsid w:val="00A13226"/>
    <w:rsid w:val="00A362D1"/>
    <w:rsid w:val="00A44865"/>
    <w:rsid w:val="00A56576"/>
    <w:rsid w:val="00A639CB"/>
    <w:rsid w:val="00A70FD8"/>
    <w:rsid w:val="00A97E33"/>
    <w:rsid w:val="00AA705E"/>
    <w:rsid w:val="00AB02C5"/>
    <w:rsid w:val="00AB397A"/>
    <w:rsid w:val="00AC267A"/>
    <w:rsid w:val="00B047E4"/>
    <w:rsid w:val="00B33C22"/>
    <w:rsid w:val="00BD67AC"/>
    <w:rsid w:val="00C0409C"/>
    <w:rsid w:val="00C22267"/>
    <w:rsid w:val="00C36220"/>
    <w:rsid w:val="00C574E9"/>
    <w:rsid w:val="00C84E21"/>
    <w:rsid w:val="00CD4DF7"/>
    <w:rsid w:val="00CE4058"/>
    <w:rsid w:val="00D37A77"/>
    <w:rsid w:val="00D44CF3"/>
    <w:rsid w:val="00D57881"/>
    <w:rsid w:val="00D96F3D"/>
    <w:rsid w:val="00DA2437"/>
    <w:rsid w:val="00DD772F"/>
    <w:rsid w:val="00DE70A1"/>
    <w:rsid w:val="00E445BA"/>
    <w:rsid w:val="00EC4B90"/>
    <w:rsid w:val="00ED03ED"/>
    <w:rsid w:val="00F0517D"/>
    <w:rsid w:val="00F35068"/>
    <w:rsid w:val="00FA02A6"/>
    <w:rsid w:val="00FC4514"/>
    <w:rsid w:val="00FE5D47"/>
    <w:rsid w:val="00FE7A09"/>
    <w:rsid w:val="00FF4A53"/>
    <w:rsid w:val="09360C5A"/>
    <w:rsid w:val="097B5D2D"/>
    <w:rsid w:val="0A8F5CA0"/>
    <w:rsid w:val="16473112"/>
    <w:rsid w:val="1C546117"/>
    <w:rsid w:val="244963C3"/>
    <w:rsid w:val="2B28481B"/>
    <w:rsid w:val="2E755089"/>
    <w:rsid w:val="2FBB0C69"/>
    <w:rsid w:val="326A403F"/>
    <w:rsid w:val="340B7731"/>
    <w:rsid w:val="35FE2C24"/>
    <w:rsid w:val="37CC1FF0"/>
    <w:rsid w:val="472202B7"/>
    <w:rsid w:val="49FF60E1"/>
    <w:rsid w:val="4B717473"/>
    <w:rsid w:val="4C2C14D0"/>
    <w:rsid w:val="4CE035DE"/>
    <w:rsid w:val="500763CA"/>
    <w:rsid w:val="544B7541"/>
    <w:rsid w:val="57AC7EB9"/>
    <w:rsid w:val="5813568F"/>
    <w:rsid w:val="58CC0219"/>
    <w:rsid w:val="63A30D8E"/>
    <w:rsid w:val="6ECE005B"/>
    <w:rsid w:val="72BB4421"/>
    <w:rsid w:val="75976E40"/>
    <w:rsid w:val="7B78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8"/>
    <w:qFormat/>
    <w:uiPriority w:val="0"/>
    <w:pPr>
      <w:spacing w:line="360" w:lineRule="auto"/>
    </w:pPr>
    <w:rPr>
      <w:rFonts w:ascii="Times New Roman" w:hAnsi="Times New Roman" w:eastAsia="仿宋_GB2312"/>
      <w:b/>
      <w:bCs/>
      <w:sz w:val="24"/>
      <w:szCs w:val="24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rPr>
      <w:rFonts w:ascii="Calibri" w:hAnsi="Calibri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8">
    <w:name w:val="Emphasis"/>
    <w:qFormat/>
    <w:uiPriority w:val="20"/>
    <w:rPr>
      <w:i/>
      <w:iCs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1"/>
    <w:basedOn w:val="7"/>
    <w:link w:val="3"/>
    <w:qFormat/>
    <w:uiPriority w:val="99"/>
    <w:rPr>
      <w:sz w:val="18"/>
      <w:szCs w:val="18"/>
    </w:rPr>
  </w:style>
  <w:style w:type="paragraph" w:customStyle="1" w:styleId="12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customStyle="1" w:styleId="13">
    <w:name w:val="apple-converted-space"/>
    <w:basedOn w:val="7"/>
    <w:qFormat/>
    <w:uiPriority w:val="0"/>
  </w:style>
  <w:style w:type="character" w:customStyle="1" w:styleId="14">
    <w:name w:val="highlight"/>
    <w:basedOn w:val="7"/>
    <w:qFormat/>
    <w:uiPriority w:val="0"/>
  </w:style>
  <w:style w:type="paragraph" w:customStyle="1" w:styleId="15">
    <w:name w:val="details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6">
    <w:name w:val="无间隔2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customStyle="1" w:styleId="17">
    <w:name w:val="ti"/>
    <w:qFormat/>
    <w:uiPriority w:val="0"/>
  </w:style>
  <w:style w:type="character" w:customStyle="1" w:styleId="18">
    <w:name w:val="正文文本 字符"/>
    <w:basedOn w:val="7"/>
    <w:link w:val="2"/>
    <w:qFormat/>
    <w:uiPriority w:val="0"/>
    <w:rPr>
      <w:rFonts w:ascii="Times New Roman" w:hAnsi="Times New Roman" w:eastAsia="仿宋_GB2312" w:cs="Times New Roman"/>
      <w:b/>
      <w:bCs/>
      <w:sz w:val="24"/>
      <w:szCs w:val="24"/>
    </w:rPr>
  </w:style>
  <w:style w:type="character" w:customStyle="1" w:styleId="19">
    <w:name w:val="search_results_data_body_gc"/>
    <w:basedOn w:val="7"/>
    <w:qFormat/>
    <w:uiPriority w:val="0"/>
  </w:style>
  <w:style w:type="character" w:customStyle="1" w:styleId="20">
    <w:name w:val="st1"/>
    <w:qFormat/>
    <w:uiPriority w:val="0"/>
  </w:style>
  <w:style w:type="character" w:customStyle="1" w:styleId="21">
    <w:name w:val="页脚 字符"/>
    <w:qFormat/>
    <w:uiPriority w:val="99"/>
  </w:style>
  <w:style w:type="character" w:customStyle="1" w:styleId="22">
    <w:name w:val="jrnl"/>
    <w:qFormat/>
    <w:uiPriority w:val="0"/>
  </w:style>
  <w:style w:type="character" w:customStyle="1" w:styleId="23">
    <w:name w:val="highlight2"/>
    <w:qFormat/>
    <w:uiPriority w:val="0"/>
  </w:style>
  <w:style w:type="character" w:customStyle="1" w:styleId="24">
    <w:name w:val="src1"/>
    <w:qFormat/>
    <w:uiPriority w:val="0"/>
  </w:style>
  <w:style w:type="paragraph" w:styleId="2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微软系统</Company>
  <Pages>10</Pages>
  <Words>756</Words>
  <Characters>4562</Characters>
  <Lines>36</Lines>
  <Paragraphs>10</Paragraphs>
  <TotalTime>681</TotalTime>
  <ScaleCrop>false</ScaleCrop>
  <LinksUpToDate>false</LinksUpToDate>
  <CharactersWithSpaces>5038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2019-08-05T12:32:00Z</dcterms:created>
  <dc:creator>微软用户</dc:creator>
  <cp:lastModifiedBy>曲</cp:lastModifiedBy>
  <dcterms:modified xsi:type="dcterms:W3CDTF">2023-06-19T11:09:27Z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6D3CD25AEFAF4BAAAB5301C1063ACC9E_12</vt:lpwstr>
  </property>
</Properties>
</file>