
<file path=[Content_Types].xml><?xml version="1.0" encoding="utf-8"?>
<Types xmlns="http://schemas.openxmlformats.org/package/2006/content-types">
  <Default Extension="bin" ContentType="application/vnd.openxmlformats-officedocument.oleObject"/>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31F25">
      <w:pPr>
        <w:rPr>
          <w:sz w:val="28"/>
          <w:szCs w:val="28"/>
        </w:rPr>
      </w:pPr>
      <w:r>
        <w:rPr>
          <w:sz w:val="28"/>
          <w:szCs w:val="28"/>
        </w:rPr>
        <w:t>Unlocking Pan-Cancer Detection with Phenyl-β-D-Glucuronide</w:t>
      </w:r>
      <w:r>
        <w:rPr>
          <w:rFonts w:hint="eastAsia"/>
          <w:sz w:val="28"/>
          <w:szCs w:val="28"/>
        </w:rPr>
        <w:t xml:space="preserve"> Like Exogenous Agent </w:t>
      </w:r>
      <w:r>
        <w:rPr>
          <w:sz w:val="28"/>
          <w:szCs w:val="28"/>
        </w:rPr>
        <w:t xml:space="preserve">and </w:t>
      </w:r>
      <w:r>
        <w:rPr>
          <w:rFonts w:hint="eastAsia"/>
          <w:sz w:val="28"/>
          <w:szCs w:val="28"/>
        </w:rPr>
        <w:t xml:space="preserve">Induced </w:t>
      </w:r>
      <w:r>
        <w:rPr>
          <w:sz w:val="28"/>
          <w:szCs w:val="28"/>
        </w:rPr>
        <w:t>Breath Analysis for Non-Invasive Early Discovery</w:t>
      </w:r>
    </w:p>
    <w:p w14:paraId="09367A44"/>
    <w:p w14:paraId="06F39B34">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sz w:val="28"/>
          <w:szCs w:val="28"/>
        </w:rPr>
      </w:pPr>
      <w:r>
        <w:rPr>
          <w:rFonts w:eastAsia="宋体"/>
          <w:sz w:val="28"/>
          <w:szCs w:val="28"/>
        </w:rPr>
        <w:t>C</w:t>
      </w:r>
      <w:r>
        <w:rPr>
          <w:rFonts w:hint="eastAsia" w:eastAsia="宋体"/>
          <w:sz w:val="28"/>
          <w:szCs w:val="28"/>
        </w:rPr>
        <w:t>ONTENTS</w:t>
      </w:r>
    </w:p>
    <w:p w14:paraId="7404AF9C">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rPr>
      </w:pPr>
      <w:r>
        <w:rPr>
          <w:rFonts w:eastAsia="宋体"/>
          <w:kern w:val="0"/>
        </w:rPr>
        <w:t xml:space="preserve">Supplementary </w:t>
      </w:r>
      <w:r>
        <w:rPr>
          <w:rFonts w:hint="eastAsia" w:eastAsia="宋体"/>
          <w:kern w:val="0"/>
        </w:rPr>
        <w:t>m</w:t>
      </w:r>
      <w:r>
        <w:rPr>
          <w:rFonts w:eastAsia="宋体"/>
          <w:kern w:val="0"/>
        </w:rPr>
        <w:t>ethods</w:t>
      </w:r>
    </w:p>
    <w:p w14:paraId="25E183FC">
      <w:pPr>
        <w:keepNext w:val="0"/>
        <w:keepLines w:val="0"/>
        <w:pageBreakBefore w:val="0"/>
        <w:widowControl w:val="0"/>
        <w:numPr>
          <w:ilvl w:val="0"/>
          <w:numId w:val="1"/>
        </w:numPr>
        <w:kinsoku/>
        <w:wordWrap/>
        <w:overflowPunct/>
        <w:topLinePunct w:val="0"/>
        <w:autoSpaceDE/>
        <w:autoSpaceDN/>
        <w:bidi w:val="0"/>
        <w:adjustRightInd/>
        <w:snapToGrid w:val="0"/>
        <w:spacing w:line="296" w:lineRule="auto"/>
        <w:ind w:left="0" w:firstLine="0"/>
        <w:textAlignment w:val="auto"/>
        <w:rPr>
          <w:rFonts w:eastAsia="宋体"/>
          <w:b w:val="0"/>
          <w:bCs w:val="0"/>
          <w:kern w:val="0"/>
        </w:rPr>
      </w:pPr>
      <w:r>
        <w:rPr>
          <w:rFonts w:hint="eastAsia" w:eastAsia="宋体"/>
          <w:b w:val="0"/>
          <w:bCs w:val="0"/>
          <w:kern w:val="0"/>
        </w:rPr>
        <w:t xml:space="preserve">Details of </w:t>
      </w:r>
      <w:r>
        <w:rPr>
          <w:rFonts w:eastAsia="宋体"/>
          <w:b w:val="0"/>
          <w:bCs w:val="0"/>
          <w:kern w:val="0"/>
        </w:rPr>
        <w:t>Mouse breath</w:t>
      </w:r>
      <w:r>
        <w:rPr>
          <w:rFonts w:hint="eastAsia" w:eastAsia="宋体"/>
          <w:b w:val="0"/>
          <w:bCs w:val="0"/>
          <w:kern w:val="0"/>
        </w:rPr>
        <w:t xml:space="preserve"> sample</w:t>
      </w:r>
      <w:r>
        <w:rPr>
          <w:rFonts w:eastAsia="宋体"/>
          <w:b w:val="0"/>
          <w:bCs w:val="0"/>
          <w:kern w:val="0"/>
        </w:rPr>
        <w:t xml:space="preserve"> extraction and collection</w:t>
      </w:r>
    </w:p>
    <w:p w14:paraId="649DEE63">
      <w:pPr>
        <w:keepNext w:val="0"/>
        <w:keepLines w:val="0"/>
        <w:pageBreakBefore w:val="0"/>
        <w:widowControl w:val="0"/>
        <w:numPr>
          <w:ilvl w:val="0"/>
          <w:numId w:val="1"/>
        </w:numPr>
        <w:kinsoku/>
        <w:wordWrap/>
        <w:overflowPunct/>
        <w:topLinePunct w:val="0"/>
        <w:autoSpaceDE/>
        <w:autoSpaceDN/>
        <w:bidi w:val="0"/>
        <w:adjustRightInd/>
        <w:snapToGrid w:val="0"/>
        <w:spacing w:line="296" w:lineRule="auto"/>
        <w:textAlignment w:val="auto"/>
        <w:rPr>
          <w:rFonts w:eastAsia="宋体"/>
          <w:b w:val="0"/>
          <w:bCs w:val="0"/>
          <w:kern w:val="0"/>
        </w:rPr>
      </w:pPr>
      <w:r>
        <w:rPr>
          <w:rFonts w:eastAsia="宋体"/>
          <w:b w:val="0"/>
          <w:bCs w:val="0"/>
          <w:kern w:val="0"/>
        </w:rPr>
        <w:t>Details of sensor fabrication and sample gas blending approaches</w:t>
      </w:r>
    </w:p>
    <w:p w14:paraId="5CBE7B8C">
      <w:pPr>
        <w:keepNext w:val="0"/>
        <w:keepLines w:val="0"/>
        <w:pageBreakBefore w:val="0"/>
        <w:widowControl w:val="0"/>
        <w:numPr>
          <w:ilvl w:val="0"/>
          <w:numId w:val="1"/>
        </w:numPr>
        <w:kinsoku/>
        <w:wordWrap/>
        <w:overflowPunct/>
        <w:topLinePunct w:val="0"/>
        <w:autoSpaceDE/>
        <w:autoSpaceDN/>
        <w:bidi w:val="0"/>
        <w:adjustRightInd/>
        <w:snapToGrid w:val="0"/>
        <w:spacing w:line="296" w:lineRule="auto"/>
        <w:textAlignment w:val="auto"/>
        <w:rPr>
          <w:rFonts w:eastAsia="宋体"/>
          <w:b w:val="0"/>
          <w:bCs w:val="0"/>
          <w:kern w:val="0"/>
        </w:rPr>
      </w:pPr>
      <w:r>
        <w:rPr>
          <w:rFonts w:eastAsia="宋体"/>
          <w:b w:val="0"/>
          <w:bCs w:val="0"/>
          <w:kern w:val="0"/>
        </w:rPr>
        <w:t>Pharmacokinetics</w:t>
      </w:r>
      <w:r>
        <w:rPr>
          <w:rFonts w:hint="eastAsia" w:eastAsia="宋体"/>
          <w:b w:val="0"/>
          <w:bCs w:val="0"/>
          <w:kern w:val="0"/>
        </w:rPr>
        <w:t xml:space="preserve"> analysis </w:t>
      </w:r>
      <w:r>
        <w:rPr>
          <w:rFonts w:eastAsia="宋体"/>
          <w:b w:val="0"/>
          <w:bCs w:val="0"/>
          <w:kern w:val="0"/>
        </w:rPr>
        <w:t xml:space="preserve">of </w:t>
      </w:r>
      <w:r>
        <w:rPr>
          <w:rFonts w:hint="eastAsia" w:eastAsia="宋体"/>
          <w:b w:val="0"/>
          <w:bCs w:val="0"/>
          <w:kern w:val="0"/>
        </w:rPr>
        <w:t>i</w:t>
      </w:r>
      <w:r>
        <w:rPr>
          <w:rFonts w:eastAsia="宋体"/>
          <w:b w:val="0"/>
          <w:bCs w:val="0"/>
          <w:kern w:val="0"/>
        </w:rPr>
        <w:t xml:space="preserve">n </w:t>
      </w:r>
      <w:r>
        <w:rPr>
          <w:rFonts w:hint="eastAsia" w:eastAsia="宋体"/>
          <w:b w:val="0"/>
          <w:bCs w:val="0"/>
          <w:kern w:val="0"/>
        </w:rPr>
        <w:t>v</w:t>
      </w:r>
      <w:r>
        <w:rPr>
          <w:rFonts w:eastAsia="宋体"/>
          <w:b w:val="0"/>
          <w:bCs w:val="0"/>
          <w:kern w:val="0"/>
        </w:rPr>
        <w:t xml:space="preserve">ivo </w:t>
      </w:r>
      <w:r>
        <w:rPr>
          <w:rFonts w:hint="eastAsia" w:eastAsia="宋体"/>
          <w:b w:val="0"/>
          <w:bCs w:val="0"/>
          <w:kern w:val="0"/>
        </w:rPr>
        <w:t>s</w:t>
      </w:r>
      <w:r>
        <w:rPr>
          <w:rFonts w:eastAsia="宋体"/>
          <w:b w:val="0"/>
          <w:bCs w:val="0"/>
          <w:kern w:val="0"/>
        </w:rPr>
        <w:t>amples by LCMS/MS</w:t>
      </w:r>
    </w:p>
    <w:p w14:paraId="13BEAA09">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rPr>
      </w:pPr>
    </w:p>
    <w:p w14:paraId="5D5A22A8">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rPr>
      </w:pPr>
      <w:r>
        <w:rPr>
          <w:rFonts w:eastAsia="宋体"/>
          <w:kern w:val="0"/>
        </w:rPr>
        <w:t xml:space="preserve">Supplementary </w:t>
      </w:r>
      <w:r>
        <w:rPr>
          <w:rFonts w:hint="eastAsia" w:eastAsia="宋体"/>
          <w:kern w:val="0"/>
        </w:rPr>
        <w:t>results</w:t>
      </w:r>
    </w:p>
    <w:p w14:paraId="1925C41F">
      <w:pPr>
        <w:keepNext w:val="0"/>
        <w:keepLines w:val="0"/>
        <w:pageBreakBefore w:val="0"/>
        <w:widowControl w:val="0"/>
        <w:numPr>
          <w:ilvl w:val="0"/>
          <w:numId w:val="2"/>
        </w:numPr>
        <w:kinsoku/>
        <w:wordWrap/>
        <w:overflowPunct/>
        <w:topLinePunct w:val="0"/>
        <w:autoSpaceDE/>
        <w:autoSpaceDN/>
        <w:bidi w:val="0"/>
        <w:adjustRightInd/>
        <w:snapToGrid w:val="0"/>
        <w:spacing w:line="296" w:lineRule="auto"/>
        <w:textAlignment w:val="auto"/>
        <w:rPr>
          <w:rFonts w:eastAsia="宋体"/>
          <w:b w:val="0"/>
          <w:bCs w:val="0"/>
          <w:kern w:val="0"/>
        </w:rPr>
      </w:pPr>
      <w:r>
        <w:rPr>
          <w:rFonts w:eastAsia="宋体"/>
          <w:b w:val="0"/>
          <w:bCs w:val="0"/>
          <w:kern w:val="0"/>
        </w:rPr>
        <w:t xml:space="preserve">Characterization of the </w:t>
      </w:r>
      <w:r>
        <w:rPr>
          <w:rFonts w:hint="eastAsia" w:eastAsia="宋体"/>
          <w:b w:val="0"/>
          <w:bCs w:val="0"/>
          <w:kern w:val="0"/>
        </w:rPr>
        <w:t>c</w:t>
      </w:r>
      <w:r>
        <w:rPr>
          <w:rFonts w:eastAsia="宋体"/>
          <w:b w:val="0"/>
          <w:bCs w:val="0"/>
          <w:kern w:val="0"/>
        </w:rPr>
        <w:t xml:space="preserve">hemical </w:t>
      </w:r>
      <w:r>
        <w:rPr>
          <w:rFonts w:hint="eastAsia" w:eastAsia="宋体"/>
          <w:b w:val="0"/>
          <w:bCs w:val="0"/>
          <w:kern w:val="0"/>
        </w:rPr>
        <w:t>s</w:t>
      </w:r>
      <w:r>
        <w:rPr>
          <w:rFonts w:eastAsia="宋体"/>
          <w:b w:val="0"/>
          <w:bCs w:val="0"/>
          <w:kern w:val="0"/>
        </w:rPr>
        <w:t xml:space="preserve">tructure for the </w:t>
      </w:r>
      <w:r>
        <w:rPr>
          <w:rFonts w:hint="eastAsia" w:eastAsia="宋体"/>
          <w:b w:val="0"/>
          <w:bCs w:val="0"/>
        </w:rPr>
        <w:t>i</w:t>
      </w:r>
      <w:r>
        <w:rPr>
          <w:b w:val="0"/>
          <w:bCs w:val="0"/>
        </w:rPr>
        <w:t xml:space="preserve">ntermediate and </w:t>
      </w:r>
      <w:r>
        <w:rPr>
          <w:rFonts w:hint="eastAsia"/>
          <w:b w:val="0"/>
          <w:bCs w:val="0"/>
        </w:rPr>
        <w:t>s</w:t>
      </w:r>
      <w:r>
        <w:rPr>
          <w:b w:val="0"/>
          <w:bCs w:val="0"/>
        </w:rPr>
        <w:t xml:space="preserve">ynthesized </w:t>
      </w:r>
      <w:r>
        <w:rPr>
          <w:rFonts w:hint="eastAsia"/>
          <w:b w:val="0"/>
          <w:bCs w:val="0"/>
        </w:rPr>
        <w:t>p</w:t>
      </w:r>
      <w:r>
        <w:rPr>
          <w:b w:val="0"/>
          <w:bCs w:val="0"/>
        </w:rPr>
        <w:t>henyl-β-D-glucuronide</w:t>
      </w:r>
    </w:p>
    <w:p w14:paraId="621B9BC5">
      <w:pPr>
        <w:keepNext w:val="0"/>
        <w:keepLines w:val="0"/>
        <w:pageBreakBefore w:val="0"/>
        <w:widowControl w:val="0"/>
        <w:numPr>
          <w:ilvl w:val="0"/>
          <w:numId w:val="2"/>
        </w:numPr>
        <w:kinsoku/>
        <w:wordWrap/>
        <w:overflowPunct/>
        <w:topLinePunct w:val="0"/>
        <w:autoSpaceDE/>
        <w:autoSpaceDN/>
        <w:bidi w:val="0"/>
        <w:adjustRightInd/>
        <w:snapToGrid w:val="0"/>
        <w:spacing w:line="296" w:lineRule="auto"/>
        <w:textAlignment w:val="auto"/>
        <w:rPr>
          <w:rFonts w:eastAsia="宋体"/>
          <w:b w:val="0"/>
          <w:bCs w:val="0"/>
          <w:kern w:val="0"/>
        </w:rPr>
      </w:pPr>
      <w:r>
        <w:rPr>
          <w:rFonts w:eastAsia="宋体"/>
          <w:b w:val="0"/>
          <w:bCs w:val="0"/>
          <w:kern w:val="0"/>
        </w:rPr>
        <w:t xml:space="preserve">Bio-compatibility of </w:t>
      </w:r>
      <w:r>
        <w:rPr>
          <w:rFonts w:hint="eastAsia" w:eastAsia="宋体"/>
          <w:b w:val="0"/>
          <w:bCs w:val="0"/>
          <w:kern w:val="0"/>
        </w:rPr>
        <w:t>p</w:t>
      </w:r>
      <w:r>
        <w:rPr>
          <w:rFonts w:eastAsia="宋体"/>
          <w:b w:val="0"/>
          <w:bCs w:val="0"/>
          <w:kern w:val="0"/>
        </w:rPr>
        <w:t>henyl-β-D-glucuronide</w:t>
      </w:r>
    </w:p>
    <w:p w14:paraId="76B82804">
      <w:pPr>
        <w:keepNext w:val="0"/>
        <w:keepLines w:val="0"/>
        <w:pageBreakBefore w:val="0"/>
        <w:widowControl w:val="0"/>
        <w:numPr>
          <w:ilvl w:val="0"/>
          <w:numId w:val="2"/>
        </w:numPr>
        <w:kinsoku/>
        <w:wordWrap/>
        <w:overflowPunct/>
        <w:topLinePunct w:val="0"/>
        <w:autoSpaceDE/>
        <w:autoSpaceDN/>
        <w:bidi w:val="0"/>
        <w:adjustRightInd/>
        <w:snapToGrid w:val="0"/>
        <w:spacing w:line="296" w:lineRule="auto"/>
        <w:textAlignment w:val="auto"/>
        <w:rPr>
          <w:rFonts w:eastAsia="宋体"/>
          <w:b w:val="0"/>
          <w:bCs w:val="0"/>
          <w:kern w:val="0"/>
        </w:rPr>
      </w:pPr>
      <w:r>
        <w:rPr>
          <w:rFonts w:eastAsia="宋体"/>
          <w:b w:val="0"/>
          <w:bCs w:val="0"/>
          <w:kern w:val="0"/>
        </w:rPr>
        <w:t xml:space="preserve">Phenol </w:t>
      </w:r>
      <w:r>
        <w:rPr>
          <w:rFonts w:hint="eastAsia" w:eastAsia="宋体"/>
          <w:b w:val="0"/>
          <w:bCs w:val="0"/>
          <w:kern w:val="0"/>
        </w:rPr>
        <w:t>s</w:t>
      </w:r>
      <w:r>
        <w:rPr>
          <w:rFonts w:eastAsia="宋体"/>
          <w:b w:val="0"/>
          <w:bCs w:val="0"/>
          <w:kern w:val="0"/>
        </w:rPr>
        <w:t xml:space="preserve">ensor </w:t>
      </w:r>
      <w:r>
        <w:rPr>
          <w:rFonts w:hint="eastAsia" w:eastAsia="宋体"/>
          <w:b w:val="0"/>
          <w:bCs w:val="0"/>
          <w:kern w:val="0"/>
        </w:rPr>
        <w:t>f</w:t>
      </w:r>
      <w:r>
        <w:rPr>
          <w:rFonts w:eastAsia="宋体"/>
          <w:b w:val="0"/>
          <w:bCs w:val="0"/>
          <w:kern w:val="0"/>
        </w:rPr>
        <w:t xml:space="preserve">abrication and </w:t>
      </w:r>
      <w:r>
        <w:rPr>
          <w:rFonts w:hint="eastAsia" w:eastAsia="宋体"/>
          <w:b w:val="0"/>
          <w:bCs w:val="0"/>
          <w:kern w:val="0"/>
        </w:rPr>
        <w:t>c</w:t>
      </w:r>
      <w:r>
        <w:rPr>
          <w:rFonts w:eastAsia="宋体"/>
          <w:b w:val="0"/>
          <w:bCs w:val="0"/>
          <w:kern w:val="0"/>
        </w:rPr>
        <w:t xml:space="preserve">haracterization </w:t>
      </w:r>
    </w:p>
    <w:p w14:paraId="4F42B395">
      <w:pPr>
        <w:keepNext w:val="0"/>
        <w:keepLines w:val="0"/>
        <w:pageBreakBefore w:val="0"/>
        <w:widowControl w:val="0"/>
        <w:numPr>
          <w:ilvl w:val="0"/>
          <w:numId w:val="2"/>
        </w:numPr>
        <w:kinsoku/>
        <w:wordWrap/>
        <w:overflowPunct/>
        <w:topLinePunct w:val="0"/>
        <w:autoSpaceDE/>
        <w:autoSpaceDN/>
        <w:bidi w:val="0"/>
        <w:adjustRightInd/>
        <w:snapToGrid w:val="0"/>
        <w:spacing w:line="296" w:lineRule="auto"/>
        <w:textAlignment w:val="auto"/>
      </w:pPr>
      <w:r>
        <w:rPr>
          <w:rFonts w:eastAsia="宋体"/>
          <w:b w:val="0"/>
          <w:bCs w:val="0"/>
          <w:kern w:val="0"/>
        </w:rPr>
        <w:t xml:space="preserve">Characterization of </w:t>
      </w:r>
      <w:r>
        <w:rPr>
          <w:rFonts w:hint="eastAsia" w:eastAsia="宋体"/>
          <w:b w:val="0"/>
          <w:bCs w:val="0"/>
          <w:kern w:val="0"/>
        </w:rPr>
        <w:t>h</w:t>
      </w:r>
      <w:r>
        <w:rPr>
          <w:rFonts w:eastAsia="宋体"/>
          <w:b w:val="0"/>
          <w:bCs w:val="0"/>
          <w:kern w:val="0"/>
        </w:rPr>
        <w:t xml:space="preserve">andheld </w:t>
      </w:r>
      <w:r>
        <w:rPr>
          <w:rFonts w:hint="eastAsia" w:eastAsia="宋体"/>
          <w:b w:val="0"/>
          <w:bCs w:val="0"/>
          <w:kern w:val="0"/>
        </w:rPr>
        <w:t>b</w:t>
      </w:r>
      <w:r>
        <w:rPr>
          <w:rFonts w:eastAsia="宋体"/>
          <w:b w:val="0"/>
          <w:bCs w:val="0"/>
          <w:kern w:val="0"/>
        </w:rPr>
        <w:t>reath-analyzer</w:t>
      </w:r>
    </w:p>
    <w:p w14:paraId="5C88024A">
      <w:pPr>
        <w:keepNext w:val="0"/>
        <w:keepLines w:val="0"/>
        <w:pageBreakBefore w:val="0"/>
        <w:widowControl w:val="0"/>
        <w:numPr>
          <w:ilvl w:val="0"/>
          <w:numId w:val="2"/>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b w:val="0"/>
          <w:bCs w:val="0"/>
        </w:rPr>
        <w:t>Impact of environmental factor and confounding diseases</w:t>
      </w:r>
    </w:p>
    <w:p w14:paraId="027C53C2">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rPr>
      </w:pPr>
    </w:p>
    <w:p w14:paraId="625F7BB3">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rPr>
      </w:pPr>
      <w:r>
        <w:rPr>
          <w:rFonts w:eastAsia="宋体"/>
          <w:kern w:val="0"/>
        </w:rPr>
        <w:t>Supplementary</w:t>
      </w:r>
      <w:r>
        <w:rPr>
          <w:rFonts w:hint="eastAsia" w:eastAsia="宋体"/>
          <w:kern w:val="0"/>
        </w:rPr>
        <w:t xml:space="preserve"> f</w:t>
      </w:r>
      <w:r>
        <w:rPr>
          <w:rFonts w:eastAsia="宋体"/>
          <w:kern w:val="0"/>
        </w:rPr>
        <w:t>igur</w:t>
      </w:r>
      <w:r>
        <w:rPr>
          <w:rFonts w:hint="eastAsia" w:eastAsia="宋体"/>
          <w:kern w:val="0"/>
        </w:rPr>
        <w:t>es</w:t>
      </w:r>
    </w:p>
    <w:p w14:paraId="147CFCBA">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Pathway of synthesizing p</w:t>
      </w:r>
      <w:r>
        <w:rPr>
          <w:rFonts w:eastAsia="宋体"/>
          <w:b w:val="0"/>
          <w:bCs w:val="0"/>
          <w:kern w:val="0"/>
        </w:rPr>
        <w:t>henyl-β-D-glucuronide</w:t>
      </w:r>
      <w:r>
        <w:rPr>
          <w:rFonts w:hint="eastAsia" w:eastAsia="宋体"/>
          <w:b w:val="0"/>
          <w:bCs w:val="0"/>
          <w:kern w:val="0"/>
        </w:rPr>
        <w:t xml:space="preserve"> (Supplementary Fig. 1)</w:t>
      </w:r>
    </w:p>
    <w:p w14:paraId="5E95196D">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Molecular structure and functional group analysis of intermediate</w:t>
      </w:r>
      <w:r>
        <w:rPr>
          <w:rFonts w:hint="eastAsia"/>
          <w:b w:val="0"/>
          <w:bCs w:val="0"/>
        </w:rPr>
        <w:t xml:space="preserve"> </w:t>
      </w:r>
      <w:r>
        <w:rPr>
          <w:rFonts w:hint="eastAsia" w:eastAsia="宋体"/>
          <w:b w:val="0"/>
          <w:bCs w:val="0"/>
          <w:kern w:val="0"/>
        </w:rPr>
        <w:t>(Supplementary Fig. 2)</w:t>
      </w:r>
    </w:p>
    <w:p w14:paraId="1506BEFC">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 xml:space="preserve">Molecular structure and functional group analysis </w:t>
      </w:r>
      <w:r>
        <w:rPr>
          <w:rFonts w:eastAsia="宋体"/>
          <w:b w:val="0"/>
          <w:bCs w:val="0"/>
          <w:kern w:val="0"/>
        </w:rPr>
        <w:t xml:space="preserve">of </w:t>
      </w:r>
      <w:r>
        <w:rPr>
          <w:b w:val="0"/>
          <w:bCs w:val="0"/>
        </w:rPr>
        <w:t>synthesized phenyl-β-D-glucuronide</w:t>
      </w:r>
      <w:r>
        <w:rPr>
          <w:rFonts w:hint="eastAsia"/>
          <w:b w:val="0"/>
          <w:bCs w:val="0"/>
        </w:rPr>
        <w:t xml:space="preserve"> </w:t>
      </w:r>
      <w:r>
        <w:rPr>
          <w:rFonts w:hint="eastAsia" w:eastAsia="宋体"/>
          <w:b w:val="0"/>
          <w:bCs w:val="0"/>
          <w:kern w:val="0"/>
        </w:rPr>
        <w:t>(Supplementary Fig. 3)</w:t>
      </w:r>
    </w:p>
    <w:p w14:paraId="79F19E9E">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 xml:space="preserve">Chemical properties of </w:t>
      </w:r>
      <w:r>
        <w:rPr>
          <w:b w:val="0"/>
          <w:bCs w:val="0"/>
          <w:color w:val="24292F"/>
        </w:rPr>
        <w:t>phenyl-β-D-glucuronide</w:t>
      </w:r>
      <w:r>
        <w:rPr>
          <w:rFonts w:hint="eastAsia"/>
          <w:b w:val="0"/>
          <w:bCs w:val="0"/>
          <w:color w:val="24292F"/>
        </w:rPr>
        <w:t xml:space="preserve"> </w:t>
      </w:r>
      <w:r>
        <w:rPr>
          <w:rFonts w:hint="eastAsia" w:eastAsia="宋体"/>
          <w:b w:val="0"/>
          <w:bCs w:val="0"/>
          <w:kern w:val="0"/>
        </w:rPr>
        <w:t>(Supplementary Fig. 4)</w:t>
      </w:r>
    </w:p>
    <w:p w14:paraId="7C2A177D">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Analysis of phenol level in breath sample</w:t>
      </w:r>
      <w:r>
        <w:rPr>
          <w:rFonts w:hint="eastAsia"/>
          <w:b w:val="0"/>
          <w:bCs w:val="0"/>
        </w:rPr>
        <w:t xml:space="preserve"> </w:t>
      </w:r>
      <w:r>
        <w:rPr>
          <w:rFonts w:hint="eastAsia" w:eastAsia="宋体"/>
          <w:b w:val="0"/>
          <w:bCs w:val="0"/>
          <w:kern w:val="0"/>
        </w:rPr>
        <w:t>(Supplementary Fig. 5)</w:t>
      </w:r>
    </w:p>
    <w:p w14:paraId="7A88C69E">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Pharmacokinetics</w:t>
      </w:r>
      <w:r>
        <w:rPr>
          <w:rFonts w:hint="eastAsia"/>
          <w:b w:val="0"/>
          <w:bCs w:val="0"/>
        </w:rPr>
        <w:t xml:space="preserve"> properties of </w:t>
      </w:r>
      <w:r>
        <w:rPr>
          <w:b w:val="0"/>
          <w:bCs w:val="0"/>
        </w:rPr>
        <w:t>phenyl-β-D-glucuronide</w:t>
      </w:r>
      <w:r>
        <w:rPr>
          <w:rFonts w:hint="eastAsia"/>
          <w:b w:val="0"/>
          <w:bCs w:val="0"/>
        </w:rPr>
        <w:t xml:space="preserve"> </w:t>
      </w:r>
      <w:r>
        <w:rPr>
          <w:rFonts w:hint="eastAsia" w:eastAsia="宋体"/>
          <w:b w:val="0"/>
          <w:bCs w:val="0"/>
          <w:kern w:val="0"/>
        </w:rPr>
        <w:t>(Supplementary Fig. 6)</w:t>
      </w:r>
    </w:p>
    <w:p w14:paraId="4F5CBB09">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b w:val="0"/>
          <w:bCs w:val="0"/>
        </w:rPr>
        <w:t>P</w:t>
      </w:r>
      <w:r>
        <w:rPr>
          <w:b w:val="0"/>
          <w:bCs w:val="0"/>
        </w:rPr>
        <w:t>henol sensor</w:t>
      </w:r>
      <w:r>
        <w:rPr>
          <w:rFonts w:hint="eastAsia"/>
          <w:b w:val="0"/>
          <w:bCs w:val="0"/>
        </w:rPr>
        <w:t xml:space="preserve"> f</w:t>
      </w:r>
      <w:r>
        <w:rPr>
          <w:b w:val="0"/>
          <w:bCs w:val="0"/>
        </w:rPr>
        <w:t>abrication and characterization</w:t>
      </w:r>
      <w:r>
        <w:rPr>
          <w:rFonts w:hint="eastAsia"/>
          <w:b w:val="0"/>
          <w:bCs w:val="0"/>
        </w:rPr>
        <w:t xml:space="preserve"> </w:t>
      </w:r>
      <w:r>
        <w:rPr>
          <w:rFonts w:hint="eastAsia" w:eastAsia="宋体"/>
          <w:b w:val="0"/>
          <w:bCs w:val="0"/>
          <w:kern w:val="0"/>
        </w:rPr>
        <w:t>(Supplementary Fig. 7)</w:t>
      </w:r>
    </w:p>
    <w:p w14:paraId="24D099C7">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eastAsia="宋体"/>
          <w:b w:val="0"/>
          <w:bCs w:val="0"/>
          <w:kern w:val="0"/>
        </w:rPr>
        <w:t>Schematic diagram of the circuit board for handheld breath-analyzer (Supplementary Fig. 8)</w:t>
      </w:r>
    </w:p>
    <w:p w14:paraId="4DAE1824">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b w:val="0"/>
          <w:bCs w:val="0"/>
        </w:rPr>
        <w:t>Characterization</w:t>
      </w:r>
      <w:r>
        <w:rPr>
          <w:b w:val="0"/>
          <w:bCs w:val="0"/>
        </w:rPr>
        <w:t xml:space="preserve"> of handheld breath-analyzer</w:t>
      </w:r>
      <w:r>
        <w:rPr>
          <w:rFonts w:hint="eastAsia"/>
          <w:b w:val="0"/>
          <w:bCs w:val="0"/>
        </w:rPr>
        <w:t xml:space="preserve"> </w:t>
      </w:r>
      <w:r>
        <w:rPr>
          <w:rFonts w:hint="eastAsia" w:eastAsia="宋体"/>
          <w:b w:val="0"/>
          <w:bCs w:val="0"/>
          <w:kern w:val="0"/>
        </w:rPr>
        <w:t>(Supplementary Fig. 9)</w:t>
      </w:r>
    </w:p>
    <w:p w14:paraId="633AF1FF">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b w:val="0"/>
          <w:bCs w:val="0"/>
        </w:rPr>
        <w:t xml:space="preserve">Tissue images for different mouse model </w:t>
      </w:r>
      <w:r>
        <w:rPr>
          <w:rFonts w:hint="eastAsia" w:eastAsia="宋体"/>
          <w:b w:val="0"/>
          <w:bCs w:val="0"/>
          <w:kern w:val="0"/>
        </w:rPr>
        <w:t>(Supplementary Fig. 10)</w:t>
      </w:r>
    </w:p>
    <w:p w14:paraId="0F8A693C">
      <w:pPr>
        <w:keepNext w:val="0"/>
        <w:keepLines w:val="0"/>
        <w:pageBreakBefore w:val="0"/>
        <w:widowControl w:val="0"/>
        <w:numPr>
          <w:ilvl w:val="0"/>
          <w:numId w:val="3"/>
        </w:numPr>
        <w:kinsoku/>
        <w:wordWrap/>
        <w:overflowPunct/>
        <w:topLinePunct w:val="0"/>
        <w:autoSpaceDE/>
        <w:autoSpaceDN/>
        <w:bidi w:val="0"/>
        <w:adjustRightInd/>
        <w:snapToGrid w:val="0"/>
        <w:spacing w:line="296" w:lineRule="auto"/>
        <w:textAlignment w:val="auto"/>
        <w:rPr>
          <w:rFonts w:eastAsia="宋体"/>
          <w:b w:val="0"/>
          <w:bCs w:val="0"/>
          <w:kern w:val="0"/>
        </w:rPr>
      </w:pPr>
      <w:r>
        <w:rPr>
          <w:b w:val="0"/>
          <w:bCs w:val="0"/>
        </w:rPr>
        <w:t>Impact of studied confounding diseases</w:t>
      </w:r>
      <w:r>
        <w:rPr>
          <w:rFonts w:hint="eastAsia"/>
          <w:b w:val="0"/>
          <w:bCs w:val="0"/>
        </w:rPr>
        <w:t xml:space="preserve"> </w:t>
      </w:r>
      <w:r>
        <w:rPr>
          <w:rFonts w:hint="eastAsia" w:eastAsia="宋体"/>
          <w:b w:val="0"/>
          <w:bCs w:val="0"/>
          <w:kern w:val="0"/>
        </w:rPr>
        <w:t>(Supplementary Fig. 11)</w:t>
      </w:r>
    </w:p>
    <w:p w14:paraId="22B3A1CC">
      <w:pPr>
        <w:keepNext w:val="0"/>
        <w:keepLines w:val="0"/>
        <w:pageBreakBefore w:val="0"/>
        <w:widowControl w:val="0"/>
        <w:tabs>
          <w:tab w:val="left" w:pos="420"/>
        </w:tabs>
        <w:kinsoku/>
        <w:wordWrap/>
        <w:overflowPunct/>
        <w:topLinePunct w:val="0"/>
        <w:autoSpaceDE/>
        <w:autoSpaceDN/>
        <w:bidi w:val="0"/>
        <w:adjustRightInd/>
        <w:snapToGrid w:val="0"/>
        <w:spacing w:line="296" w:lineRule="auto"/>
        <w:textAlignment w:val="auto"/>
        <w:rPr>
          <w:rFonts w:eastAsia="宋体"/>
          <w:b w:val="0"/>
          <w:bCs w:val="0"/>
          <w:kern w:val="0"/>
        </w:rPr>
      </w:pPr>
    </w:p>
    <w:p w14:paraId="132CD382">
      <w:pPr>
        <w:keepNext w:val="0"/>
        <w:keepLines w:val="0"/>
        <w:pageBreakBefore w:val="0"/>
        <w:widowControl w:val="0"/>
        <w:kinsoku/>
        <w:wordWrap/>
        <w:overflowPunct/>
        <w:topLinePunct w:val="0"/>
        <w:autoSpaceDE/>
        <w:autoSpaceDN/>
        <w:bidi w:val="0"/>
        <w:adjustRightInd/>
        <w:snapToGrid w:val="0"/>
        <w:spacing w:line="296" w:lineRule="auto"/>
        <w:textAlignment w:val="auto"/>
        <w:rPr>
          <w:rFonts w:eastAsia="宋体"/>
          <w:kern w:val="0"/>
          <w:sz w:val="22"/>
          <w:szCs w:val="22"/>
        </w:rPr>
      </w:pPr>
      <w:r>
        <w:rPr>
          <w:rFonts w:eastAsia="宋体"/>
          <w:kern w:val="0"/>
        </w:rPr>
        <w:t xml:space="preserve">Supplementary </w:t>
      </w:r>
      <w:r>
        <w:rPr>
          <w:rFonts w:hint="eastAsia" w:eastAsia="宋体"/>
          <w:kern w:val="0"/>
        </w:rPr>
        <w:t>table</w:t>
      </w:r>
      <w:r>
        <w:rPr>
          <w:rFonts w:eastAsia="宋体"/>
          <w:kern w:val="0"/>
        </w:rPr>
        <w:t>s</w:t>
      </w:r>
    </w:p>
    <w:p w14:paraId="6EFF5318">
      <w:pPr>
        <w:keepNext w:val="0"/>
        <w:keepLines w:val="0"/>
        <w:pageBreakBefore w:val="0"/>
        <w:widowControl w:val="0"/>
        <w:numPr>
          <w:ilvl w:val="0"/>
          <w:numId w:val="4"/>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eastAsia="宋体"/>
          <w:b w:val="0"/>
          <w:bCs w:val="0"/>
          <w:kern w:val="0"/>
        </w:rPr>
        <w:t>Chemical list</w:t>
      </w:r>
    </w:p>
    <w:p w14:paraId="64EC4AB2">
      <w:pPr>
        <w:keepNext w:val="0"/>
        <w:keepLines w:val="0"/>
        <w:pageBreakBefore w:val="0"/>
        <w:widowControl w:val="0"/>
        <w:numPr>
          <w:ilvl w:val="0"/>
          <w:numId w:val="4"/>
        </w:numPr>
        <w:kinsoku/>
        <w:wordWrap/>
        <w:overflowPunct/>
        <w:topLinePunct w:val="0"/>
        <w:autoSpaceDE/>
        <w:autoSpaceDN/>
        <w:bidi w:val="0"/>
        <w:adjustRightInd/>
        <w:snapToGrid w:val="0"/>
        <w:spacing w:line="296" w:lineRule="auto"/>
        <w:textAlignment w:val="auto"/>
        <w:rPr>
          <w:rFonts w:eastAsia="宋体"/>
          <w:b w:val="0"/>
          <w:bCs w:val="0"/>
          <w:kern w:val="0"/>
        </w:rPr>
      </w:pPr>
      <w:r>
        <w:rPr>
          <w:rFonts w:hint="eastAsia" w:eastAsia="宋体"/>
          <w:b w:val="0"/>
          <w:bCs w:val="0"/>
          <w:kern w:val="0"/>
        </w:rPr>
        <w:t>Source of tumor cell lines that are referred in the research</w:t>
      </w:r>
    </w:p>
    <w:p w14:paraId="46B5A7FD">
      <w:pPr>
        <w:spacing w:line="300" w:lineRule="auto"/>
        <w:rPr>
          <w:rFonts w:eastAsia="宋体"/>
          <w:kern w:val="0"/>
          <w:sz w:val="28"/>
          <w:szCs w:val="28"/>
        </w:rPr>
      </w:pPr>
      <w:r>
        <w:rPr>
          <w:rFonts w:eastAsia="宋体"/>
          <w:kern w:val="0"/>
          <w:sz w:val="28"/>
          <w:szCs w:val="28"/>
        </w:rPr>
        <w:t>S</w:t>
      </w:r>
      <w:r>
        <w:rPr>
          <w:rFonts w:hint="eastAsia" w:eastAsia="宋体"/>
          <w:kern w:val="0"/>
          <w:sz w:val="28"/>
          <w:szCs w:val="28"/>
        </w:rPr>
        <w:t>UPPLEMENTARY METHODS</w:t>
      </w:r>
    </w:p>
    <w:p w14:paraId="16A4C5D7">
      <w:pPr>
        <w:rPr>
          <w:rFonts w:eastAsia="宋体"/>
          <w:kern w:val="0"/>
        </w:rPr>
      </w:pPr>
      <w:r>
        <w:rPr>
          <w:rFonts w:hint="eastAsia" w:eastAsia="宋体"/>
          <w:kern w:val="0"/>
        </w:rPr>
        <w:t>Details of mouse breath sample extraction and collection</w:t>
      </w:r>
    </w:p>
    <w:p w14:paraId="5925475D">
      <w:pPr>
        <w:numPr>
          <w:ilvl w:val="0"/>
          <w:numId w:val="5"/>
        </w:numPr>
        <w:ind w:firstLine="204" w:firstLineChars="85"/>
        <w:rPr>
          <w:b w:val="0"/>
          <w:bCs w:val="0"/>
        </w:rPr>
      </w:pPr>
      <w:r>
        <w:rPr>
          <w:b w:val="0"/>
          <w:bCs w:val="0"/>
        </w:rPr>
        <w:t xml:space="preserve">Mouse </w:t>
      </w:r>
      <w:r>
        <w:rPr>
          <w:rFonts w:hint="eastAsia"/>
          <w:b w:val="0"/>
          <w:bCs w:val="0"/>
        </w:rPr>
        <w:t>b</w:t>
      </w:r>
      <w:r>
        <w:rPr>
          <w:b w:val="0"/>
          <w:bCs w:val="0"/>
        </w:rPr>
        <w:t xml:space="preserve">reath </w:t>
      </w:r>
      <w:r>
        <w:rPr>
          <w:rFonts w:hint="eastAsia"/>
          <w:b w:val="0"/>
          <w:bCs w:val="0"/>
        </w:rPr>
        <w:t>sample e</w:t>
      </w:r>
      <w:r>
        <w:rPr>
          <w:b w:val="0"/>
          <w:bCs w:val="0"/>
        </w:rPr>
        <w:t>xtraction</w:t>
      </w:r>
      <w:r>
        <w:rPr>
          <w:rFonts w:hint="eastAsia"/>
          <w:b w:val="0"/>
          <w:bCs w:val="0"/>
        </w:rPr>
        <w:t xml:space="preserve"> (Supplementary Video 1)</w:t>
      </w:r>
    </w:p>
    <w:p w14:paraId="1855218C">
      <w:pPr>
        <w:rPr>
          <w:b w:val="0"/>
          <w:bCs w:val="0"/>
        </w:rPr>
      </w:pPr>
      <w:r>
        <w:rPr>
          <w:b w:val="0"/>
          <w:bCs w:val="0"/>
        </w:rPr>
        <w:t xml:space="preserve">The exhaled breath extraction </w:t>
      </w:r>
      <w:r>
        <w:rPr>
          <w:rFonts w:hint="eastAsia"/>
          <w:b w:val="0"/>
          <w:bCs w:val="0"/>
        </w:rPr>
        <w:t>apparatus</w:t>
      </w:r>
      <w:r>
        <w:rPr>
          <w:b w:val="0"/>
          <w:bCs w:val="0"/>
        </w:rPr>
        <w:t xml:space="preserve"> enriches </w:t>
      </w:r>
      <w:r>
        <w:rPr>
          <w:rFonts w:hint="eastAsia"/>
          <w:b w:val="0"/>
          <w:bCs w:val="0"/>
        </w:rPr>
        <w:t>v</w:t>
      </w:r>
      <w:r>
        <w:rPr>
          <w:b w:val="0"/>
          <w:bCs w:val="0"/>
        </w:rPr>
        <w:t xml:space="preserve">olatile </w:t>
      </w:r>
      <w:r>
        <w:rPr>
          <w:rFonts w:hint="eastAsia"/>
          <w:b w:val="0"/>
          <w:bCs w:val="0"/>
        </w:rPr>
        <w:t>o</w:t>
      </w:r>
      <w:r>
        <w:rPr>
          <w:b w:val="0"/>
          <w:bCs w:val="0"/>
        </w:rPr>
        <w:t xml:space="preserve">rganic </w:t>
      </w:r>
      <w:r>
        <w:rPr>
          <w:rFonts w:hint="eastAsia"/>
          <w:b w:val="0"/>
          <w:bCs w:val="0"/>
        </w:rPr>
        <w:t>c</w:t>
      </w:r>
      <w:r>
        <w:rPr>
          <w:b w:val="0"/>
          <w:bCs w:val="0"/>
        </w:rPr>
        <w:t xml:space="preserve">ompounds (VOCs) from mouse exhaled breath onto an </w:t>
      </w:r>
      <w:r>
        <w:rPr>
          <w:rFonts w:hint="eastAsia"/>
          <w:b w:val="0"/>
          <w:bCs w:val="0"/>
        </w:rPr>
        <w:t>solid-phase microextraction (</w:t>
      </w:r>
      <w:r>
        <w:rPr>
          <w:b w:val="0"/>
          <w:bCs w:val="0"/>
        </w:rPr>
        <w:t>SPME</w:t>
      </w:r>
      <w:r>
        <w:rPr>
          <w:rFonts w:hint="eastAsia"/>
          <w:b w:val="0"/>
          <w:bCs w:val="0"/>
        </w:rPr>
        <w:t>)</w:t>
      </w:r>
      <w:r>
        <w:rPr>
          <w:b w:val="0"/>
          <w:bCs w:val="0"/>
        </w:rPr>
        <w:t xml:space="preserve"> fiber for the analysis of exhaled breath composition relative content before and after mouse administration. The extraction </w:t>
      </w:r>
      <w:r>
        <w:rPr>
          <w:rFonts w:hint="eastAsia"/>
          <w:b w:val="0"/>
          <w:bCs w:val="0"/>
        </w:rPr>
        <w:t>apparatus</w:t>
      </w:r>
      <w:r>
        <w:rPr>
          <w:b w:val="0"/>
          <w:bCs w:val="0"/>
        </w:rPr>
        <w:t xml:space="preserve"> consists of a large glass container with a volume of approximately 400 mL. The bottleneck </w:t>
      </w:r>
      <w:r>
        <w:rPr>
          <w:rFonts w:hint="eastAsia"/>
          <w:b w:val="0"/>
          <w:bCs w:val="0"/>
        </w:rPr>
        <w:t>is</w:t>
      </w:r>
      <w:r>
        <w:rPr>
          <w:b w:val="0"/>
          <w:bCs w:val="0"/>
        </w:rPr>
        <w:t xml:space="preserve"> sealed with a sealing gasket, silicone plug and fixing clip to ensure airtightness.</w:t>
      </w:r>
      <w:r>
        <w:rPr>
          <w:rFonts w:hint="eastAsia"/>
          <w:b w:val="0"/>
          <w:bCs w:val="0"/>
        </w:rPr>
        <w:t xml:space="preserve"> Prior to</w:t>
      </w:r>
      <w:r>
        <w:rPr>
          <w:b w:val="0"/>
          <w:bCs w:val="0"/>
        </w:rPr>
        <w:t xml:space="preserve"> </w:t>
      </w:r>
      <w:r>
        <w:rPr>
          <w:rFonts w:hint="eastAsia"/>
          <w:b w:val="0"/>
          <w:bCs w:val="0"/>
        </w:rPr>
        <w:t>using, t</w:t>
      </w:r>
      <w:r>
        <w:rPr>
          <w:b w:val="0"/>
          <w:bCs w:val="0"/>
        </w:rPr>
        <w:t xml:space="preserve">he device </w:t>
      </w:r>
      <w:r>
        <w:rPr>
          <w:rFonts w:hint="eastAsia"/>
          <w:b w:val="0"/>
          <w:bCs w:val="0"/>
        </w:rPr>
        <w:t>is</w:t>
      </w:r>
      <w:r>
        <w:rPr>
          <w:b w:val="0"/>
          <w:bCs w:val="0"/>
        </w:rPr>
        <w:t xml:space="preserve"> cleaned and dried. Cleanliness and airtightness tests are conducted initially. In the cleanliness test, high-purity nitrogen gas was introduced into the </w:t>
      </w:r>
      <w:r>
        <w:rPr>
          <w:rFonts w:hint="eastAsia"/>
          <w:b w:val="0"/>
          <w:bCs w:val="0"/>
        </w:rPr>
        <w:t>glass container</w:t>
      </w:r>
      <w:r>
        <w:rPr>
          <w:b w:val="0"/>
          <w:bCs w:val="0"/>
        </w:rPr>
        <w:t xml:space="preserve">, sealed for 1 hour, and then the gas adsorbed on the SPME fiber was analyzed by GCMS. The composition of the adsorbed substances was compared with a blank SPME fiber to </w:t>
      </w:r>
      <w:r>
        <w:rPr>
          <w:rFonts w:hint="eastAsia"/>
          <w:b w:val="0"/>
          <w:bCs w:val="0"/>
        </w:rPr>
        <w:t>ensure</w:t>
      </w:r>
      <w:r>
        <w:rPr>
          <w:b w:val="0"/>
          <w:bCs w:val="0"/>
        </w:rPr>
        <w:t xml:space="preserve"> that the glass container does not generate </w:t>
      </w:r>
      <w:r>
        <w:rPr>
          <w:rFonts w:hint="eastAsia"/>
          <w:b w:val="0"/>
          <w:bCs w:val="0"/>
        </w:rPr>
        <w:t xml:space="preserve">any </w:t>
      </w:r>
      <w:r>
        <w:rPr>
          <w:b w:val="0"/>
          <w:bCs w:val="0"/>
        </w:rPr>
        <w:t xml:space="preserve">impurity gases. In the airtightness test, the sealed glass container </w:t>
      </w:r>
      <w:r>
        <w:rPr>
          <w:rFonts w:hint="eastAsia"/>
          <w:b w:val="0"/>
          <w:bCs w:val="0"/>
        </w:rPr>
        <w:t>is</w:t>
      </w:r>
      <w:r>
        <w:rPr>
          <w:b w:val="0"/>
          <w:bCs w:val="0"/>
        </w:rPr>
        <w:t xml:space="preserve"> injected with gas and performed a soap bubble test. No bubbles are produced at any part of the glass container, and the piston of the syringe returns to its original position after release, indicating good sealing performance of the </w:t>
      </w:r>
      <w:r>
        <w:rPr>
          <w:rFonts w:hint="eastAsia"/>
          <w:b w:val="0"/>
          <w:bCs w:val="0"/>
        </w:rPr>
        <w:t>setup</w:t>
      </w:r>
      <w:r>
        <w:rPr>
          <w:b w:val="0"/>
          <w:bCs w:val="0"/>
        </w:rPr>
        <w:t>.</w:t>
      </w:r>
    </w:p>
    <w:p w14:paraId="7E6DBAAA">
      <w:pPr>
        <w:rPr>
          <w:b w:val="0"/>
          <w:bCs w:val="0"/>
        </w:rPr>
      </w:pPr>
      <w:r>
        <w:rPr>
          <w:rFonts w:hint="eastAsia"/>
          <w:b w:val="0"/>
          <w:bCs w:val="0"/>
        </w:rPr>
        <w:t xml:space="preserve">   At the first step, p</w:t>
      </w:r>
      <w:r>
        <w:rPr>
          <w:b w:val="0"/>
          <w:bCs w:val="0"/>
        </w:rPr>
        <w:t>lac</w:t>
      </w:r>
      <w:r>
        <w:rPr>
          <w:rFonts w:hint="eastAsia"/>
          <w:b w:val="0"/>
          <w:bCs w:val="0"/>
        </w:rPr>
        <w:t>ing</w:t>
      </w:r>
      <w:r>
        <w:rPr>
          <w:b w:val="0"/>
          <w:bCs w:val="0"/>
        </w:rPr>
        <w:t xml:space="preserve"> m</w:t>
      </w:r>
      <w:r>
        <w:rPr>
          <w:rFonts w:hint="eastAsia"/>
          <w:b w:val="0"/>
          <w:bCs w:val="0"/>
        </w:rPr>
        <w:t>ouse</w:t>
      </w:r>
      <w:r>
        <w:rPr>
          <w:b w:val="0"/>
          <w:bCs w:val="0"/>
        </w:rPr>
        <w:t xml:space="preserve"> into </w:t>
      </w:r>
      <w:r>
        <w:rPr>
          <w:rFonts w:hint="eastAsia"/>
          <w:b w:val="0"/>
          <w:bCs w:val="0"/>
        </w:rPr>
        <w:t>the</w:t>
      </w:r>
      <w:r>
        <w:rPr>
          <w:b w:val="0"/>
          <w:bCs w:val="0"/>
        </w:rPr>
        <w:t xml:space="preserve"> glass container</w:t>
      </w:r>
      <w:r>
        <w:rPr>
          <w:rFonts w:hint="eastAsia"/>
          <w:b w:val="0"/>
          <w:bCs w:val="0"/>
        </w:rPr>
        <w:t xml:space="preserve"> for </w:t>
      </w:r>
      <w:r>
        <w:rPr>
          <w:b w:val="0"/>
          <w:bCs w:val="0"/>
        </w:rPr>
        <w:t xml:space="preserve">breath </w:t>
      </w:r>
      <w:r>
        <w:rPr>
          <w:rFonts w:hint="eastAsia"/>
          <w:b w:val="0"/>
          <w:bCs w:val="0"/>
        </w:rPr>
        <w:t xml:space="preserve">sample </w:t>
      </w:r>
      <w:r>
        <w:rPr>
          <w:b w:val="0"/>
          <w:bCs w:val="0"/>
        </w:rPr>
        <w:t>extraction. The entire glass container</w:t>
      </w:r>
      <w:r>
        <w:rPr>
          <w:rFonts w:hint="eastAsia"/>
          <w:b w:val="0"/>
          <w:bCs w:val="0"/>
        </w:rPr>
        <w:t xml:space="preserve"> was then </w:t>
      </w:r>
      <w:r>
        <w:rPr>
          <w:b w:val="0"/>
          <w:bCs w:val="0"/>
        </w:rPr>
        <w:t>placed in a constant temperature environment at 25°C and sealed for 1 hour, with oxygen supplementation every 15 minutes. Using a glass syringe through a silicone plug, inject 10 mL of pure oxygen (99.9%). After 1 hour of sealing, insert a 75 μm Car/PDMS extraction fiber into the glass container through the silicone plug, exposing the black extraction fiber of SPME. The extraction was carried out for 30 minutes in a constant temperature environment at 25°C, and oxygen supplementation was performed periodically following the above process.</w:t>
      </w:r>
    </w:p>
    <w:p w14:paraId="2787312F">
      <w:pPr>
        <w:numPr>
          <w:ilvl w:val="0"/>
          <w:numId w:val="5"/>
        </w:numPr>
        <w:ind w:firstLine="204" w:firstLineChars="85"/>
        <w:rPr>
          <w:b w:val="0"/>
          <w:bCs w:val="0"/>
        </w:rPr>
      </w:pPr>
      <w:r>
        <w:rPr>
          <w:b w:val="0"/>
          <w:bCs w:val="0"/>
        </w:rPr>
        <w:t xml:space="preserve">Mouse </w:t>
      </w:r>
      <w:r>
        <w:rPr>
          <w:rFonts w:hint="eastAsia"/>
          <w:b w:val="0"/>
          <w:bCs w:val="0"/>
        </w:rPr>
        <w:t>b</w:t>
      </w:r>
      <w:r>
        <w:rPr>
          <w:b w:val="0"/>
          <w:bCs w:val="0"/>
        </w:rPr>
        <w:t xml:space="preserve">reath </w:t>
      </w:r>
      <w:r>
        <w:rPr>
          <w:rFonts w:hint="eastAsia"/>
          <w:b w:val="0"/>
          <w:bCs w:val="0"/>
        </w:rPr>
        <w:t>sample</w:t>
      </w:r>
      <w:r>
        <w:rPr>
          <w:b w:val="0"/>
          <w:bCs w:val="0"/>
        </w:rPr>
        <w:t xml:space="preserve"> </w:t>
      </w:r>
      <w:r>
        <w:rPr>
          <w:rFonts w:hint="eastAsia"/>
          <w:b w:val="0"/>
          <w:bCs w:val="0"/>
        </w:rPr>
        <w:t>c</w:t>
      </w:r>
      <w:r>
        <w:rPr>
          <w:b w:val="0"/>
          <w:bCs w:val="0"/>
        </w:rPr>
        <w:t>ollection</w:t>
      </w:r>
      <w:r>
        <w:rPr>
          <w:rFonts w:hint="eastAsia"/>
          <w:b w:val="0"/>
          <w:bCs w:val="0"/>
        </w:rPr>
        <w:t xml:space="preserve"> (Supplementary Video 2)</w:t>
      </w:r>
    </w:p>
    <w:p w14:paraId="20FC8B6D">
      <w:pPr>
        <w:rPr>
          <w:b w:val="0"/>
          <w:bCs w:val="0"/>
        </w:rPr>
      </w:pPr>
      <w:r>
        <w:rPr>
          <w:b w:val="0"/>
          <w:bCs w:val="0"/>
        </w:rPr>
        <w:t xml:space="preserve">The mouse breath </w:t>
      </w:r>
      <w:r>
        <w:rPr>
          <w:rFonts w:hint="eastAsia"/>
          <w:b w:val="0"/>
          <w:bCs w:val="0"/>
        </w:rPr>
        <w:t xml:space="preserve">sample </w:t>
      </w:r>
      <w:r>
        <w:rPr>
          <w:b w:val="0"/>
          <w:bCs w:val="0"/>
        </w:rPr>
        <w:t xml:space="preserve">collection </w:t>
      </w:r>
      <w:r>
        <w:rPr>
          <w:rFonts w:hint="eastAsia"/>
          <w:b w:val="0"/>
          <w:bCs w:val="0"/>
        </w:rPr>
        <w:t>apparatus</w:t>
      </w:r>
      <w:r>
        <w:rPr>
          <w:b w:val="0"/>
          <w:bCs w:val="0"/>
        </w:rPr>
        <w:t xml:space="preserve"> </w:t>
      </w:r>
      <w:r>
        <w:rPr>
          <w:rFonts w:hint="eastAsia"/>
          <w:b w:val="0"/>
          <w:bCs w:val="0"/>
        </w:rPr>
        <w:t>is</w:t>
      </w:r>
      <w:r>
        <w:rPr>
          <w:b w:val="0"/>
          <w:bCs w:val="0"/>
        </w:rPr>
        <w:t xml:space="preserve"> used to collect the mouse's exhaled breath into a gas bag</w:t>
      </w:r>
      <w:r>
        <w:rPr>
          <w:rFonts w:hint="eastAsia"/>
          <w:b w:val="0"/>
          <w:bCs w:val="0"/>
        </w:rPr>
        <w:t xml:space="preserve"> for later breath readout recording</w:t>
      </w:r>
      <w:r>
        <w:rPr>
          <w:b w:val="0"/>
          <w:bCs w:val="0"/>
        </w:rPr>
        <w:t>.</w:t>
      </w:r>
      <w:r>
        <w:rPr>
          <w:rFonts w:hint="eastAsia"/>
          <w:b w:val="0"/>
          <w:bCs w:val="0"/>
        </w:rPr>
        <w:t xml:space="preserve"> In this study,</w:t>
      </w:r>
      <w:r>
        <w:rPr>
          <w:b w:val="0"/>
          <w:bCs w:val="0"/>
        </w:rPr>
        <w:t xml:space="preserve"> a </w:t>
      </w:r>
      <w:r>
        <w:rPr>
          <w:rFonts w:hint="eastAsia"/>
          <w:b w:val="0"/>
          <w:bCs w:val="0"/>
        </w:rPr>
        <w:t>breath sample</w:t>
      </w:r>
      <w:r>
        <w:rPr>
          <w:b w:val="0"/>
          <w:bCs w:val="0"/>
        </w:rPr>
        <w:t xml:space="preserve"> collection glass </w:t>
      </w:r>
      <w:r>
        <w:rPr>
          <w:rFonts w:hint="eastAsia"/>
          <w:b w:val="0"/>
          <w:bCs w:val="0"/>
        </w:rPr>
        <w:t>apparatus</w:t>
      </w:r>
      <w:r>
        <w:rPr>
          <w:b w:val="0"/>
          <w:bCs w:val="0"/>
        </w:rPr>
        <w:t xml:space="preserve"> </w:t>
      </w:r>
      <w:r>
        <w:rPr>
          <w:rFonts w:hint="eastAsia"/>
          <w:b w:val="0"/>
          <w:bCs w:val="0"/>
        </w:rPr>
        <w:t>was</w:t>
      </w:r>
      <w:r>
        <w:rPr>
          <w:b w:val="0"/>
          <w:bCs w:val="0"/>
        </w:rPr>
        <w:t xml:space="preserve"> </w:t>
      </w:r>
      <w:r>
        <w:rPr>
          <w:rFonts w:hint="eastAsia"/>
          <w:b w:val="0"/>
          <w:bCs w:val="0"/>
        </w:rPr>
        <w:t>built which</w:t>
      </w:r>
      <w:r>
        <w:rPr>
          <w:b w:val="0"/>
          <w:bCs w:val="0"/>
        </w:rPr>
        <w:t xml:space="preserve"> inclu</w:t>
      </w:r>
      <w:r>
        <w:rPr>
          <w:rFonts w:hint="eastAsia"/>
          <w:b w:val="0"/>
          <w:bCs w:val="0"/>
        </w:rPr>
        <w:t>des</w:t>
      </w:r>
      <w:r>
        <w:rPr>
          <w:b w:val="0"/>
          <w:bCs w:val="0"/>
        </w:rPr>
        <w:t xml:space="preserve"> a 500 mL sandblasted glass syringe, silicone tubing, and a Tedlar gas bag. The glass syringe </w:t>
      </w:r>
      <w:r>
        <w:rPr>
          <w:rFonts w:hint="eastAsia"/>
          <w:b w:val="0"/>
          <w:bCs w:val="0"/>
        </w:rPr>
        <w:t>is employed</w:t>
      </w:r>
      <w:r>
        <w:rPr>
          <w:b w:val="0"/>
          <w:bCs w:val="0"/>
        </w:rPr>
        <w:t xml:space="preserve"> to collect the mouse's exhaled breath</w:t>
      </w:r>
      <w:r>
        <w:rPr>
          <w:rFonts w:hint="eastAsia"/>
          <w:b w:val="0"/>
          <w:bCs w:val="0"/>
        </w:rPr>
        <w:t>.</w:t>
      </w:r>
      <w:r>
        <w:rPr>
          <w:b w:val="0"/>
          <w:bCs w:val="0"/>
        </w:rPr>
        <w:t xml:space="preserve"> </w:t>
      </w:r>
      <w:r>
        <w:rPr>
          <w:rFonts w:hint="eastAsia"/>
          <w:b w:val="0"/>
          <w:bCs w:val="0"/>
        </w:rPr>
        <w:t>Before starting the experiment,</w:t>
      </w:r>
      <w:r>
        <w:rPr>
          <w:b w:val="0"/>
          <w:bCs w:val="0"/>
        </w:rPr>
        <w:t xml:space="preserve"> glass syringe</w:t>
      </w:r>
      <w:r>
        <w:rPr>
          <w:rFonts w:hint="eastAsia"/>
          <w:b w:val="0"/>
          <w:bCs w:val="0"/>
        </w:rPr>
        <w:t xml:space="preserve"> is</w:t>
      </w:r>
      <w:r>
        <w:rPr>
          <w:b w:val="0"/>
          <w:bCs w:val="0"/>
        </w:rPr>
        <w:t xml:space="preserve"> thoroughly cleaned to remove any potential impurities and sealed with silicone tubing, making it convenient to supplement oxygen when collecting breath from the mouse. The Tedlar gas bag, used for collecting and storing gas</w:t>
      </w:r>
      <w:r>
        <w:rPr>
          <w:rFonts w:hint="eastAsia"/>
          <w:b w:val="0"/>
          <w:bCs w:val="0"/>
        </w:rPr>
        <w:t>,</w:t>
      </w:r>
      <w:r>
        <w:rPr>
          <w:b w:val="0"/>
          <w:bCs w:val="0"/>
        </w:rPr>
        <w:t xml:space="preserve"> </w:t>
      </w:r>
      <w:r>
        <w:rPr>
          <w:rFonts w:hint="eastAsia"/>
          <w:b w:val="0"/>
          <w:bCs w:val="0"/>
        </w:rPr>
        <w:t>is</w:t>
      </w:r>
      <w:r>
        <w:rPr>
          <w:b w:val="0"/>
          <w:bCs w:val="0"/>
        </w:rPr>
        <w:t xml:space="preserve"> thoroughly dried and washed three times with high-purity nitrogen gas to remove impurities adsorbed on the inner wall of the bag.</w:t>
      </w:r>
    </w:p>
    <w:p w14:paraId="06AE8257">
      <w:pPr>
        <w:ind w:firstLine="420"/>
        <w:rPr>
          <w:b w:val="0"/>
          <w:bCs w:val="0"/>
        </w:rPr>
      </w:pPr>
      <w:r>
        <w:rPr>
          <w:rFonts w:hint="eastAsia"/>
          <w:b w:val="0"/>
          <w:bCs w:val="0"/>
        </w:rPr>
        <w:t xml:space="preserve"> </w:t>
      </w:r>
      <w:r>
        <w:rPr>
          <w:b w:val="0"/>
          <w:bCs w:val="0"/>
        </w:rPr>
        <w:t xml:space="preserve">In the gas collection </w:t>
      </w:r>
      <w:r>
        <w:rPr>
          <w:rFonts w:hint="eastAsia"/>
          <w:b w:val="0"/>
          <w:bCs w:val="0"/>
        </w:rPr>
        <w:t>apparatus</w:t>
      </w:r>
      <w:r>
        <w:rPr>
          <w:b w:val="0"/>
          <w:bCs w:val="0"/>
        </w:rPr>
        <w:t xml:space="preserve">, both oxygen bag and sampling bag </w:t>
      </w:r>
      <w:r>
        <w:rPr>
          <w:rFonts w:hint="eastAsia"/>
          <w:b w:val="0"/>
          <w:bCs w:val="0"/>
        </w:rPr>
        <w:t xml:space="preserve">were </w:t>
      </w:r>
      <w:r>
        <w:rPr>
          <w:b w:val="0"/>
          <w:bCs w:val="0"/>
        </w:rPr>
        <w:t xml:space="preserve">connected to the syringe through a silicone tube, and the gas volume </w:t>
      </w:r>
      <w:r>
        <w:rPr>
          <w:rFonts w:hint="eastAsia"/>
          <w:b w:val="0"/>
          <w:bCs w:val="0"/>
        </w:rPr>
        <w:t xml:space="preserve">was directly estimated according to </w:t>
      </w:r>
      <w:r>
        <w:rPr>
          <w:b w:val="0"/>
          <w:bCs w:val="0"/>
        </w:rPr>
        <w:t xml:space="preserve">syringe's scale. The overall cleanliness and sealing are tested. For cleanliness testing, high-purity nitrogen gas </w:t>
      </w:r>
      <w:r>
        <w:rPr>
          <w:rFonts w:hint="eastAsia"/>
          <w:b w:val="0"/>
          <w:bCs w:val="0"/>
        </w:rPr>
        <w:t>was</w:t>
      </w:r>
      <w:r>
        <w:rPr>
          <w:b w:val="0"/>
          <w:bCs w:val="0"/>
        </w:rPr>
        <w:t xml:space="preserve"> introduced into the glass syringe and the sampling bag. After sealing for 1</w:t>
      </w:r>
      <w:r>
        <w:rPr>
          <w:rFonts w:hint="eastAsia"/>
          <w:b w:val="0"/>
          <w:bCs w:val="0"/>
        </w:rPr>
        <w:t>h</w:t>
      </w:r>
      <w:r>
        <w:rPr>
          <w:b w:val="0"/>
          <w:bCs w:val="0"/>
        </w:rPr>
        <w:t xml:space="preserve">, the gas from both </w:t>
      </w:r>
      <w:r>
        <w:rPr>
          <w:rFonts w:hint="eastAsia"/>
          <w:b w:val="0"/>
          <w:bCs w:val="0"/>
        </w:rPr>
        <w:t>was</w:t>
      </w:r>
      <w:r>
        <w:rPr>
          <w:b w:val="0"/>
          <w:bCs w:val="0"/>
        </w:rPr>
        <w:t xml:space="preserve"> separately adsorbed using an extraction fiber. </w:t>
      </w:r>
      <w:r>
        <w:rPr>
          <w:rFonts w:hint="eastAsia"/>
          <w:b w:val="0"/>
          <w:bCs w:val="0"/>
        </w:rPr>
        <w:t>Gas components</w:t>
      </w:r>
      <w:r>
        <w:rPr>
          <w:b w:val="0"/>
          <w:bCs w:val="0"/>
        </w:rPr>
        <w:t xml:space="preserve"> </w:t>
      </w:r>
      <w:r>
        <w:rPr>
          <w:rFonts w:hint="eastAsia"/>
          <w:b w:val="0"/>
          <w:bCs w:val="0"/>
        </w:rPr>
        <w:t>are</w:t>
      </w:r>
      <w:r>
        <w:rPr>
          <w:b w:val="0"/>
          <w:bCs w:val="0"/>
        </w:rPr>
        <w:t xml:space="preserve"> then analyzed by GCMS through headspace injection and the results are compared with the analysis of a blank extraction fiber. In the sealing test, 500mL of gas </w:t>
      </w:r>
      <w:r>
        <w:rPr>
          <w:rFonts w:hint="eastAsia"/>
          <w:b w:val="0"/>
          <w:bCs w:val="0"/>
        </w:rPr>
        <w:t>was</w:t>
      </w:r>
      <w:r>
        <w:rPr>
          <w:b w:val="0"/>
          <w:bCs w:val="0"/>
        </w:rPr>
        <w:t xml:space="preserve"> injected into the syringe, and the silicone tubing in the device </w:t>
      </w:r>
      <w:r>
        <w:rPr>
          <w:rFonts w:hint="eastAsia"/>
          <w:b w:val="0"/>
          <w:bCs w:val="0"/>
        </w:rPr>
        <w:t>is</w:t>
      </w:r>
      <w:r>
        <w:rPr>
          <w:b w:val="0"/>
          <w:bCs w:val="0"/>
        </w:rPr>
        <w:t xml:space="preserve"> clamped. The gas collection syringe </w:t>
      </w:r>
      <w:r>
        <w:rPr>
          <w:rFonts w:hint="eastAsia"/>
          <w:b w:val="0"/>
          <w:bCs w:val="0"/>
        </w:rPr>
        <w:t>was</w:t>
      </w:r>
      <w:r>
        <w:rPr>
          <w:b w:val="0"/>
          <w:bCs w:val="0"/>
        </w:rPr>
        <w:t xml:space="preserve"> placed vertically for 1 hour. The scale position of the piston remains at 500mL, confirming the good sealing performance of the device.</w:t>
      </w:r>
    </w:p>
    <w:p w14:paraId="65E15277">
      <w:pPr>
        <w:ind w:firstLine="420"/>
        <w:rPr>
          <w:b w:val="0"/>
          <w:bCs w:val="0"/>
        </w:rPr>
      </w:pPr>
      <w:r>
        <w:rPr>
          <w:rFonts w:hint="eastAsia"/>
          <w:b w:val="0"/>
          <w:bCs w:val="0"/>
        </w:rPr>
        <w:t xml:space="preserve"> </w:t>
      </w:r>
      <w:r>
        <w:rPr>
          <w:b w:val="0"/>
          <w:bCs w:val="0"/>
        </w:rPr>
        <w:t xml:space="preserve">Place the targeted mouse into the glass syringe, push the piston to the 450mL mark, connect the other end of the silicone tubing attached to the gas outlet to the oxygen bag, and seal with a clamp. The entire apparatus </w:t>
      </w:r>
      <w:r>
        <w:rPr>
          <w:rFonts w:hint="eastAsia"/>
          <w:b w:val="0"/>
          <w:bCs w:val="0"/>
        </w:rPr>
        <w:t xml:space="preserve">is </w:t>
      </w:r>
      <w:r>
        <w:rPr>
          <w:b w:val="0"/>
          <w:bCs w:val="0"/>
        </w:rPr>
        <w:t>placed in a 25°C environment, and every 15</w:t>
      </w:r>
      <w:r>
        <w:rPr>
          <w:rFonts w:hint="eastAsia"/>
          <w:b w:val="0"/>
          <w:bCs w:val="0"/>
        </w:rPr>
        <w:t>min</w:t>
      </w:r>
      <w:r>
        <w:rPr>
          <w:b w:val="0"/>
          <w:bCs w:val="0"/>
        </w:rPr>
        <w:t>, the sealed clamp and the gas bag switch, and move the piston to supplement 10 mL of oxygen. After 1</w:t>
      </w:r>
      <w:r>
        <w:rPr>
          <w:rFonts w:hint="eastAsia"/>
          <w:b w:val="0"/>
          <w:bCs w:val="0"/>
        </w:rPr>
        <w:t>h</w:t>
      </w:r>
      <w:r>
        <w:rPr>
          <w:b w:val="0"/>
          <w:bCs w:val="0"/>
        </w:rPr>
        <w:t xml:space="preserve"> of sealing, rem</w:t>
      </w:r>
      <w:r>
        <w:rPr>
          <w:rFonts w:hint="eastAsia"/>
          <w:b w:val="0"/>
          <w:bCs w:val="0"/>
        </w:rPr>
        <w:t>oving</w:t>
      </w:r>
      <w:r>
        <w:rPr>
          <w:b w:val="0"/>
          <w:bCs w:val="0"/>
        </w:rPr>
        <w:t xml:space="preserve"> the oxygen bag, connect an empty sampling bag, and slowly push the gas from the syringe into the sampling bag by pushing the piston. Ensure sufficient space for the mouse during this process. After the gas collection, remove the mouse and place it in a regular mouse cage immediately.</w:t>
      </w:r>
    </w:p>
    <w:p w14:paraId="1B2A78E0"/>
    <w:p w14:paraId="1D15A721">
      <w:r>
        <w:rPr>
          <w:rFonts w:hint="eastAsia"/>
        </w:rPr>
        <w:t>Details of sensor fabrication and sample gas preparation</w:t>
      </w:r>
    </w:p>
    <w:p w14:paraId="09E888CB">
      <w:pPr>
        <w:numPr>
          <w:ilvl w:val="0"/>
          <w:numId w:val="6"/>
        </w:numPr>
        <w:ind w:firstLine="204" w:firstLineChars="85"/>
        <w:rPr>
          <w:b w:val="0"/>
          <w:bCs w:val="0"/>
        </w:rPr>
      </w:pPr>
      <w:r>
        <w:rPr>
          <w:rFonts w:hint="eastAsia"/>
          <w:b w:val="0"/>
          <w:bCs w:val="0"/>
        </w:rPr>
        <w:t>Sensor preparation process</w:t>
      </w:r>
    </w:p>
    <w:p w14:paraId="07AE20B8">
      <w:pPr>
        <w:rPr>
          <w:b w:val="0"/>
          <w:bCs w:val="0"/>
        </w:rPr>
      </w:pPr>
      <w:r>
        <w:rPr>
          <w:rFonts w:hint="eastAsia"/>
          <w:b w:val="0"/>
          <w:bCs w:val="0"/>
        </w:rPr>
        <w:t xml:space="preserve">YSZ-based electrochemical phenol </w:t>
      </w:r>
      <w:r>
        <w:rPr>
          <w:b w:val="0"/>
          <w:bCs w:val="0"/>
        </w:rPr>
        <w:t>sensor fabrication processes are as follows:</w:t>
      </w:r>
    </w:p>
    <w:p w14:paraId="1EA62D1F">
      <w:pPr>
        <w:rPr>
          <w:b w:val="0"/>
          <w:bCs w:val="0"/>
        </w:rPr>
      </w:pPr>
      <w:r>
        <w:rPr>
          <w:b w:val="0"/>
          <w:bCs w:val="0"/>
        </w:rPr>
        <w:t xml:space="preserve">1) Binder preparation: </w:t>
      </w:r>
      <w:r>
        <w:rPr>
          <w:rFonts w:hint="eastAsia"/>
          <w:b w:val="0"/>
          <w:bCs w:val="0"/>
        </w:rPr>
        <w:t>m</w:t>
      </w:r>
      <w:r>
        <w:rPr>
          <w:b w:val="0"/>
          <w:bCs w:val="0"/>
        </w:rPr>
        <w:t>ix turpentine alcohol and ethyl cellulose in a ratio of 94:6 by mass to prepare a turpentine alcohol slurry</w:t>
      </w:r>
      <w:r>
        <w:rPr>
          <w:rFonts w:hint="eastAsia"/>
          <w:b w:val="0"/>
          <w:bCs w:val="0"/>
        </w:rPr>
        <w:t>;</w:t>
      </w:r>
    </w:p>
    <w:p w14:paraId="189E9461">
      <w:pPr>
        <w:rPr>
          <w:b w:val="0"/>
          <w:bCs w:val="0"/>
        </w:rPr>
      </w:pPr>
      <w:r>
        <w:rPr>
          <w:b w:val="0"/>
          <w:bCs w:val="0"/>
        </w:rPr>
        <w:t xml:space="preserve">2) Preparation of reference electrode: </w:t>
      </w:r>
      <w:r>
        <w:rPr>
          <w:rFonts w:hint="eastAsia"/>
          <w:b w:val="0"/>
          <w:bCs w:val="0"/>
        </w:rPr>
        <w:t>g</w:t>
      </w:r>
      <w:r>
        <w:rPr>
          <w:b w:val="0"/>
          <w:bCs w:val="0"/>
        </w:rPr>
        <w:t>rind a mixture of turpentine alcohol slurry and manganese dioxide powder in a mass ratio of 1.2:1 using an agate mortar to obtain a reference electrode slurry. Coat the reference electrode slurry onto the reference electrode lead based on yttria-stabilized zirconia</w:t>
      </w:r>
      <w:r>
        <w:rPr>
          <w:rFonts w:hint="eastAsia"/>
          <w:b w:val="0"/>
          <w:bCs w:val="0"/>
        </w:rPr>
        <w:t>;</w:t>
      </w:r>
    </w:p>
    <w:p w14:paraId="3AA1457D">
      <w:pPr>
        <w:rPr>
          <w:b w:val="0"/>
          <w:bCs w:val="0"/>
        </w:rPr>
      </w:pPr>
      <w:r>
        <w:rPr>
          <w:b w:val="0"/>
          <w:bCs w:val="0"/>
        </w:rPr>
        <w:t>3) Preparation of counter electrode: Coat platinum slurry onto the counter electrode wire</w:t>
      </w:r>
      <w:r>
        <w:rPr>
          <w:rFonts w:hint="eastAsia"/>
          <w:b w:val="0"/>
          <w:bCs w:val="0"/>
        </w:rPr>
        <w:t>;</w:t>
      </w:r>
    </w:p>
    <w:p w14:paraId="58F73801">
      <w:pPr>
        <w:rPr>
          <w:b w:val="0"/>
          <w:bCs w:val="0"/>
        </w:rPr>
      </w:pPr>
      <w:r>
        <w:rPr>
          <w:b w:val="0"/>
          <w:bCs w:val="0"/>
        </w:rPr>
        <w:t xml:space="preserve">4) </w:t>
      </w:r>
      <w:r>
        <w:rPr>
          <w:rFonts w:hint="eastAsia"/>
          <w:b w:val="0"/>
          <w:bCs w:val="0"/>
        </w:rPr>
        <w:t>Forming</w:t>
      </w:r>
      <w:r>
        <w:rPr>
          <w:b w:val="0"/>
          <w:bCs w:val="0"/>
        </w:rPr>
        <w:t xml:space="preserve"> reference and counter electrodes: The </w:t>
      </w:r>
      <w:r>
        <w:rPr>
          <w:rFonts w:hint="eastAsia"/>
          <w:b w:val="0"/>
          <w:bCs w:val="0"/>
        </w:rPr>
        <w:t>sensor</w:t>
      </w:r>
      <w:r>
        <w:rPr>
          <w:b w:val="0"/>
          <w:bCs w:val="0"/>
        </w:rPr>
        <w:t xml:space="preserve"> </w:t>
      </w:r>
      <w:r>
        <w:rPr>
          <w:rFonts w:hint="eastAsia"/>
          <w:b w:val="0"/>
          <w:bCs w:val="0"/>
        </w:rPr>
        <w:t>are</w:t>
      </w:r>
      <w:r>
        <w:rPr>
          <w:b w:val="0"/>
          <w:bCs w:val="0"/>
        </w:rPr>
        <w:t xml:space="preserve"> first dried at 130°C for 4 hours and then placed in a muffle furnace for sintering. The sintering temperature profile was as follows: ramp up from room temperature to 1400°C at a rate of 3°C/min, hold at 1400°C for 2 hours, and then naturally cool to room temperature after the sintering process</w:t>
      </w:r>
      <w:r>
        <w:rPr>
          <w:rFonts w:hint="eastAsia"/>
          <w:b w:val="0"/>
          <w:bCs w:val="0"/>
        </w:rPr>
        <w:t>;</w:t>
      </w:r>
    </w:p>
    <w:p w14:paraId="43AEC50B">
      <w:pPr>
        <w:rPr>
          <w:b w:val="0"/>
          <w:bCs w:val="0"/>
        </w:rPr>
      </w:pPr>
      <w:r>
        <w:rPr>
          <w:b w:val="0"/>
          <w:bCs w:val="0"/>
        </w:rPr>
        <w:t xml:space="preserve">5) Preparation of the sensing electrode: </w:t>
      </w:r>
      <w:r>
        <w:rPr>
          <w:rFonts w:hint="eastAsia"/>
          <w:b w:val="0"/>
          <w:bCs w:val="0"/>
        </w:rPr>
        <w:t>g</w:t>
      </w:r>
      <w:r>
        <w:rPr>
          <w:b w:val="0"/>
          <w:bCs w:val="0"/>
        </w:rPr>
        <w:t>rind a mixture of turpentine alcohol slurry and chromium oxide powder in a mass ratio of 1:1 using an agate mortar to obtain a sensing electrode slurry. Coat the sensing electrode slurry onto the lead of the sensing electrode</w:t>
      </w:r>
      <w:r>
        <w:rPr>
          <w:rFonts w:hint="eastAsia"/>
          <w:b w:val="0"/>
          <w:bCs w:val="0"/>
        </w:rPr>
        <w:t>;</w:t>
      </w:r>
    </w:p>
    <w:p w14:paraId="4E69D767">
      <w:pPr>
        <w:rPr>
          <w:b w:val="0"/>
          <w:bCs w:val="0"/>
        </w:rPr>
      </w:pPr>
      <w:r>
        <w:rPr>
          <w:b w:val="0"/>
          <w:bCs w:val="0"/>
        </w:rPr>
        <w:t xml:space="preserve">6) </w:t>
      </w:r>
      <w:r>
        <w:rPr>
          <w:rFonts w:hint="eastAsia"/>
          <w:b w:val="0"/>
          <w:bCs w:val="0"/>
        </w:rPr>
        <w:t>Forming</w:t>
      </w:r>
      <w:r>
        <w:rPr>
          <w:b w:val="0"/>
          <w:bCs w:val="0"/>
        </w:rPr>
        <w:t xml:space="preserve"> sensing electrode: </w:t>
      </w:r>
      <w:r>
        <w:rPr>
          <w:rFonts w:hint="eastAsia"/>
          <w:b w:val="0"/>
          <w:bCs w:val="0"/>
        </w:rPr>
        <w:t>t</w:t>
      </w:r>
      <w:r>
        <w:rPr>
          <w:b w:val="0"/>
          <w:bCs w:val="0"/>
        </w:rPr>
        <w:t xml:space="preserve">he </w:t>
      </w:r>
      <w:r>
        <w:rPr>
          <w:rFonts w:hint="eastAsia"/>
          <w:b w:val="0"/>
          <w:bCs w:val="0"/>
        </w:rPr>
        <w:t>sensor</w:t>
      </w:r>
      <w:r>
        <w:rPr>
          <w:b w:val="0"/>
          <w:bCs w:val="0"/>
        </w:rPr>
        <w:t xml:space="preserve"> </w:t>
      </w:r>
      <w:r>
        <w:rPr>
          <w:rFonts w:hint="eastAsia"/>
          <w:b w:val="0"/>
          <w:bCs w:val="0"/>
        </w:rPr>
        <w:t>are</w:t>
      </w:r>
      <w:r>
        <w:rPr>
          <w:b w:val="0"/>
          <w:bCs w:val="0"/>
        </w:rPr>
        <w:t xml:space="preserve"> first dried at 130°C for 4 hours and placed in a muffle furnace for sintering. The sintering temperature profile is as follows: ramp up from room temperature to 1050°C at a rate of 3°C/min, hold at 1050°C for 2 hours, and then naturally cool to room temperature after the sintering process.</w:t>
      </w:r>
    </w:p>
    <w:p w14:paraId="0606D8DB">
      <w:pPr>
        <w:ind w:firstLine="204" w:firstLineChars="85"/>
        <w:rPr>
          <w:b w:val="0"/>
          <w:bCs w:val="0"/>
        </w:rPr>
      </w:pPr>
      <w:r>
        <w:rPr>
          <w:rFonts w:hint="eastAsia"/>
          <w:b w:val="0"/>
          <w:bCs w:val="0"/>
        </w:rPr>
        <w:t>(2) Details of sample gas preparation</w:t>
      </w:r>
    </w:p>
    <w:p w14:paraId="5206A95C">
      <w:pPr>
        <w:rPr>
          <w:b w:val="0"/>
          <w:bCs w:val="0"/>
        </w:rPr>
      </w:pPr>
      <w:r>
        <w:rPr>
          <w:b w:val="0"/>
          <w:bCs w:val="0"/>
        </w:rPr>
        <w:t>The testing system mainly consists of the sensor, quartz testing chamber, digital multimeter, power supply, gas cylinders, and a gas distribution system. The gas distribution system has nine interfaces, which can be connected to nine gas cylinders (replaceable) through pressure-reducing valves. The gas switches and flow direction were controlled by two-way/three-way valves in the pipeline. The gas flow rate was controlled by seven mass flow controllers (MFC) arranged in the pipeline. The real-time flow was adjusted and monitored by the Muti-Digital MFC software on the computer. The digital multimeter was connected to the computer through an I/O interface transmission line, and the Agilent signal acquisition software was used to collect and display the response curve of the sensor in real time. The entire system can dynamically configure gases of different concentrations and compositions, exposing the sensor to the atmosphere of the test gas to achieve real-time collection of response signals.</w:t>
      </w:r>
    </w:p>
    <w:p w14:paraId="752F6063">
      <w:pPr>
        <w:ind w:firstLine="420"/>
        <w:rPr>
          <w:b w:val="0"/>
          <w:bCs w:val="0"/>
        </w:rPr>
      </w:pPr>
      <w:r>
        <w:rPr>
          <w:b w:val="0"/>
          <w:bCs w:val="0"/>
        </w:rPr>
        <w:t>To align with real-world application scenarios, the sensor was exposed to a simulated air environment, and the response signal in this environment was considered as the baseline state for the sensor. The main principle of sensor testing relies on the redox reactions at the interface, directly correlated with the concentration of oxygen. In air, the primary factor affecting the sensor response signal is the concentration of oxygen. Therefore, the simulated air contains 21% oxygen, with the rest being nitrogen. Additionally, when diluting samples of different concentrations or creating gas mixtures, it is essential to ensure that the final oxygen concentration in the gas is 21%. For dilution, three gases are used: the original test gas, 50% oxygen, and air. The total gas flow rate was maintained at 100 sccm, and the proportions of different gases in the mixture were controlled by the gas flow rates. This was achieved through mass flow controllers to adjust the gas concentration, with the calculation formula as follows:</w:t>
      </w:r>
    </w:p>
    <w:p w14:paraId="366A9852">
      <w:pPr>
        <w:jc w:val="center"/>
        <w:rPr>
          <w:b w:val="0"/>
          <w:bCs w:val="0"/>
        </w:rPr>
      </w:pPr>
      <w:r>
        <w:rPr>
          <w:b w:val="0"/>
          <w:bCs w:val="0"/>
          <w:position w:val="-30"/>
        </w:rPr>
        <w:object>
          <v:shape id="_x0000_i1025" o:spt="75" type="#_x0000_t75" style="height:34.6pt;width:49.1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r>
        <w:rPr>
          <w:rFonts w:hint="eastAsia"/>
          <w:b w:val="0"/>
          <w:bCs w:val="0"/>
          <w:position w:val="-30"/>
        </w:rPr>
        <w:t xml:space="preserve">          </w:t>
      </w:r>
    </w:p>
    <w:p w14:paraId="6E3161DF">
      <w:pPr>
        <w:jc w:val="center"/>
        <w:rPr>
          <w:b w:val="0"/>
          <w:bCs w:val="0"/>
        </w:rPr>
      </w:pPr>
      <w:r>
        <w:rPr>
          <w:b w:val="0"/>
          <w:bCs w:val="0"/>
          <w:position w:val="-10"/>
        </w:rPr>
        <w:object>
          <v:shape id="_x0000_i1026" o:spt="75" type="#_x0000_t75" style="height:16.35pt;width:85.1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p>
    <w:p w14:paraId="08DDE6CB">
      <w:pPr>
        <w:jc w:val="center"/>
        <w:rPr>
          <w:b w:val="0"/>
          <w:bCs w:val="0"/>
        </w:rPr>
      </w:pPr>
      <w:r>
        <w:rPr>
          <w:b w:val="0"/>
          <w:bCs w:val="0"/>
          <w:position w:val="-10"/>
        </w:rPr>
        <w:object>
          <v:shape id="_x0000_i1027" o:spt="75" type="#_x0000_t75" style="height:16.35pt;width:73.4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p>
    <w:p w14:paraId="4C25FD2E">
      <w:pPr>
        <w:rPr>
          <w:b w:val="0"/>
          <w:bCs w:val="0"/>
        </w:rPr>
      </w:pPr>
      <w:r>
        <w:rPr>
          <w:b w:val="0"/>
          <w:bCs w:val="0"/>
        </w:rPr>
        <w:t xml:space="preserve">Where </w:t>
      </w:r>
      <w:r>
        <w:rPr>
          <w:b w:val="0"/>
          <w:bCs w:val="0"/>
          <w:i/>
          <w:iCs/>
        </w:rPr>
        <w:t>C</w:t>
      </w:r>
      <w:r>
        <w:rPr>
          <w:b w:val="0"/>
          <w:bCs w:val="0"/>
          <w:i/>
          <w:iCs/>
          <w:vertAlign w:val="subscript"/>
        </w:rPr>
        <w:t>0</w:t>
      </w:r>
      <w:r>
        <w:rPr>
          <w:b w:val="0"/>
          <w:bCs w:val="0"/>
        </w:rPr>
        <w:t xml:space="preserve"> is the original concentration of the test gas, </w:t>
      </w:r>
      <w:r>
        <w:rPr>
          <w:b w:val="0"/>
          <w:bCs w:val="0"/>
          <w:i/>
          <w:iCs/>
        </w:rPr>
        <w:t>C</w:t>
      </w:r>
      <w:r>
        <w:rPr>
          <w:b w:val="0"/>
          <w:bCs w:val="0"/>
        </w:rPr>
        <w:t xml:space="preserve"> is the target concentration of the test gas; x, y, and z represent the actual gas flow rates of the test gas, air, and oxygen, respectively. Based on the above principal formula, the numerical values of the flow rates for the three required gases during gas dilution can be obtained as follows:</w:t>
      </w:r>
    </w:p>
    <w:p w14:paraId="7ED97907">
      <w:pPr>
        <w:ind w:firstLine="420"/>
        <w:jc w:val="center"/>
        <w:rPr>
          <w:b w:val="0"/>
          <w:bCs w:val="0"/>
        </w:rPr>
      </w:pPr>
      <w:r>
        <w:rPr>
          <w:b w:val="0"/>
          <w:bCs w:val="0"/>
          <w:position w:val="-30"/>
        </w:rPr>
        <w:object>
          <v:shape id="_x0000_i1028" o:spt="75" type="#_x0000_t75" style="height:34.6pt;width:49.1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p>
    <w:p w14:paraId="788F13FA">
      <w:pPr>
        <w:ind w:firstLine="420"/>
        <w:jc w:val="center"/>
        <w:rPr>
          <w:b w:val="0"/>
          <w:bCs w:val="0"/>
        </w:rPr>
      </w:pPr>
      <w:r>
        <w:rPr>
          <w:b w:val="0"/>
          <w:bCs w:val="0"/>
          <w:position w:val="-30"/>
        </w:rPr>
        <w:object>
          <v:shape id="_x0000_i1029" o:spt="75" type="#_x0000_t75" style="height:34.6pt;width:83.7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p>
    <w:p w14:paraId="79206279">
      <w:pPr>
        <w:ind w:firstLine="420"/>
        <w:jc w:val="center"/>
        <w:rPr>
          <w:b w:val="0"/>
          <w:bCs w:val="0"/>
          <w:position w:val="-30"/>
        </w:rPr>
      </w:pPr>
      <w:r>
        <w:rPr>
          <w:b w:val="0"/>
          <w:bCs w:val="0"/>
          <w:position w:val="-30"/>
        </w:rPr>
        <w:object>
          <v:shape id="_x0000_i1030" o:spt="75" type="#_x0000_t75" style="height:34.6pt;width:55.65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7">
            <o:LockedField>false</o:LockedField>
          </o:OLEObject>
        </w:object>
      </w:r>
    </w:p>
    <w:p w14:paraId="576AAD95">
      <w:pPr>
        <w:ind w:firstLine="420"/>
        <w:jc w:val="center"/>
        <w:rPr>
          <w:b w:val="0"/>
          <w:bCs w:val="0"/>
          <w:position w:val="-30"/>
        </w:rPr>
      </w:pPr>
    </w:p>
    <w:p w14:paraId="40770716">
      <w:pPr>
        <w:rPr>
          <w:rFonts w:eastAsia="宋体"/>
          <w:kern w:val="0"/>
        </w:rPr>
      </w:pPr>
      <w:r>
        <w:rPr>
          <w:rFonts w:eastAsia="宋体"/>
          <w:kern w:val="0"/>
        </w:rPr>
        <w:t>Pharmacokinetics</w:t>
      </w:r>
      <w:r>
        <w:rPr>
          <w:rFonts w:hint="eastAsia" w:eastAsia="宋体"/>
          <w:kern w:val="0"/>
        </w:rPr>
        <w:t xml:space="preserve"> study </w:t>
      </w:r>
      <w:r>
        <w:rPr>
          <w:rFonts w:eastAsia="宋体"/>
          <w:kern w:val="0"/>
        </w:rPr>
        <w:t xml:space="preserve">of </w:t>
      </w:r>
      <w:r>
        <w:rPr>
          <w:rFonts w:hint="eastAsia" w:eastAsia="宋体"/>
          <w:kern w:val="0"/>
        </w:rPr>
        <w:t>in v</w:t>
      </w:r>
      <w:r>
        <w:rPr>
          <w:rFonts w:eastAsia="宋体"/>
          <w:kern w:val="0"/>
        </w:rPr>
        <w:t xml:space="preserve">ivo </w:t>
      </w:r>
      <w:r>
        <w:rPr>
          <w:rFonts w:hint="eastAsia" w:eastAsia="宋体"/>
          <w:kern w:val="0"/>
        </w:rPr>
        <w:t>s</w:t>
      </w:r>
      <w:r>
        <w:rPr>
          <w:rFonts w:eastAsia="宋体"/>
          <w:kern w:val="0"/>
        </w:rPr>
        <w:t xml:space="preserve">amples by </w:t>
      </w:r>
      <w:r>
        <w:rPr>
          <w:rFonts w:hint="eastAsia" w:eastAsia="宋体"/>
          <w:kern w:val="0"/>
        </w:rPr>
        <w:t>UP</w:t>
      </w:r>
      <w:r>
        <w:rPr>
          <w:rFonts w:eastAsia="宋体"/>
          <w:kern w:val="0"/>
        </w:rPr>
        <w:t>LCMS/MS</w:t>
      </w:r>
    </w:p>
    <w:p w14:paraId="2C26396D">
      <w:pPr>
        <w:pStyle w:val="5"/>
        <w:widowControl/>
        <w:shd w:val="clear" w:color="auto" w:fill="FFFFFF"/>
        <w:spacing w:beforeAutospacing="0" w:afterAutospacing="0"/>
        <w:jc w:val="both"/>
        <w:rPr>
          <w:rFonts w:eastAsia="sans-serif" w:cs="Arial"/>
          <w:b w:val="0"/>
          <w:bCs w:val="0"/>
        </w:rPr>
      </w:pPr>
      <w:r>
        <w:rPr>
          <w:rFonts w:eastAsia="sans-serif" w:cs="Arial"/>
          <w:b w:val="0"/>
          <w:bCs w:val="0"/>
          <w:shd w:val="clear" w:color="auto" w:fill="FFFFFF"/>
        </w:rPr>
        <w:t xml:space="preserve">Electrospray ionization </w:t>
      </w:r>
      <w:r>
        <w:rPr>
          <w:rFonts w:hint="eastAsia" w:eastAsia="宋体" w:cs="Arial"/>
          <w:b w:val="0"/>
          <w:bCs w:val="0"/>
          <w:shd w:val="clear" w:color="auto" w:fill="FFFFFF"/>
        </w:rPr>
        <w:t>UP</w:t>
      </w:r>
      <w:r>
        <w:rPr>
          <w:rFonts w:eastAsia="sans-serif" w:cs="Arial"/>
          <w:b w:val="0"/>
          <w:bCs w:val="0"/>
          <w:shd w:val="clear" w:color="auto" w:fill="FFFFFF"/>
        </w:rPr>
        <w:t xml:space="preserve">LC-MS/MS analysis was carried out using an AB Sciex 4000 triple quadrupole mass spectrometry instrument with a Waters ACQUITY UPLC I-Class/Xevo TQD </w:t>
      </w:r>
      <w:r>
        <w:rPr>
          <w:rFonts w:hint="eastAsia" w:eastAsia="宋体" w:cs="Arial"/>
          <w:b w:val="0"/>
          <w:bCs w:val="0"/>
          <w:shd w:val="clear" w:color="auto" w:fill="FFFFFF"/>
        </w:rPr>
        <w:t>UP</w:t>
      </w:r>
      <w:r>
        <w:rPr>
          <w:rFonts w:eastAsia="sans-serif" w:cs="Arial"/>
          <w:b w:val="0"/>
          <w:bCs w:val="0"/>
          <w:shd w:val="clear" w:color="auto" w:fill="FFFFFF"/>
        </w:rPr>
        <w:t>LC</w:t>
      </w:r>
      <w:r>
        <w:rPr>
          <w:rFonts w:hint="eastAsia" w:eastAsia="宋体" w:cs="Arial"/>
          <w:b w:val="0"/>
          <w:bCs w:val="0"/>
          <w:shd w:val="clear" w:color="auto" w:fill="FFFFFF"/>
        </w:rPr>
        <w:t xml:space="preserve"> </w:t>
      </w:r>
      <w:r>
        <w:rPr>
          <w:rFonts w:eastAsia="sans-serif" w:cs="Arial"/>
          <w:b w:val="0"/>
          <w:bCs w:val="0"/>
          <w:shd w:val="clear" w:color="auto" w:fill="FFFFFF"/>
        </w:rPr>
        <w:t xml:space="preserve">system. Chromatographic separation was achieved at 40°C using a reversed phase column </w:t>
      </w:r>
      <w:r>
        <w:rPr>
          <w:rFonts w:eastAsia="宋体" w:cs="Arial"/>
          <w:b w:val="0"/>
          <w:bCs w:val="0"/>
          <w:color w:val="000000" w:themeColor="text1"/>
          <w14:textFill>
            <w14:solidFill>
              <w14:schemeClr w14:val="tx1"/>
            </w14:solidFill>
          </w14:textFill>
        </w:rPr>
        <w:t>ACQUITY UPLC BEH C18 Column</w:t>
      </w:r>
      <w:r>
        <w:rPr>
          <w:rFonts w:hint="eastAsia" w:eastAsia="宋体" w:cs="Arial"/>
          <w:b w:val="0"/>
          <w:bCs w:val="0"/>
          <w:color w:val="000000" w:themeColor="text1"/>
          <w14:textFill>
            <w14:solidFill>
              <w14:schemeClr w14:val="tx1"/>
            </w14:solidFill>
          </w14:textFill>
        </w:rPr>
        <w:t xml:space="preserve"> (</w:t>
      </w:r>
      <w:r>
        <w:rPr>
          <w:rFonts w:eastAsia="宋体" w:cs="Arial"/>
          <w:b w:val="0"/>
          <w:bCs w:val="0"/>
          <w:color w:val="000000" w:themeColor="text1"/>
          <w14:textFill>
            <w14:solidFill>
              <w14:schemeClr w14:val="tx1"/>
            </w14:solidFill>
          </w14:textFill>
        </w:rPr>
        <w:t>2.1mm × 100mm</w:t>
      </w:r>
      <w:r>
        <w:rPr>
          <w:rFonts w:hint="eastAsia" w:eastAsia="宋体" w:cs="Arial"/>
          <w:b w:val="0"/>
          <w:bCs w:val="0"/>
          <w:color w:val="000000" w:themeColor="text1"/>
          <w14:textFill>
            <w14:solidFill>
              <w14:schemeClr w14:val="tx1"/>
            </w14:solidFill>
          </w14:textFill>
        </w:rPr>
        <w:t xml:space="preserve">, </w:t>
      </w:r>
      <w:r>
        <w:rPr>
          <w:rFonts w:eastAsia="宋体" w:cs="Arial"/>
          <w:b w:val="0"/>
          <w:bCs w:val="0"/>
          <w:color w:val="000000" w:themeColor="text1"/>
          <w14:textFill>
            <w14:solidFill>
              <w14:schemeClr w14:val="tx1"/>
            </w14:solidFill>
          </w14:textFill>
        </w:rPr>
        <w:t>1.7μm</w:t>
      </w:r>
      <w:r>
        <w:rPr>
          <w:rFonts w:hint="eastAsia" w:eastAsia="宋体" w:cs="Arial"/>
          <w:b w:val="0"/>
          <w:bCs w:val="0"/>
          <w:color w:val="000000" w:themeColor="text1"/>
          <w14:textFill>
            <w14:solidFill>
              <w14:schemeClr w14:val="tx1"/>
            </w14:solidFill>
          </w14:textFill>
        </w:rPr>
        <w:t xml:space="preserve">). </w:t>
      </w:r>
      <w:r>
        <w:rPr>
          <w:rFonts w:eastAsia="sans-serif" w:cs="Arial"/>
          <w:b w:val="0"/>
          <w:bCs w:val="0"/>
          <w:shd w:val="clear" w:color="auto" w:fill="FFFFFF"/>
        </w:rPr>
        <w:t>The analyte was eluted from the column using an isocratic flow of Mobile Phase A (</w:t>
      </w:r>
      <w:r>
        <w:rPr>
          <w:rFonts w:eastAsia="Arial" w:cs="Arial"/>
          <w:b w:val="0"/>
          <w:bCs w:val="0"/>
          <w:color w:val="333333"/>
          <w:shd w:val="clear" w:color="auto" w:fill="FFFFFF"/>
        </w:rPr>
        <w:t>acetonitrile</w:t>
      </w:r>
      <w:r>
        <w:rPr>
          <w:rFonts w:eastAsia="sans-serif" w:cs="Arial"/>
          <w:b w:val="0"/>
          <w:bCs w:val="0"/>
          <w:shd w:val="clear" w:color="auto" w:fill="FFFFFF"/>
        </w:rPr>
        <w:t>)</w:t>
      </w:r>
      <w:r>
        <w:rPr>
          <w:rFonts w:hint="eastAsia" w:eastAsia="宋体" w:cs="Arial"/>
          <w:b w:val="0"/>
          <w:bCs w:val="0"/>
          <w:shd w:val="clear" w:color="auto" w:fill="FFFFFF"/>
        </w:rPr>
        <w:t xml:space="preserve"> </w:t>
      </w:r>
      <w:r>
        <w:rPr>
          <w:rFonts w:eastAsia="sans-serif" w:cs="Arial"/>
          <w:b w:val="0"/>
          <w:bCs w:val="0"/>
          <w:shd w:val="clear" w:color="auto" w:fill="FFFFFF"/>
        </w:rPr>
        <w:t xml:space="preserve">and Mobile Phase B (0.1% formic acid </w:t>
      </w:r>
      <w:r>
        <w:rPr>
          <w:rFonts w:hint="eastAsia" w:eastAsia="宋体" w:cs="Arial"/>
          <w:b w:val="0"/>
          <w:bCs w:val="0"/>
          <w:shd w:val="clear" w:color="auto" w:fill="FFFFFF"/>
        </w:rPr>
        <w:t>aqueous solution</w:t>
      </w:r>
      <w:r>
        <w:rPr>
          <w:rFonts w:eastAsia="sans-serif" w:cs="Arial"/>
          <w:b w:val="0"/>
          <w:bCs w:val="0"/>
          <w:shd w:val="clear" w:color="auto" w:fill="FFFFFF"/>
        </w:rPr>
        <w:t>) for 4 min. The flow rate and injection volume were 0.4mL</w:t>
      </w:r>
      <w:r>
        <w:rPr>
          <w:rFonts w:hint="eastAsia" w:eastAsia="宋体" w:cs="Arial"/>
          <w:b w:val="0"/>
          <w:bCs w:val="0"/>
          <w:shd w:val="clear" w:color="auto" w:fill="FFFFFF"/>
        </w:rPr>
        <w:t>/</w:t>
      </w:r>
      <w:r>
        <w:rPr>
          <w:rFonts w:eastAsia="sans-serif" w:cs="Arial"/>
          <w:b w:val="0"/>
          <w:bCs w:val="0"/>
          <w:shd w:val="clear" w:color="auto" w:fill="FFFFFF"/>
        </w:rPr>
        <w:t>mi</w:t>
      </w:r>
      <w:r>
        <w:rPr>
          <w:rFonts w:hint="eastAsia" w:eastAsia="宋体" w:cs="Arial"/>
          <w:b w:val="0"/>
          <w:bCs w:val="0"/>
          <w:shd w:val="clear" w:color="auto" w:fill="FFFFFF"/>
        </w:rPr>
        <w:t>n</w:t>
      </w:r>
      <w:r>
        <w:rPr>
          <w:rFonts w:eastAsia="sans-serif" w:cs="Arial"/>
          <w:b w:val="0"/>
          <w:bCs w:val="0"/>
          <w:shd w:val="clear" w:color="auto" w:fill="FFFFFF"/>
        </w:rPr>
        <w:t xml:space="preserve"> and </w:t>
      </w:r>
      <w:r>
        <w:rPr>
          <w:rFonts w:hint="eastAsia" w:eastAsia="宋体" w:cs="Arial"/>
          <w:b w:val="0"/>
          <w:bCs w:val="0"/>
          <w:shd w:val="clear" w:color="auto" w:fill="FFFFFF"/>
        </w:rPr>
        <w:t>5</w:t>
      </w:r>
      <w:r>
        <w:rPr>
          <w:rFonts w:eastAsia="sans-serif" w:cs="Arial"/>
          <w:b w:val="0"/>
          <w:bCs w:val="0"/>
          <w:shd w:val="clear" w:color="auto" w:fill="FFFFFF"/>
        </w:rPr>
        <w:t xml:space="preserve">µL, respectively. </w:t>
      </w:r>
      <w:r>
        <w:rPr>
          <w:rFonts w:hint="eastAsia" w:eastAsia="宋体" w:cs="Arial"/>
          <w:b w:val="0"/>
          <w:bCs w:val="0"/>
        </w:rPr>
        <w:t>P</w:t>
      </w:r>
      <w:r>
        <w:rPr>
          <w:rFonts w:cs="Arial"/>
          <w:b w:val="0"/>
          <w:bCs w:val="0"/>
        </w:rPr>
        <w:t>henyl-β-D-glucuronide</w:t>
      </w:r>
      <w:r>
        <w:rPr>
          <w:rFonts w:hint="eastAsia" w:cs="Arial"/>
          <w:b w:val="0"/>
          <w:bCs w:val="0"/>
        </w:rPr>
        <w:t xml:space="preserve"> in plasma and </w:t>
      </w:r>
      <w:r>
        <w:rPr>
          <w:rFonts w:hint="eastAsia" w:eastAsia="宋体" w:cs="Arial"/>
          <w:b w:val="0"/>
          <w:bCs w:val="0"/>
          <w:shd w:val="clear" w:color="auto" w:fill="FFFFFF"/>
        </w:rPr>
        <w:t xml:space="preserve">aqueous </w:t>
      </w:r>
      <w:r>
        <w:rPr>
          <w:rFonts w:hint="eastAsia" w:cs="Arial"/>
          <w:b w:val="0"/>
          <w:bCs w:val="0"/>
        </w:rPr>
        <w:t>solution</w:t>
      </w:r>
      <w:r>
        <w:rPr>
          <w:rFonts w:eastAsia="sans-serif" w:cs="Arial"/>
          <w:b w:val="0"/>
          <w:bCs w:val="0"/>
          <w:shd w:val="clear" w:color="auto" w:fill="FFFFFF"/>
        </w:rPr>
        <w:t xml:space="preserve"> </w:t>
      </w:r>
      <w:r>
        <w:rPr>
          <w:rFonts w:hint="eastAsia" w:eastAsia="宋体" w:cs="Arial"/>
          <w:b w:val="0"/>
          <w:bCs w:val="0"/>
          <w:shd w:val="clear" w:color="auto" w:fill="FFFFFF"/>
        </w:rPr>
        <w:t>were</w:t>
      </w:r>
      <w:r>
        <w:rPr>
          <w:rFonts w:eastAsia="sans-serif" w:cs="Arial"/>
          <w:b w:val="0"/>
          <w:bCs w:val="0"/>
          <w:shd w:val="clear" w:color="auto" w:fill="FFFFFF"/>
        </w:rPr>
        <w:t xml:space="preserve"> detected by multiple reaction monitoring (MRM) in the positive ion mode, quantified by the ion transition </w:t>
      </w:r>
      <w:r>
        <w:rPr>
          <w:rFonts w:eastAsia="sans-serif" w:cs="Arial"/>
          <w:b w:val="0"/>
          <w:bCs w:val="0"/>
          <w:i/>
          <w:iCs/>
          <w:shd w:val="clear" w:color="auto" w:fill="FFFFFF"/>
        </w:rPr>
        <w:t>m</w:t>
      </w:r>
      <w:r>
        <w:rPr>
          <w:rFonts w:eastAsia="sans-serif" w:cs="Arial"/>
          <w:b w:val="0"/>
          <w:bCs w:val="0"/>
          <w:shd w:val="clear" w:color="auto" w:fill="FFFFFF"/>
        </w:rPr>
        <w:t>/</w:t>
      </w:r>
      <w:r>
        <w:rPr>
          <w:rFonts w:eastAsia="sans-serif" w:cs="Arial"/>
          <w:b w:val="0"/>
          <w:bCs w:val="0"/>
          <w:i/>
          <w:iCs/>
          <w:shd w:val="clear" w:color="auto" w:fill="FFFFFF"/>
        </w:rPr>
        <w:t>z</w:t>
      </w:r>
      <w:r>
        <w:rPr>
          <w:rFonts w:eastAsia="sans-serif" w:cs="Arial"/>
          <w:b w:val="0"/>
          <w:bCs w:val="0"/>
          <w:shd w:val="clear" w:color="auto" w:fill="FFFFFF"/>
        </w:rPr>
        <w:t> </w:t>
      </w:r>
      <w:r>
        <w:rPr>
          <w:rFonts w:hint="eastAsia" w:eastAsia="宋体" w:cs="Arial"/>
          <w:b w:val="0"/>
          <w:bCs w:val="0"/>
          <w:shd w:val="clear" w:color="auto" w:fill="FFFFFF"/>
        </w:rPr>
        <w:t>268.97</w:t>
      </w:r>
      <w:r>
        <w:rPr>
          <w:rFonts w:eastAsia="sans-serif" w:cs="Arial"/>
          <w:b w:val="0"/>
          <w:bCs w:val="0"/>
          <w:shd w:val="clear" w:color="auto" w:fill="FFFFFF"/>
        </w:rPr>
        <w:t xml:space="preserve"> → 1</w:t>
      </w:r>
      <w:r>
        <w:rPr>
          <w:rFonts w:hint="eastAsia" w:eastAsia="宋体" w:cs="Arial"/>
          <w:b w:val="0"/>
          <w:bCs w:val="0"/>
          <w:shd w:val="clear" w:color="auto" w:fill="FFFFFF"/>
        </w:rPr>
        <w:t>75.01</w:t>
      </w:r>
      <w:r>
        <w:rPr>
          <w:rFonts w:eastAsia="sans-serif" w:cs="Arial"/>
          <w:b w:val="0"/>
          <w:bCs w:val="0"/>
          <w:shd w:val="clear" w:color="auto" w:fill="FFFFFF"/>
        </w:rPr>
        <w:t xml:space="preserve"> for </w:t>
      </w:r>
      <w:r>
        <w:rPr>
          <w:rFonts w:hint="eastAsia" w:eastAsia="宋体" w:cs="Arial"/>
          <w:b w:val="0"/>
          <w:bCs w:val="0"/>
        </w:rPr>
        <w:t>p</w:t>
      </w:r>
      <w:r>
        <w:rPr>
          <w:rFonts w:cs="Arial"/>
          <w:b w:val="0"/>
          <w:bCs w:val="0"/>
        </w:rPr>
        <w:t>henyl-β-D-glucuronide</w:t>
      </w:r>
      <w:r>
        <w:rPr>
          <w:rFonts w:hint="eastAsia" w:cs="Arial"/>
          <w:b w:val="0"/>
          <w:bCs w:val="0"/>
        </w:rPr>
        <w:t xml:space="preserve"> </w:t>
      </w:r>
      <w:r>
        <w:rPr>
          <w:rFonts w:eastAsia="sans-serif" w:cs="Arial"/>
          <w:b w:val="0"/>
          <w:bCs w:val="0"/>
          <w:shd w:val="clear" w:color="auto" w:fill="FFFFFF"/>
        </w:rPr>
        <w:t xml:space="preserve">and </w:t>
      </w:r>
      <w:r>
        <w:rPr>
          <w:rFonts w:hint="eastAsia" w:eastAsia="宋体" w:cs="Arial"/>
          <w:b w:val="0"/>
          <w:bCs w:val="0"/>
          <w:shd w:val="clear" w:color="auto" w:fill="FFFFFF"/>
        </w:rPr>
        <w:t>325.98</w:t>
      </w:r>
      <w:r>
        <w:rPr>
          <w:rFonts w:eastAsia="sans-serif" w:cs="Arial"/>
          <w:b w:val="0"/>
          <w:bCs w:val="0"/>
          <w:shd w:val="clear" w:color="auto" w:fill="FFFFFF"/>
        </w:rPr>
        <w:t xml:space="preserve"> → </w:t>
      </w:r>
      <w:r>
        <w:rPr>
          <w:rFonts w:hint="eastAsia" w:eastAsia="宋体" w:cs="Arial"/>
          <w:b w:val="0"/>
          <w:bCs w:val="0"/>
          <w:shd w:val="clear" w:color="auto" w:fill="FFFFFF"/>
        </w:rPr>
        <w:t xml:space="preserve">291.07 </w:t>
      </w:r>
      <w:r>
        <w:rPr>
          <w:rFonts w:eastAsia="sans-serif" w:cs="Arial"/>
          <w:b w:val="0"/>
          <w:bCs w:val="0"/>
          <w:shd w:val="clear" w:color="auto" w:fill="FFFFFF"/>
        </w:rPr>
        <w:t xml:space="preserve">for </w:t>
      </w:r>
      <w:r>
        <w:rPr>
          <w:rFonts w:hint="eastAsia" w:eastAsia="宋体" w:cs="Arial"/>
          <w:b w:val="0"/>
          <w:bCs w:val="0"/>
          <w:shd w:val="clear" w:color="auto" w:fill="FFFFFF"/>
        </w:rPr>
        <w:t>m</w:t>
      </w:r>
      <w:r>
        <w:rPr>
          <w:rFonts w:eastAsia="sans-serif" w:cs="Arial"/>
          <w:b w:val="0"/>
          <w:bCs w:val="0"/>
          <w:shd w:val="clear" w:color="auto" w:fill="FFFFFF"/>
        </w:rPr>
        <w:t>idazolam</w:t>
      </w:r>
      <w:r>
        <w:rPr>
          <w:rFonts w:hint="eastAsia" w:eastAsia="宋体" w:cs="Arial"/>
          <w:b w:val="0"/>
          <w:bCs w:val="0"/>
          <w:shd w:val="clear" w:color="auto" w:fill="FFFFFF"/>
        </w:rPr>
        <w:t xml:space="preserve"> </w:t>
      </w:r>
      <w:r>
        <w:rPr>
          <w:rFonts w:eastAsia="sans-serif" w:cs="Arial"/>
          <w:b w:val="0"/>
          <w:bCs w:val="0"/>
          <w:shd w:val="clear" w:color="auto" w:fill="FFFFFF"/>
        </w:rPr>
        <w:t xml:space="preserve">internal standard. The ionspray voltage and source temperature were </w:t>
      </w:r>
      <w:r>
        <w:rPr>
          <w:rFonts w:hint="eastAsia" w:eastAsia="宋体" w:cs="Arial"/>
          <w:b w:val="0"/>
          <w:bCs w:val="0"/>
          <w:shd w:val="clear" w:color="auto" w:fill="FFFFFF"/>
        </w:rPr>
        <w:t>3k</w:t>
      </w:r>
      <w:r>
        <w:rPr>
          <w:rFonts w:eastAsia="sans-serif" w:cs="Arial"/>
          <w:b w:val="0"/>
          <w:bCs w:val="0"/>
          <w:shd w:val="clear" w:color="auto" w:fill="FFFFFF"/>
        </w:rPr>
        <w:t>V and 6</w:t>
      </w:r>
      <w:r>
        <w:rPr>
          <w:rFonts w:hint="eastAsia" w:eastAsia="宋体" w:cs="Arial"/>
          <w:b w:val="0"/>
          <w:bCs w:val="0"/>
          <w:shd w:val="clear" w:color="auto" w:fill="FFFFFF"/>
        </w:rPr>
        <w:t>0</w:t>
      </w:r>
      <w:r>
        <w:rPr>
          <w:rFonts w:eastAsia="sans-serif" w:cs="Arial"/>
          <w:b w:val="0"/>
          <w:bCs w:val="0"/>
          <w:shd w:val="clear" w:color="auto" w:fill="FFFFFF"/>
        </w:rPr>
        <w:t>0°C, respectively. Decluttering, entrance and exit potentials were 86.0, 10.0, and 6.0V, respectively. Curtain gas, ion source gas 1, ion source gas 2, and collision gas were set to 30, 30, 45, and 6</w:t>
      </w:r>
      <w:r>
        <w:rPr>
          <w:rFonts w:hint="eastAsia" w:eastAsia="宋体" w:cs="Arial"/>
          <w:b w:val="0"/>
          <w:bCs w:val="0"/>
          <w:shd w:val="clear" w:color="auto" w:fill="FFFFFF"/>
        </w:rPr>
        <w:t xml:space="preserve"> </w:t>
      </w:r>
      <w:r>
        <w:rPr>
          <w:rFonts w:eastAsia="sans-serif" w:cs="Arial"/>
          <w:b w:val="0"/>
          <w:bCs w:val="0"/>
          <w:shd w:val="clear" w:color="auto" w:fill="FFFFFF"/>
        </w:rPr>
        <w:t xml:space="preserve">psi, respectively. The collision energies for quantitation ions for </w:t>
      </w:r>
      <w:r>
        <w:rPr>
          <w:rFonts w:hint="eastAsia" w:eastAsia="宋体" w:cs="Arial"/>
          <w:b w:val="0"/>
          <w:bCs w:val="0"/>
        </w:rPr>
        <w:t>p</w:t>
      </w:r>
      <w:r>
        <w:rPr>
          <w:rFonts w:cs="Arial"/>
          <w:b w:val="0"/>
          <w:bCs w:val="0"/>
        </w:rPr>
        <w:t>henyl-β-D-glucuronide</w:t>
      </w:r>
      <w:r>
        <w:rPr>
          <w:rFonts w:eastAsia="sans-serif" w:cs="Arial"/>
          <w:b w:val="0"/>
          <w:bCs w:val="0"/>
          <w:shd w:val="clear" w:color="auto" w:fill="FFFFFF"/>
        </w:rPr>
        <w:t xml:space="preserve">, internal standard were </w:t>
      </w:r>
      <w:r>
        <w:rPr>
          <w:rFonts w:hint="eastAsia" w:eastAsia="宋体" w:cs="Arial"/>
          <w:b w:val="0"/>
          <w:bCs w:val="0"/>
          <w:shd w:val="clear" w:color="auto" w:fill="FFFFFF"/>
        </w:rPr>
        <w:t>10</w:t>
      </w:r>
      <w:r>
        <w:rPr>
          <w:rFonts w:eastAsia="sans-serif" w:cs="Arial"/>
          <w:b w:val="0"/>
          <w:bCs w:val="0"/>
          <w:shd w:val="clear" w:color="auto" w:fill="FFFFFF"/>
        </w:rPr>
        <w:t xml:space="preserve"> and </w:t>
      </w:r>
      <w:r>
        <w:rPr>
          <w:rFonts w:hint="eastAsia" w:eastAsia="宋体" w:cs="Arial"/>
          <w:b w:val="0"/>
          <w:bCs w:val="0"/>
          <w:shd w:val="clear" w:color="auto" w:fill="FFFFFF"/>
        </w:rPr>
        <w:t>26</w:t>
      </w:r>
      <w:r>
        <w:rPr>
          <w:rFonts w:eastAsia="sans-serif" w:cs="Arial"/>
          <w:b w:val="0"/>
          <w:bCs w:val="0"/>
          <w:shd w:val="clear" w:color="auto" w:fill="FFFFFF"/>
        </w:rPr>
        <w:t> eV, respectively.</w:t>
      </w:r>
    </w:p>
    <w:p w14:paraId="481FF17E">
      <w:pPr>
        <w:pStyle w:val="5"/>
        <w:widowControl/>
        <w:shd w:val="clear" w:color="auto" w:fill="FFFFFF"/>
        <w:spacing w:beforeAutospacing="0" w:afterAutospacing="0"/>
        <w:ind w:firstLine="480" w:firstLineChars="200"/>
        <w:jc w:val="both"/>
        <w:rPr>
          <w:rFonts w:eastAsia="sans-serif" w:cs="Arial"/>
          <w:b w:val="0"/>
          <w:bCs w:val="0"/>
          <w:shd w:val="clear" w:color="auto" w:fill="FFFFFF"/>
        </w:rPr>
      </w:pPr>
      <w:r>
        <w:rPr>
          <w:rFonts w:eastAsia="sans-serif" w:cs="Arial"/>
          <w:b w:val="0"/>
          <w:bCs w:val="0"/>
          <w:shd w:val="clear" w:color="auto" w:fill="FFFFFF"/>
        </w:rPr>
        <w:t>Area ratio of all calibration curve standards and quality control samples were corrected for blank area ratio from mean of triplicate Blank + IS samples. These area ratios were further used to back calculate the concentrations of calibration curve standards and quality control samples. Further study sample concentrations were also calculated using excel for back calculation of active drug.</w:t>
      </w:r>
    </w:p>
    <w:p w14:paraId="4968FA30">
      <w:pPr>
        <w:pStyle w:val="5"/>
        <w:widowControl/>
        <w:shd w:val="clear" w:color="auto" w:fill="FFFFFF"/>
        <w:spacing w:beforeAutospacing="0" w:afterAutospacing="0"/>
        <w:jc w:val="both"/>
        <w:rPr>
          <w:rFonts w:eastAsia="sans-serif" w:cs="Arial"/>
          <w:b w:val="0"/>
          <w:bCs w:val="0"/>
          <w:shd w:val="clear" w:color="auto" w:fill="FFFFFF"/>
        </w:rPr>
      </w:pPr>
    </w:p>
    <w:p w14:paraId="4082B43D">
      <w:pPr>
        <w:pStyle w:val="5"/>
        <w:widowControl/>
        <w:shd w:val="clear" w:color="auto" w:fill="FFFFFF"/>
        <w:spacing w:beforeAutospacing="0" w:afterAutospacing="0"/>
        <w:jc w:val="both"/>
        <w:rPr>
          <w:rFonts w:eastAsia="sans-serif" w:cs="Arial"/>
          <w:b w:val="0"/>
          <w:bCs w:val="0"/>
          <w:shd w:val="clear" w:color="auto" w:fill="FFFFFF"/>
        </w:rPr>
      </w:pPr>
    </w:p>
    <w:p w14:paraId="67D05082">
      <w:pPr>
        <w:pStyle w:val="5"/>
        <w:widowControl/>
        <w:shd w:val="clear" w:color="auto" w:fill="FFFFFF"/>
        <w:spacing w:beforeAutospacing="0" w:afterAutospacing="0"/>
        <w:jc w:val="both"/>
        <w:rPr>
          <w:rFonts w:eastAsia="sans-serif" w:cs="Arial"/>
          <w:b w:val="0"/>
          <w:bCs w:val="0"/>
          <w:shd w:val="clear" w:color="auto" w:fill="FFFFFF"/>
        </w:rPr>
      </w:pPr>
    </w:p>
    <w:p w14:paraId="3B4B6851">
      <w:pPr>
        <w:rPr>
          <w:rFonts w:eastAsia="宋体"/>
          <w:kern w:val="0"/>
          <w:sz w:val="28"/>
          <w:szCs w:val="28"/>
        </w:rPr>
      </w:pPr>
      <w:r>
        <w:rPr>
          <w:rFonts w:eastAsia="宋体"/>
          <w:kern w:val="0"/>
          <w:sz w:val="28"/>
          <w:szCs w:val="28"/>
        </w:rPr>
        <w:t>S</w:t>
      </w:r>
      <w:r>
        <w:rPr>
          <w:rFonts w:hint="eastAsia" w:eastAsia="宋体"/>
          <w:kern w:val="0"/>
          <w:sz w:val="28"/>
          <w:szCs w:val="28"/>
        </w:rPr>
        <w:t>UPPLEMENTARY RESULTS</w:t>
      </w:r>
    </w:p>
    <w:p w14:paraId="5639E2C4">
      <w:r>
        <w:rPr>
          <w:rFonts w:hint="eastAsia" w:eastAsia="宋体"/>
          <w:kern w:val="0"/>
        </w:rPr>
        <w:t xml:space="preserve">Characterization of the chemical structure for the </w:t>
      </w:r>
      <w:r>
        <w:rPr>
          <w:rFonts w:hint="eastAsia" w:eastAsia="宋体"/>
        </w:rPr>
        <w:t>i</w:t>
      </w:r>
      <w:r>
        <w:t>ntermediate</w:t>
      </w:r>
      <w:r>
        <w:rPr>
          <w:rFonts w:hint="eastAsia"/>
        </w:rPr>
        <w:t xml:space="preserve"> and s</w:t>
      </w:r>
      <w:r>
        <w:t xml:space="preserve">ynthesized </w:t>
      </w:r>
      <w:r>
        <w:rPr>
          <w:rFonts w:hint="eastAsia"/>
        </w:rPr>
        <w:t>p</w:t>
      </w:r>
      <w:r>
        <w:t>henyl-β-D-glucuronide</w:t>
      </w:r>
    </w:p>
    <w:p w14:paraId="78894340">
      <w:r>
        <w:rPr>
          <w:rFonts w:hint="eastAsia"/>
          <w:b w:val="0"/>
          <w:bCs w:val="0"/>
        </w:rPr>
        <w:t>S</w:t>
      </w:r>
      <w:r>
        <w:rPr>
          <w:b w:val="0"/>
          <w:bCs w:val="0"/>
        </w:rPr>
        <w:t>ynthetic pathway for the large-scale production of</w:t>
      </w:r>
      <w:r>
        <w:rPr>
          <w:rFonts w:hint="eastAsia"/>
          <w:b w:val="0"/>
          <w:bCs w:val="0"/>
        </w:rPr>
        <w:t xml:space="preserve"> </w:t>
      </w:r>
      <w:r>
        <w:rPr>
          <w:b w:val="0"/>
          <w:bCs w:val="0"/>
        </w:rPr>
        <w:t xml:space="preserve">the </w:t>
      </w:r>
      <w:r>
        <w:rPr>
          <w:rFonts w:hint="eastAsia"/>
          <w:b w:val="0"/>
          <w:bCs w:val="0"/>
        </w:rPr>
        <w:t>p</w:t>
      </w:r>
      <w:r>
        <w:rPr>
          <w:b w:val="0"/>
          <w:bCs w:val="0"/>
        </w:rPr>
        <w:t>henyl-β-D-glucuronide</w:t>
      </w:r>
      <w:r>
        <w:rPr>
          <w:rFonts w:hint="eastAsia"/>
          <w:b w:val="0"/>
          <w:bCs w:val="0"/>
        </w:rPr>
        <w:t xml:space="preserve"> is shown in </w:t>
      </w:r>
      <w:r>
        <w:rPr>
          <w:b w:val="0"/>
          <w:bCs w:val="0"/>
        </w:rPr>
        <w:t>Supplementary</w:t>
      </w:r>
      <w:r>
        <w:rPr>
          <w:rFonts w:hint="eastAsia"/>
          <w:b w:val="0"/>
          <w:bCs w:val="0"/>
        </w:rPr>
        <w:t xml:space="preserve"> </w:t>
      </w:r>
      <w:r>
        <w:rPr>
          <w:b w:val="0"/>
          <w:bCs w:val="0"/>
        </w:rPr>
        <w:t>Figure</w:t>
      </w:r>
      <w:r>
        <w:rPr>
          <w:rFonts w:hint="eastAsia"/>
          <w:b w:val="0"/>
          <w:bCs w:val="0"/>
        </w:rPr>
        <w:t xml:space="preserve"> 1.</w:t>
      </w:r>
    </w:p>
    <w:p w14:paraId="3E366D25">
      <w:pPr>
        <w:numPr>
          <w:ilvl w:val="0"/>
          <w:numId w:val="7"/>
        </w:numPr>
        <w:ind w:firstLine="204" w:firstLineChars="85"/>
        <w:rPr>
          <w:rFonts w:eastAsia="宋体"/>
          <w:b w:val="0"/>
          <w:bCs w:val="0"/>
        </w:rPr>
      </w:pPr>
      <w:r>
        <w:rPr>
          <w:rFonts w:hint="eastAsia"/>
          <w:b w:val="0"/>
          <w:bCs w:val="0"/>
        </w:rPr>
        <w:t>A</w:t>
      </w:r>
      <w:r>
        <w:rPr>
          <w:b w:val="0"/>
          <w:bCs w:val="0"/>
        </w:rPr>
        <w:t>nalysis</w:t>
      </w:r>
      <w:r>
        <w:rPr>
          <w:rFonts w:hint="eastAsia"/>
          <w:b w:val="0"/>
          <w:bCs w:val="0"/>
        </w:rPr>
        <w:t xml:space="preserve"> of m</w:t>
      </w:r>
      <w:r>
        <w:rPr>
          <w:b w:val="0"/>
          <w:bCs w:val="0"/>
        </w:rPr>
        <w:t xml:space="preserve">olecular structure and functional group </w:t>
      </w:r>
      <w:r>
        <w:rPr>
          <w:rFonts w:hint="eastAsia"/>
          <w:b w:val="0"/>
          <w:bCs w:val="0"/>
        </w:rPr>
        <w:t>of the intermediate</w:t>
      </w:r>
    </w:p>
    <w:p w14:paraId="79D67BCB">
      <w:pPr>
        <w:rPr>
          <w:b w:val="0"/>
          <w:bCs w:val="0"/>
        </w:rPr>
      </w:pPr>
      <w:r>
        <w:rPr>
          <w:rFonts w:hint="eastAsia" w:eastAsia="宋体"/>
          <w:b w:val="0"/>
          <w:bCs w:val="0"/>
        </w:rPr>
        <w:t>Chemical structure of i</w:t>
      </w:r>
      <w:r>
        <w:rPr>
          <w:b w:val="0"/>
          <w:bCs w:val="0"/>
        </w:rPr>
        <w:t>ntermediate</w:t>
      </w:r>
      <w:r>
        <w:rPr>
          <w:rFonts w:hint="eastAsia"/>
          <w:b w:val="0"/>
          <w:bCs w:val="0"/>
        </w:rPr>
        <w:t xml:space="preserve"> was verified through NMR, IR and MS spectra which were described as fellow:  </w:t>
      </w:r>
    </w:p>
    <w:p w14:paraId="713AEA12">
      <w:pPr>
        <w:autoSpaceDE w:val="0"/>
        <w:autoSpaceDN w:val="0"/>
        <w:adjustRightInd w:val="0"/>
        <w:rPr>
          <w:rFonts w:eastAsia="宋体"/>
          <w:b w:val="0"/>
          <w:bCs w:val="0"/>
          <w:kern w:val="0"/>
        </w:rPr>
      </w:pPr>
      <w:r>
        <w:rPr>
          <w:rFonts w:eastAsia="宋体"/>
          <w:b w:val="0"/>
          <w:bCs w:val="0"/>
          <w:vertAlign w:val="superscript"/>
        </w:rPr>
        <w:t>1</w:t>
      </w:r>
      <w:r>
        <w:rPr>
          <w:rFonts w:eastAsia="宋体"/>
          <w:b w:val="0"/>
          <w:bCs w:val="0"/>
        </w:rPr>
        <w:t>H NMR (400 MHz, Chloroform-</w:t>
      </w:r>
      <w:r>
        <w:rPr>
          <w:rFonts w:eastAsia="宋体"/>
          <w:b w:val="0"/>
          <w:bCs w:val="0"/>
          <w:i/>
          <w:iCs/>
        </w:rPr>
        <w:t>d</w:t>
      </w:r>
      <w:r>
        <w:rPr>
          <w:rFonts w:eastAsia="宋体"/>
          <w:b w:val="0"/>
          <w:bCs w:val="0"/>
        </w:rPr>
        <w:t xml:space="preserve">) δ 7.35 – 7.24 (m, 3H), 7.13 – 7.00 (m, 2H), 7.00 – 6.96 (m, 1H), 5.40 – 5.35 (m, 1H), 5.35 – 5.24 (m, 2H), 5.15 (d, </w:t>
      </w:r>
      <w:r>
        <w:rPr>
          <w:rFonts w:eastAsia="宋体"/>
          <w:b w:val="0"/>
          <w:bCs w:val="0"/>
          <w:i/>
          <w:iCs/>
        </w:rPr>
        <w:t>J</w:t>
      </w:r>
      <w:r>
        <w:rPr>
          <w:rFonts w:eastAsia="宋体"/>
          <w:b w:val="0"/>
          <w:bCs w:val="0"/>
        </w:rPr>
        <w:t xml:space="preserve"> = 7.1 Hz, 1H), 4.23 – 4.13 (m, 1H), 3.73 (s, 3H), 2.09 – 1.99 (m, 9H)</w:t>
      </w:r>
      <w:r>
        <w:rPr>
          <w:rFonts w:hint="eastAsia" w:eastAsia="宋体"/>
          <w:b w:val="0"/>
          <w:bCs w:val="0"/>
        </w:rPr>
        <w:t xml:space="preserve"> </w:t>
      </w:r>
      <w:r>
        <w:rPr>
          <w:rFonts w:eastAsia="宋体"/>
          <w:b w:val="0"/>
          <w:bCs w:val="0"/>
        </w:rPr>
        <w:t>(</w:t>
      </w:r>
      <w:r>
        <w:rPr>
          <w:b w:val="0"/>
          <w:bCs w:val="0"/>
        </w:rPr>
        <w:t>Supplementary</w:t>
      </w:r>
      <w:r>
        <w:rPr>
          <w:rFonts w:hint="eastAsia"/>
          <w:b w:val="0"/>
          <w:bCs w:val="0"/>
        </w:rPr>
        <w:t xml:space="preserve"> </w:t>
      </w:r>
      <w:r>
        <w:rPr>
          <w:b w:val="0"/>
          <w:bCs w:val="0"/>
        </w:rPr>
        <w:t xml:space="preserve">Figure </w:t>
      </w:r>
      <w:r>
        <w:rPr>
          <w:rFonts w:hint="eastAsia"/>
          <w:b w:val="0"/>
          <w:bCs w:val="0"/>
        </w:rPr>
        <w:t>2</w:t>
      </w:r>
      <w:r>
        <w:rPr>
          <w:b w:val="0"/>
          <w:bCs w:val="0"/>
        </w:rPr>
        <w:t>a</w:t>
      </w:r>
      <w:r>
        <w:rPr>
          <w:rFonts w:eastAsia="宋体"/>
          <w:b w:val="0"/>
          <w:bCs w:val="0"/>
        </w:rPr>
        <w:t>)</w:t>
      </w:r>
      <w:r>
        <w:rPr>
          <w:rFonts w:hint="eastAsia" w:eastAsia="宋体"/>
          <w:b w:val="0"/>
          <w:bCs w:val="0"/>
        </w:rPr>
        <w:t xml:space="preserve">; </w:t>
      </w:r>
    </w:p>
    <w:p w14:paraId="7F989B9B">
      <w:pPr>
        <w:autoSpaceDE w:val="0"/>
        <w:autoSpaceDN w:val="0"/>
        <w:adjustRightInd w:val="0"/>
        <w:rPr>
          <w:rFonts w:eastAsia="宋体"/>
          <w:b w:val="0"/>
          <w:bCs w:val="0"/>
          <w:kern w:val="0"/>
        </w:rPr>
      </w:pPr>
      <w:r>
        <w:rPr>
          <w:rFonts w:eastAsia="宋体"/>
          <w:b w:val="0"/>
          <w:bCs w:val="0"/>
          <w:vertAlign w:val="superscript"/>
        </w:rPr>
        <w:t>13</w:t>
      </w:r>
      <w:r>
        <w:rPr>
          <w:rFonts w:eastAsia="宋体"/>
          <w:b w:val="0"/>
          <w:bCs w:val="0"/>
        </w:rPr>
        <w:t>C NMR (101 MHz, Chloroform-</w:t>
      </w:r>
      <w:r>
        <w:rPr>
          <w:rFonts w:eastAsia="宋体"/>
          <w:b w:val="0"/>
          <w:bCs w:val="0"/>
          <w:i/>
          <w:iCs/>
        </w:rPr>
        <w:t>d</w:t>
      </w:r>
      <w:r>
        <w:rPr>
          <w:rFonts w:eastAsia="宋体"/>
          <w:b w:val="0"/>
          <w:bCs w:val="0"/>
        </w:rPr>
        <w:t>) δ 170.13, 169.35, 169.24, 166.89, 156.72 , 129.63, 123.54, 117.09, 99.23, 77.23 , 72.70, 71.90, 71.10 , 69.15 , 52.98 , 20.63 , 20.53 (</w:t>
      </w:r>
      <w:r>
        <w:rPr>
          <w:b w:val="0"/>
          <w:bCs w:val="0"/>
        </w:rPr>
        <w:t xml:space="preserve">Supplementary Figure </w:t>
      </w:r>
      <w:r>
        <w:rPr>
          <w:rFonts w:hint="eastAsia"/>
          <w:b w:val="0"/>
          <w:bCs w:val="0"/>
        </w:rPr>
        <w:t>2</w:t>
      </w:r>
      <w:r>
        <w:rPr>
          <w:b w:val="0"/>
          <w:bCs w:val="0"/>
        </w:rPr>
        <w:t>b</w:t>
      </w:r>
      <w:r>
        <w:rPr>
          <w:rFonts w:eastAsia="宋体"/>
          <w:b w:val="0"/>
          <w:bCs w:val="0"/>
        </w:rPr>
        <w:t>)</w:t>
      </w:r>
      <w:r>
        <w:rPr>
          <w:rFonts w:hint="eastAsia" w:eastAsia="宋体"/>
          <w:b w:val="0"/>
          <w:bCs w:val="0"/>
        </w:rPr>
        <w:t>;</w:t>
      </w:r>
    </w:p>
    <w:p w14:paraId="21B89437">
      <w:pPr>
        <w:autoSpaceDE w:val="0"/>
        <w:autoSpaceDN w:val="0"/>
        <w:adjustRightInd w:val="0"/>
        <w:jc w:val="left"/>
        <w:rPr>
          <w:rFonts w:eastAsia="宋体"/>
          <w:b w:val="0"/>
          <w:bCs w:val="0"/>
          <w:kern w:val="0"/>
        </w:rPr>
      </w:pPr>
      <w:r>
        <w:rPr>
          <w:rFonts w:eastAsia="宋体"/>
          <w:b w:val="0"/>
          <w:bCs w:val="0"/>
          <w:kern w:val="0"/>
        </w:rPr>
        <w:t>IR (neat, cm</w:t>
      </w:r>
      <w:r>
        <w:rPr>
          <w:rFonts w:eastAsia="宋体"/>
          <w:b w:val="0"/>
          <w:bCs w:val="0"/>
          <w:kern w:val="0"/>
          <w:vertAlign w:val="superscript"/>
        </w:rPr>
        <w:t>-1</w:t>
      </w:r>
      <w:r>
        <w:rPr>
          <w:rFonts w:eastAsia="宋体"/>
          <w:b w:val="0"/>
          <w:bCs w:val="0"/>
          <w:kern w:val="0"/>
        </w:rPr>
        <w:t xml:space="preserve">): 2951, 1759, 1597, 1492, 1438, 1381, 1296, 1222, 1080, 1045, 914, 767, 694. </w:t>
      </w:r>
      <w:r>
        <w:rPr>
          <w:rFonts w:eastAsia="宋体"/>
          <w:b w:val="0"/>
          <w:bCs w:val="0"/>
        </w:rPr>
        <w:t>(</w:t>
      </w:r>
      <w:r>
        <w:rPr>
          <w:b w:val="0"/>
          <w:bCs w:val="0"/>
        </w:rPr>
        <w:t>Supplementary Figure</w:t>
      </w:r>
      <w:r>
        <w:rPr>
          <w:rFonts w:hint="eastAsia"/>
          <w:b w:val="0"/>
          <w:bCs w:val="0"/>
        </w:rPr>
        <w:t xml:space="preserve"> 2c</w:t>
      </w:r>
      <w:r>
        <w:rPr>
          <w:rFonts w:eastAsia="宋体"/>
          <w:b w:val="0"/>
          <w:bCs w:val="0"/>
        </w:rPr>
        <w:t>)</w:t>
      </w:r>
    </w:p>
    <w:p w14:paraId="4FCB640A">
      <w:pPr>
        <w:autoSpaceDE w:val="0"/>
        <w:autoSpaceDN w:val="0"/>
        <w:adjustRightInd w:val="0"/>
        <w:jc w:val="left"/>
        <w:rPr>
          <w:rFonts w:eastAsia="宋体"/>
          <w:b w:val="0"/>
          <w:bCs w:val="0"/>
        </w:rPr>
      </w:pPr>
      <w:r>
        <w:rPr>
          <w:rFonts w:eastAsia="宋体"/>
          <w:b w:val="0"/>
          <w:bCs w:val="0"/>
          <w:kern w:val="0"/>
        </w:rPr>
        <w:t>MS</w:t>
      </w:r>
      <w:r>
        <w:rPr>
          <w:rFonts w:hint="eastAsia" w:eastAsia="宋体"/>
          <w:b w:val="0"/>
          <w:bCs w:val="0"/>
          <w:kern w:val="0"/>
        </w:rPr>
        <w:t xml:space="preserve"> ESI</w:t>
      </w:r>
      <w:r>
        <w:rPr>
          <w:rFonts w:eastAsia="宋体"/>
          <w:b w:val="0"/>
          <w:bCs w:val="0"/>
          <w:kern w:val="0"/>
        </w:rPr>
        <w:t>: 428.1 [M+NH</w:t>
      </w:r>
      <w:r>
        <w:rPr>
          <w:rFonts w:eastAsia="宋体"/>
          <w:b w:val="0"/>
          <w:bCs w:val="0"/>
          <w:kern w:val="0"/>
          <w:vertAlign w:val="subscript"/>
        </w:rPr>
        <w:t>4</w:t>
      </w:r>
      <w:r>
        <w:rPr>
          <w:rFonts w:eastAsia="宋体"/>
          <w:b w:val="0"/>
          <w:bCs w:val="0"/>
          <w:kern w:val="0"/>
        </w:rPr>
        <w:t>]</w:t>
      </w:r>
      <w:r>
        <w:rPr>
          <w:rFonts w:eastAsia="宋体"/>
          <w:b w:val="0"/>
          <w:bCs w:val="0"/>
          <w:kern w:val="0"/>
          <w:vertAlign w:val="superscript"/>
        </w:rPr>
        <w:t>+</w:t>
      </w:r>
      <w:r>
        <w:rPr>
          <w:rFonts w:eastAsia="宋体"/>
          <w:b w:val="0"/>
          <w:bCs w:val="0"/>
          <w:kern w:val="0"/>
        </w:rPr>
        <w:t xml:space="preserve"> </w:t>
      </w:r>
      <w:r>
        <w:rPr>
          <w:rFonts w:eastAsia="宋体"/>
          <w:b w:val="0"/>
          <w:bCs w:val="0"/>
        </w:rPr>
        <w:t>(</w:t>
      </w:r>
      <w:r>
        <w:rPr>
          <w:b w:val="0"/>
          <w:bCs w:val="0"/>
        </w:rPr>
        <w:t>Supplementary Figure</w:t>
      </w:r>
      <w:r>
        <w:rPr>
          <w:rFonts w:hint="eastAsia"/>
          <w:b w:val="0"/>
          <w:bCs w:val="0"/>
        </w:rPr>
        <w:t xml:space="preserve"> 2d</w:t>
      </w:r>
      <w:r>
        <w:rPr>
          <w:rFonts w:eastAsia="宋体"/>
          <w:b w:val="0"/>
          <w:bCs w:val="0"/>
        </w:rPr>
        <w:t>)</w:t>
      </w:r>
      <w:r>
        <w:rPr>
          <w:rFonts w:hint="eastAsia" w:eastAsia="宋体"/>
          <w:b w:val="0"/>
          <w:bCs w:val="0"/>
        </w:rPr>
        <w:t>.</w:t>
      </w:r>
    </w:p>
    <w:p w14:paraId="47394BE7">
      <w:pPr>
        <w:numPr>
          <w:ilvl w:val="0"/>
          <w:numId w:val="7"/>
        </w:numPr>
        <w:ind w:firstLine="204" w:firstLineChars="85"/>
        <w:rPr>
          <w:rFonts w:eastAsia="宋体"/>
          <w:b w:val="0"/>
          <w:bCs w:val="0"/>
        </w:rPr>
      </w:pPr>
      <w:r>
        <w:rPr>
          <w:rFonts w:hint="eastAsia"/>
          <w:b w:val="0"/>
          <w:bCs w:val="0"/>
        </w:rPr>
        <w:t>A</w:t>
      </w:r>
      <w:r>
        <w:rPr>
          <w:b w:val="0"/>
          <w:bCs w:val="0"/>
        </w:rPr>
        <w:t>nalysis</w:t>
      </w:r>
      <w:r>
        <w:rPr>
          <w:rFonts w:hint="eastAsia"/>
          <w:b w:val="0"/>
          <w:bCs w:val="0"/>
        </w:rPr>
        <w:t xml:space="preserve"> of m</w:t>
      </w:r>
      <w:r>
        <w:rPr>
          <w:b w:val="0"/>
          <w:bCs w:val="0"/>
        </w:rPr>
        <w:t xml:space="preserve">olecular structure and functional group </w:t>
      </w:r>
      <w:r>
        <w:rPr>
          <w:rFonts w:hint="eastAsia"/>
          <w:b w:val="0"/>
          <w:bCs w:val="0"/>
        </w:rPr>
        <w:t>of the s</w:t>
      </w:r>
      <w:r>
        <w:rPr>
          <w:b w:val="0"/>
          <w:bCs w:val="0"/>
        </w:rPr>
        <w:t xml:space="preserve">ynthesized </w:t>
      </w:r>
      <w:r>
        <w:rPr>
          <w:rFonts w:hint="eastAsia"/>
          <w:b w:val="0"/>
          <w:bCs w:val="0"/>
        </w:rPr>
        <w:t>p</w:t>
      </w:r>
      <w:r>
        <w:rPr>
          <w:b w:val="0"/>
          <w:bCs w:val="0"/>
        </w:rPr>
        <w:t>henyl-β-D-glucuronide</w:t>
      </w:r>
    </w:p>
    <w:p w14:paraId="22C97547">
      <w:pPr>
        <w:rPr>
          <w:rFonts w:eastAsia="宋体"/>
          <w:b w:val="0"/>
          <w:bCs w:val="0"/>
        </w:rPr>
      </w:pPr>
      <w:r>
        <w:rPr>
          <w:rFonts w:hint="eastAsia"/>
          <w:b w:val="0"/>
          <w:bCs w:val="0"/>
        </w:rPr>
        <w:t>NMR, IR and MS data for the s</w:t>
      </w:r>
      <w:r>
        <w:rPr>
          <w:b w:val="0"/>
          <w:bCs w:val="0"/>
        </w:rPr>
        <w:t xml:space="preserve">ynthesized </w:t>
      </w:r>
      <w:r>
        <w:rPr>
          <w:rFonts w:hint="eastAsia"/>
          <w:b w:val="0"/>
          <w:bCs w:val="0"/>
        </w:rPr>
        <w:t>p</w:t>
      </w:r>
      <w:r>
        <w:rPr>
          <w:b w:val="0"/>
          <w:bCs w:val="0"/>
        </w:rPr>
        <w:t>henyl-β-D-glucuronide</w:t>
      </w:r>
      <w:r>
        <w:rPr>
          <w:rFonts w:hint="eastAsia"/>
          <w:b w:val="0"/>
          <w:bCs w:val="0"/>
        </w:rPr>
        <w:t xml:space="preserve"> are:</w:t>
      </w:r>
    </w:p>
    <w:p w14:paraId="2CC3C9F2">
      <w:pPr>
        <w:autoSpaceDE w:val="0"/>
        <w:autoSpaceDN w:val="0"/>
        <w:adjustRightInd w:val="0"/>
        <w:rPr>
          <w:b w:val="0"/>
          <w:bCs w:val="0"/>
        </w:rPr>
      </w:pPr>
      <w:r>
        <w:rPr>
          <w:b w:val="0"/>
          <w:bCs w:val="0"/>
          <w:vertAlign w:val="superscript"/>
        </w:rPr>
        <w:t>1</w:t>
      </w:r>
      <w:r>
        <w:rPr>
          <w:b w:val="0"/>
          <w:bCs w:val="0"/>
        </w:rPr>
        <w:t>H NMR (400 MHz, D</w:t>
      </w:r>
      <w:r>
        <w:rPr>
          <w:b w:val="0"/>
          <w:bCs w:val="0"/>
          <w:vertAlign w:val="subscript"/>
        </w:rPr>
        <w:t>2</w:t>
      </w:r>
      <w:r>
        <w:rPr>
          <w:b w:val="0"/>
          <w:bCs w:val="0"/>
        </w:rPr>
        <w:t xml:space="preserve">O) δ 7.44 (t, </w:t>
      </w:r>
      <w:r>
        <w:rPr>
          <w:b w:val="0"/>
          <w:bCs w:val="0"/>
          <w:i/>
          <w:iCs/>
        </w:rPr>
        <w:t>J</w:t>
      </w:r>
      <w:r>
        <w:rPr>
          <w:b w:val="0"/>
          <w:bCs w:val="0"/>
        </w:rPr>
        <w:t xml:space="preserve"> = 7.7 Hz, 2H), 7.24 – 7.15 (m, 3H), 5.22 – 5.16 (m, 1H), 4.03 (dd, </w:t>
      </w:r>
      <w:r>
        <w:rPr>
          <w:b w:val="0"/>
          <w:bCs w:val="0"/>
          <w:i/>
          <w:iCs/>
        </w:rPr>
        <w:t>J</w:t>
      </w:r>
      <w:r>
        <w:rPr>
          <w:b w:val="0"/>
          <w:bCs w:val="0"/>
        </w:rPr>
        <w:t xml:space="preserve"> = 6.4, 3.7 Hz, 1H), 3.72 – 3.61 (m, 3H)</w:t>
      </w:r>
      <w:r>
        <w:rPr>
          <w:rFonts w:hint="eastAsia"/>
          <w:b w:val="0"/>
          <w:bCs w:val="0"/>
        </w:rPr>
        <w:t xml:space="preserve"> </w:t>
      </w:r>
      <w:r>
        <w:rPr>
          <w:rFonts w:eastAsia="宋体"/>
          <w:b w:val="0"/>
          <w:bCs w:val="0"/>
        </w:rPr>
        <w:t>(</w:t>
      </w:r>
      <w:r>
        <w:rPr>
          <w:b w:val="0"/>
          <w:bCs w:val="0"/>
        </w:rPr>
        <w:t xml:space="preserve">Supplementary Figure </w:t>
      </w:r>
      <w:r>
        <w:rPr>
          <w:rFonts w:hint="eastAsia"/>
          <w:b w:val="0"/>
          <w:bCs w:val="0"/>
        </w:rPr>
        <w:t>3</w:t>
      </w:r>
      <w:r>
        <w:rPr>
          <w:b w:val="0"/>
          <w:bCs w:val="0"/>
        </w:rPr>
        <w:t>a</w:t>
      </w:r>
      <w:r>
        <w:rPr>
          <w:rFonts w:eastAsia="宋体"/>
          <w:b w:val="0"/>
          <w:bCs w:val="0"/>
        </w:rPr>
        <w:t>)</w:t>
      </w:r>
      <w:r>
        <w:rPr>
          <w:rFonts w:hint="eastAsia" w:eastAsia="宋体"/>
          <w:b w:val="0"/>
          <w:bCs w:val="0"/>
        </w:rPr>
        <w:t xml:space="preserve">; </w:t>
      </w:r>
    </w:p>
    <w:p w14:paraId="21ADE1F5">
      <w:pPr>
        <w:autoSpaceDE w:val="0"/>
        <w:autoSpaceDN w:val="0"/>
        <w:adjustRightInd w:val="0"/>
        <w:rPr>
          <w:b w:val="0"/>
          <w:bCs w:val="0"/>
          <w:kern w:val="0"/>
        </w:rPr>
      </w:pPr>
      <w:r>
        <w:rPr>
          <w:b w:val="0"/>
          <w:bCs w:val="0"/>
          <w:vertAlign w:val="superscript"/>
        </w:rPr>
        <w:t>13</w:t>
      </w:r>
      <w:r>
        <w:rPr>
          <w:b w:val="0"/>
          <w:bCs w:val="0"/>
        </w:rPr>
        <w:t>C NMR (101 MHz, D</w:t>
      </w:r>
      <w:r>
        <w:rPr>
          <w:b w:val="0"/>
          <w:bCs w:val="0"/>
          <w:vertAlign w:val="subscript"/>
        </w:rPr>
        <w:t>2</w:t>
      </w:r>
      <w:r>
        <w:rPr>
          <w:b w:val="0"/>
          <w:bCs w:val="0"/>
        </w:rPr>
        <w:t>O) δ 174.19, 156.54, 129.96, 123.45, 116.71, 100.15, 75.57 , 75.24 , 72.72 , 71.54</w:t>
      </w:r>
      <w:r>
        <w:rPr>
          <w:rFonts w:hint="eastAsia"/>
          <w:b w:val="0"/>
          <w:bCs w:val="0"/>
        </w:rPr>
        <w:t xml:space="preserve"> </w:t>
      </w:r>
      <w:r>
        <w:rPr>
          <w:rFonts w:eastAsia="宋体"/>
          <w:b w:val="0"/>
          <w:bCs w:val="0"/>
        </w:rPr>
        <w:t>(</w:t>
      </w:r>
      <w:r>
        <w:rPr>
          <w:b w:val="0"/>
          <w:bCs w:val="0"/>
        </w:rPr>
        <w:t xml:space="preserve">Supplementary Figure </w:t>
      </w:r>
      <w:r>
        <w:rPr>
          <w:rFonts w:hint="eastAsia"/>
          <w:b w:val="0"/>
          <w:bCs w:val="0"/>
        </w:rPr>
        <w:t>3b</w:t>
      </w:r>
      <w:r>
        <w:rPr>
          <w:rFonts w:eastAsia="宋体"/>
          <w:b w:val="0"/>
          <w:bCs w:val="0"/>
        </w:rPr>
        <w:t>)</w:t>
      </w:r>
      <w:r>
        <w:rPr>
          <w:rFonts w:hint="eastAsia" w:eastAsia="宋体"/>
          <w:b w:val="0"/>
          <w:bCs w:val="0"/>
        </w:rPr>
        <w:t xml:space="preserve">; </w:t>
      </w:r>
    </w:p>
    <w:p w14:paraId="0C8FD5DA">
      <w:pPr>
        <w:autoSpaceDE w:val="0"/>
        <w:autoSpaceDN w:val="0"/>
        <w:adjustRightInd w:val="0"/>
        <w:rPr>
          <w:rFonts w:eastAsia="宋体"/>
          <w:b w:val="0"/>
          <w:bCs w:val="0"/>
        </w:rPr>
      </w:pPr>
      <w:r>
        <w:rPr>
          <w:b w:val="0"/>
          <w:bCs w:val="0"/>
          <w:kern w:val="0"/>
        </w:rPr>
        <w:t>IR (neat, cm</w:t>
      </w:r>
      <w:r>
        <w:rPr>
          <w:b w:val="0"/>
          <w:bCs w:val="0"/>
          <w:kern w:val="0"/>
          <w:vertAlign w:val="superscript"/>
        </w:rPr>
        <w:t>-1</w:t>
      </w:r>
      <w:r>
        <w:rPr>
          <w:b w:val="0"/>
          <w:bCs w:val="0"/>
          <w:kern w:val="0"/>
        </w:rPr>
        <w:t>): 3502, 3456, 2900, 1743, 1600, 1492, 1415, 1226, 1080, 752, 690, 636</w:t>
      </w:r>
      <w:r>
        <w:rPr>
          <w:rFonts w:hint="eastAsia"/>
          <w:b w:val="0"/>
          <w:bCs w:val="0"/>
          <w:kern w:val="0"/>
        </w:rPr>
        <w:t xml:space="preserve"> </w:t>
      </w:r>
      <w:r>
        <w:rPr>
          <w:rFonts w:eastAsia="宋体"/>
          <w:b w:val="0"/>
          <w:bCs w:val="0"/>
        </w:rPr>
        <w:t>(</w:t>
      </w:r>
      <w:r>
        <w:rPr>
          <w:b w:val="0"/>
          <w:bCs w:val="0"/>
        </w:rPr>
        <w:t xml:space="preserve">Supplementary Figure </w:t>
      </w:r>
      <w:r>
        <w:rPr>
          <w:rFonts w:hint="eastAsia"/>
          <w:b w:val="0"/>
          <w:bCs w:val="0"/>
        </w:rPr>
        <w:t>3c</w:t>
      </w:r>
      <w:r>
        <w:rPr>
          <w:rFonts w:eastAsia="宋体"/>
          <w:b w:val="0"/>
          <w:bCs w:val="0"/>
        </w:rPr>
        <w:t>)</w:t>
      </w:r>
      <w:r>
        <w:rPr>
          <w:rFonts w:hint="eastAsia" w:eastAsia="宋体"/>
          <w:b w:val="0"/>
          <w:bCs w:val="0"/>
        </w:rPr>
        <w:t xml:space="preserve">; </w:t>
      </w:r>
    </w:p>
    <w:p w14:paraId="12B4677E">
      <w:pPr>
        <w:autoSpaceDE w:val="0"/>
        <w:autoSpaceDN w:val="0"/>
        <w:adjustRightInd w:val="0"/>
        <w:rPr>
          <w:rFonts w:eastAsia="宋体"/>
          <w:b w:val="0"/>
          <w:kern w:val="0"/>
          <w:sz w:val="22"/>
          <w:szCs w:val="22"/>
        </w:rPr>
      </w:pPr>
      <w:r>
        <w:rPr>
          <w:rFonts w:eastAsia="宋体"/>
          <w:b w:val="0"/>
          <w:bCs w:val="0"/>
          <w:kern w:val="0"/>
        </w:rPr>
        <w:t>MS</w:t>
      </w:r>
      <w:r>
        <w:rPr>
          <w:rFonts w:hint="eastAsia" w:eastAsia="宋体"/>
          <w:b w:val="0"/>
          <w:bCs w:val="0"/>
          <w:kern w:val="0"/>
        </w:rPr>
        <w:t xml:space="preserve"> </w:t>
      </w:r>
      <w:r>
        <w:rPr>
          <w:b w:val="0"/>
          <w:bCs w:val="0"/>
          <w:kern w:val="0"/>
        </w:rPr>
        <w:t>ESI: 288.1 [M+NH</w:t>
      </w:r>
      <w:r>
        <w:rPr>
          <w:b w:val="0"/>
          <w:bCs w:val="0"/>
          <w:kern w:val="0"/>
          <w:vertAlign w:val="subscript"/>
        </w:rPr>
        <w:t>4</w:t>
      </w:r>
      <w:r>
        <w:rPr>
          <w:b w:val="0"/>
          <w:bCs w:val="0"/>
          <w:kern w:val="0"/>
        </w:rPr>
        <w:t>]</w:t>
      </w:r>
      <w:r>
        <w:rPr>
          <w:b w:val="0"/>
          <w:bCs w:val="0"/>
          <w:kern w:val="0"/>
          <w:vertAlign w:val="superscript"/>
        </w:rPr>
        <w:t>+</w:t>
      </w:r>
      <w:r>
        <w:rPr>
          <w:rFonts w:hint="eastAsia"/>
          <w:b w:val="0"/>
          <w:bCs w:val="0"/>
          <w:kern w:val="0"/>
          <w:vertAlign w:val="superscript"/>
        </w:rPr>
        <w:t xml:space="preserve"> </w:t>
      </w:r>
      <w:r>
        <w:rPr>
          <w:rFonts w:eastAsia="宋体"/>
          <w:b w:val="0"/>
          <w:bCs w:val="0"/>
        </w:rPr>
        <w:t>(</w:t>
      </w:r>
      <w:r>
        <w:rPr>
          <w:b w:val="0"/>
          <w:bCs w:val="0"/>
        </w:rPr>
        <w:t xml:space="preserve">Supplementary Figure </w:t>
      </w:r>
      <w:r>
        <w:rPr>
          <w:rFonts w:hint="eastAsia"/>
          <w:b w:val="0"/>
          <w:bCs w:val="0"/>
        </w:rPr>
        <w:t>3d</w:t>
      </w:r>
      <w:r>
        <w:rPr>
          <w:rFonts w:eastAsia="宋体"/>
          <w:b w:val="0"/>
          <w:bCs w:val="0"/>
        </w:rPr>
        <w:t>)</w:t>
      </w:r>
      <w:r>
        <w:rPr>
          <w:rFonts w:hint="eastAsia" w:eastAsia="宋体"/>
          <w:b w:val="0"/>
          <w:bCs w:val="0"/>
        </w:rPr>
        <w:t>.</w:t>
      </w:r>
    </w:p>
    <w:p w14:paraId="182A1BD3">
      <w:pPr>
        <w:autoSpaceDE w:val="0"/>
        <w:autoSpaceDN w:val="0"/>
        <w:adjustRightInd w:val="0"/>
        <w:jc w:val="left"/>
        <w:rPr>
          <w:rFonts w:eastAsia="宋体"/>
        </w:rPr>
      </w:pPr>
      <w:r>
        <w:rPr>
          <w:rFonts w:hint="eastAsia" w:eastAsia="宋体"/>
        </w:rPr>
        <w:t>Bio-compatibility of p</w:t>
      </w:r>
      <w:r>
        <w:t xml:space="preserve">henyl-β-D-glucuronide </w:t>
      </w:r>
    </w:p>
    <w:p w14:paraId="799C26A8">
      <w:pPr>
        <w:rPr>
          <w:b w:val="0"/>
          <w:bCs w:val="0"/>
          <w:color w:val="24292F"/>
        </w:rPr>
      </w:pPr>
      <w:r>
        <w:rPr>
          <w:rFonts w:hint="eastAsia"/>
          <w:b w:val="0"/>
          <w:bCs w:val="0"/>
          <w:color w:val="24292F"/>
        </w:rPr>
        <w:t>C</w:t>
      </w:r>
      <w:r>
        <w:rPr>
          <w:b w:val="0"/>
          <w:bCs w:val="0"/>
          <w:color w:val="24292F"/>
        </w:rPr>
        <w:t xml:space="preserve">ell viability of phenyl-β-D-glucuronide solution (diluted with </w:t>
      </w:r>
      <w:r>
        <w:rPr>
          <w:b w:val="0"/>
          <w:bCs w:val="0"/>
          <w:color w:val="000000" w:themeColor="text1"/>
          <w14:textFill>
            <w14:solidFill>
              <w14:schemeClr w14:val="tx1"/>
            </w14:solidFill>
          </w14:textFill>
        </w:rPr>
        <w:t>phosphate buffer saline, PBS solution</w:t>
      </w:r>
      <w:r>
        <w:rPr>
          <w:b w:val="0"/>
          <w:bCs w:val="0"/>
          <w:color w:val="24292F"/>
        </w:rPr>
        <w:t xml:space="preserve">) </w:t>
      </w:r>
      <w:r>
        <w:rPr>
          <w:rFonts w:hint="eastAsia"/>
          <w:b w:val="0"/>
          <w:bCs w:val="0"/>
          <w:color w:val="24292F"/>
        </w:rPr>
        <w:t>was</w:t>
      </w:r>
      <w:r>
        <w:rPr>
          <w:b w:val="0"/>
          <w:bCs w:val="0"/>
          <w:color w:val="24292F"/>
        </w:rPr>
        <w:t xml:space="preserve"> verified on human gastric mucosal epithelial cells by standard cell-counting kit 8 (CCK-8) analysis. Figure </w:t>
      </w:r>
      <w:r>
        <w:rPr>
          <w:rFonts w:hint="eastAsia"/>
          <w:b w:val="0"/>
          <w:bCs w:val="0"/>
          <w:color w:val="24292F"/>
        </w:rPr>
        <w:t>3</w:t>
      </w:r>
      <w:r>
        <w:rPr>
          <w:b w:val="0"/>
          <w:bCs w:val="0"/>
          <w:color w:val="24292F"/>
        </w:rPr>
        <w:t>a</w:t>
      </w:r>
      <w:r>
        <w:rPr>
          <w:rFonts w:hint="eastAsia"/>
          <w:b w:val="0"/>
          <w:bCs w:val="0"/>
          <w:color w:val="24292F"/>
        </w:rPr>
        <w:t xml:space="preserve"> implies that </w:t>
      </w:r>
      <w:r>
        <w:rPr>
          <w:b w:val="0"/>
          <w:bCs w:val="0"/>
          <w:color w:val="24292F"/>
        </w:rPr>
        <w:t>the cell viability remain</w:t>
      </w:r>
      <w:r>
        <w:rPr>
          <w:rFonts w:hint="eastAsia"/>
          <w:b w:val="0"/>
          <w:bCs w:val="0"/>
          <w:color w:val="24292F"/>
        </w:rPr>
        <w:t>s</w:t>
      </w:r>
      <w:r>
        <w:rPr>
          <w:b w:val="0"/>
          <w:bCs w:val="0"/>
          <w:color w:val="24292F"/>
        </w:rPr>
        <w:t xml:space="preserve"> at 92.3% even the exogenous agent concentration up to 500μg/mL, indicating negligible cytotoxicity against cells incubated with phenyl-β-D-glucuronide solut</w:t>
      </w:r>
      <w:r>
        <w:rPr>
          <w:rFonts w:hint="eastAsia"/>
          <w:b w:val="0"/>
          <w:bCs w:val="0"/>
          <w:color w:val="24292F"/>
        </w:rPr>
        <w:t>i</w:t>
      </w:r>
      <w:r>
        <w:rPr>
          <w:b w:val="0"/>
          <w:bCs w:val="0"/>
          <w:color w:val="24292F"/>
        </w:rPr>
        <w:t>on. Then, body weight of the healthy mice that dosed without (control group) or with 200μg/</w:t>
      </w:r>
      <w:r>
        <w:rPr>
          <w:rFonts w:hint="eastAsia"/>
          <w:b w:val="0"/>
          <w:bCs w:val="0"/>
          <w:color w:val="24292F"/>
        </w:rPr>
        <w:t>kg</w:t>
      </w:r>
      <w:r>
        <w:rPr>
          <w:b w:val="0"/>
          <w:bCs w:val="0"/>
          <w:color w:val="24292F"/>
        </w:rPr>
        <w:t xml:space="preserve"> phenyl-β-D-glucuronide were compared</w:t>
      </w:r>
      <w:r>
        <w:rPr>
          <w:rFonts w:hint="eastAsia"/>
          <w:b w:val="0"/>
          <w:bCs w:val="0"/>
          <w:color w:val="24292F"/>
        </w:rPr>
        <w:t>.</w:t>
      </w:r>
      <w:r>
        <w:rPr>
          <w:b w:val="0"/>
          <w:bCs w:val="0"/>
          <w:color w:val="24292F"/>
        </w:rPr>
        <w:t xml:space="preserve"> </w:t>
      </w:r>
      <w:r>
        <w:rPr>
          <w:rFonts w:hint="eastAsia"/>
          <w:b w:val="0"/>
          <w:bCs w:val="0"/>
          <w:color w:val="24292F"/>
        </w:rPr>
        <w:t>T</w:t>
      </w:r>
      <w:r>
        <w:rPr>
          <w:b w:val="0"/>
          <w:bCs w:val="0"/>
          <w:color w:val="24292F"/>
        </w:rPr>
        <w:t xml:space="preserve">he similarity of body weight for all groups at different </w:t>
      </w:r>
      <w:r>
        <w:rPr>
          <w:rFonts w:hint="eastAsia"/>
          <w:b w:val="0"/>
          <w:bCs w:val="0"/>
          <w:color w:val="24292F"/>
        </w:rPr>
        <w:t>investigation</w:t>
      </w:r>
      <w:r>
        <w:rPr>
          <w:b w:val="0"/>
          <w:bCs w:val="0"/>
          <w:color w:val="24292F"/>
        </w:rPr>
        <w:t xml:space="preserve"> period implies that dosing</w:t>
      </w:r>
      <w:r>
        <w:rPr>
          <w:rFonts w:hint="eastAsia"/>
          <w:b w:val="0"/>
          <w:bCs w:val="0"/>
          <w:color w:val="24292F"/>
        </w:rPr>
        <w:t xml:space="preserve"> </w:t>
      </w:r>
      <w:r>
        <w:rPr>
          <w:b w:val="0"/>
          <w:bCs w:val="0"/>
          <w:color w:val="24292F"/>
        </w:rPr>
        <w:t xml:space="preserve">phenyl-β-D-glucuronide did not cause any notable toxic side-effects (Figure </w:t>
      </w:r>
      <w:r>
        <w:rPr>
          <w:rFonts w:hint="eastAsia"/>
          <w:b w:val="0"/>
          <w:bCs w:val="0"/>
          <w:color w:val="24292F"/>
        </w:rPr>
        <w:t>3</w:t>
      </w:r>
      <w:r>
        <w:rPr>
          <w:b w:val="0"/>
          <w:bCs w:val="0"/>
          <w:color w:val="24292F"/>
        </w:rPr>
        <w:t xml:space="preserve">b). Hematoxylin Eosin (H&amp;E) stained sections of major organs (heart, liver, spleen, lung, kidney) </w:t>
      </w:r>
      <w:r>
        <w:rPr>
          <w:rFonts w:hint="eastAsia"/>
          <w:b w:val="0"/>
          <w:bCs w:val="0"/>
          <w:color w:val="24292F"/>
        </w:rPr>
        <w:t xml:space="preserve">for both </w:t>
      </w:r>
      <w:r>
        <w:rPr>
          <w:b w:val="0"/>
          <w:bCs w:val="0"/>
          <w:color w:val="24292F"/>
        </w:rPr>
        <w:t xml:space="preserve">healthy and tumor bearing mice </w:t>
      </w:r>
      <w:r>
        <w:rPr>
          <w:rFonts w:hint="eastAsia"/>
          <w:b w:val="0"/>
          <w:bCs w:val="0"/>
          <w:color w:val="24292F"/>
        </w:rPr>
        <w:t xml:space="preserve">that subjected to </w:t>
      </w:r>
      <w:r>
        <w:rPr>
          <w:b w:val="0"/>
          <w:bCs w:val="0"/>
          <w:color w:val="24292F"/>
        </w:rPr>
        <w:t>phenyl-β-D-glucuronide treat</w:t>
      </w:r>
      <w:r>
        <w:rPr>
          <w:rFonts w:hint="eastAsia"/>
          <w:b w:val="0"/>
          <w:bCs w:val="0"/>
          <w:color w:val="24292F"/>
        </w:rPr>
        <w:t xml:space="preserve">ment </w:t>
      </w:r>
      <w:r>
        <w:rPr>
          <w:b w:val="0"/>
          <w:bCs w:val="0"/>
          <w:color w:val="24292F"/>
        </w:rPr>
        <w:t xml:space="preserve">also exhibit </w:t>
      </w:r>
      <w:r>
        <w:rPr>
          <w:rFonts w:hint="eastAsia"/>
          <w:b w:val="0"/>
          <w:bCs w:val="0"/>
          <w:color w:val="24292F"/>
        </w:rPr>
        <w:t>unapparent</w:t>
      </w:r>
      <w:r>
        <w:rPr>
          <w:b w:val="0"/>
          <w:bCs w:val="0"/>
          <w:color w:val="24292F"/>
        </w:rPr>
        <w:t xml:space="preserve"> pathological changes (Figure </w:t>
      </w:r>
      <w:r>
        <w:rPr>
          <w:rFonts w:hint="eastAsia"/>
          <w:b w:val="0"/>
          <w:bCs w:val="0"/>
          <w:color w:val="24292F"/>
        </w:rPr>
        <w:t>3</w:t>
      </w:r>
      <w:r>
        <w:rPr>
          <w:b w:val="0"/>
          <w:bCs w:val="0"/>
          <w:color w:val="24292F"/>
        </w:rPr>
        <w:t xml:space="preserve">c). </w:t>
      </w:r>
      <w:r>
        <w:rPr>
          <w:rFonts w:hint="eastAsia"/>
          <w:b w:val="0"/>
          <w:bCs w:val="0"/>
          <w:color w:val="24292F"/>
        </w:rPr>
        <w:t>Finally</w:t>
      </w:r>
      <w:r>
        <w:rPr>
          <w:b w:val="0"/>
          <w:bCs w:val="0"/>
          <w:color w:val="24292F"/>
        </w:rPr>
        <w:t xml:space="preserve">, the bio-compatibility of phenyl-β-D-glucuronide </w:t>
      </w:r>
      <w:r>
        <w:rPr>
          <w:rFonts w:hint="eastAsia"/>
          <w:b w:val="0"/>
          <w:bCs w:val="0"/>
          <w:color w:val="24292F"/>
        </w:rPr>
        <w:t>was</w:t>
      </w:r>
      <w:r>
        <w:rPr>
          <w:b w:val="0"/>
          <w:bCs w:val="0"/>
          <w:color w:val="24292F"/>
        </w:rPr>
        <w:t xml:space="preserve"> </w:t>
      </w:r>
      <w:r>
        <w:rPr>
          <w:rFonts w:hint="eastAsia"/>
          <w:b w:val="0"/>
          <w:bCs w:val="0"/>
          <w:color w:val="24292F"/>
        </w:rPr>
        <w:t>additionally</w:t>
      </w:r>
      <w:r>
        <w:rPr>
          <w:b w:val="0"/>
          <w:bCs w:val="0"/>
          <w:color w:val="24292F"/>
        </w:rPr>
        <w:t xml:space="preserve"> investigated by the detailed parameters of hematology, including </w:t>
      </w:r>
      <w:r>
        <w:rPr>
          <w:rFonts w:hint="eastAsia"/>
          <w:b w:val="0"/>
          <w:bCs w:val="0"/>
          <w:color w:val="24292F"/>
        </w:rPr>
        <w:t>a</w:t>
      </w:r>
      <w:r>
        <w:rPr>
          <w:b w:val="0"/>
          <w:bCs w:val="0"/>
          <w:color w:val="24292F"/>
        </w:rPr>
        <w:t>lanine transaminase</w:t>
      </w:r>
      <w:r>
        <w:rPr>
          <w:rFonts w:hint="eastAsia"/>
          <w:b w:val="0"/>
          <w:bCs w:val="0"/>
          <w:color w:val="24292F"/>
        </w:rPr>
        <w:t xml:space="preserve"> level (ALT), albumin level (ALB),</w:t>
      </w:r>
      <w:r>
        <w:rPr>
          <w:rFonts w:hint="eastAsia" w:eastAsia="宋体"/>
          <w:b w:val="0"/>
          <w:bCs w:val="0"/>
          <w:color w:val="4D5156"/>
          <w:shd w:val="clear" w:color="auto" w:fill="FFFFFF"/>
        </w:rPr>
        <w:t xml:space="preserve"> </w:t>
      </w:r>
      <w:r>
        <w:rPr>
          <w:b w:val="0"/>
          <w:bCs w:val="0"/>
          <w:color w:val="24292F"/>
        </w:rPr>
        <w:t>blood urea nitrogen</w:t>
      </w:r>
      <w:r>
        <w:rPr>
          <w:rFonts w:hint="eastAsia"/>
          <w:b w:val="0"/>
          <w:bCs w:val="0"/>
          <w:color w:val="24292F"/>
        </w:rPr>
        <w:t xml:space="preserve"> level (BUN), creatinine level (CRE), triglyceride level (TG), cholesterol level (CHO), </w:t>
      </w:r>
      <w:r>
        <w:rPr>
          <w:b w:val="0"/>
          <w:bCs w:val="0"/>
          <w:color w:val="24292F"/>
        </w:rPr>
        <w:t>high density lipoprotein</w:t>
      </w:r>
      <w:r>
        <w:rPr>
          <w:rFonts w:hint="eastAsia"/>
          <w:b w:val="0"/>
          <w:bCs w:val="0"/>
          <w:color w:val="24292F"/>
        </w:rPr>
        <w:t xml:space="preserve"> level (HDL), aspartate transaminase level (AST), white blood cell </w:t>
      </w:r>
      <w:r>
        <w:rPr>
          <w:b w:val="0"/>
          <w:bCs w:val="0"/>
          <w:color w:val="24292F"/>
        </w:rPr>
        <w:t>count</w:t>
      </w:r>
      <w:r>
        <w:rPr>
          <w:rFonts w:hint="eastAsia"/>
          <w:b w:val="0"/>
          <w:bCs w:val="0"/>
          <w:color w:val="24292F"/>
        </w:rPr>
        <w:t xml:space="preserve"> (WBC), </w:t>
      </w:r>
      <w:r>
        <w:rPr>
          <w:b w:val="0"/>
          <w:bCs w:val="0"/>
          <w:color w:val="24292F"/>
        </w:rPr>
        <w:t>red blood cell count</w:t>
      </w:r>
      <w:r>
        <w:rPr>
          <w:rFonts w:hint="eastAsia"/>
          <w:b w:val="0"/>
          <w:bCs w:val="0"/>
          <w:color w:val="24292F"/>
        </w:rPr>
        <w:t xml:space="preserve"> (RBC), </w:t>
      </w:r>
      <w:r>
        <w:rPr>
          <w:b w:val="0"/>
          <w:bCs w:val="0"/>
          <w:color w:val="24292F"/>
        </w:rPr>
        <w:t>haemoglobin level</w:t>
      </w:r>
      <w:r>
        <w:rPr>
          <w:rFonts w:hint="eastAsia"/>
          <w:b w:val="0"/>
          <w:bCs w:val="0"/>
          <w:color w:val="24292F"/>
        </w:rPr>
        <w:t xml:space="preserve"> (HGB) and </w:t>
      </w:r>
      <w:r>
        <w:rPr>
          <w:b w:val="0"/>
          <w:bCs w:val="0"/>
          <w:color w:val="24292F"/>
        </w:rPr>
        <w:t>platelet count</w:t>
      </w:r>
      <w:r>
        <w:rPr>
          <w:rFonts w:hint="eastAsia"/>
          <w:b w:val="0"/>
          <w:bCs w:val="0"/>
          <w:color w:val="24292F"/>
        </w:rPr>
        <w:t xml:space="preserve"> (PLT). As shown in</w:t>
      </w:r>
      <w:r>
        <w:rPr>
          <w:b w:val="0"/>
          <w:bCs w:val="0"/>
          <w:color w:val="24292F"/>
        </w:rPr>
        <w:t xml:space="preserve"> Figure </w:t>
      </w:r>
      <w:r>
        <w:rPr>
          <w:rFonts w:hint="eastAsia"/>
          <w:b w:val="0"/>
          <w:bCs w:val="0"/>
          <w:color w:val="24292F"/>
        </w:rPr>
        <w:t xml:space="preserve">3d </w:t>
      </w:r>
      <w:r>
        <w:rPr>
          <w:b w:val="0"/>
          <w:bCs w:val="0"/>
          <w:color w:val="24292F"/>
        </w:rPr>
        <w:t xml:space="preserve">that negligible changes </w:t>
      </w:r>
      <w:r>
        <w:rPr>
          <w:rFonts w:hint="eastAsia"/>
          <w:b w:val="0"/>
          <w:bCs w:val="0"/>
          <w:color w:val="24292F"/>
        </w:rPr>
        <w:t>were</w:t>
      </w:r>
      <w:r>
        <w:rPr>
          <w:b w:val="0"/>
          <w:bCs w:val="0"/>
          <w:color w:val="24292F"/>
        </w:rPr>
        <w:t xml:space="preserve"> observed between these two groups. </w:t>
      </w:r>
      <w:r>
        <w:rPr>
          <w:rFonts w:hint="eastAsia"/>
          <w:b w:val="0"/>
          <w:bCs w:val="0"/>
          <w:color w:val="24292F"/>
        </w:rPr>
        <w:t>Moreover</w:t>
      </w:r>
      <w:r>
        <w:rPr>
          <w:b w:val="0"/>
          <w:bCs w:val="0"/>
          <w:color w:val="24292F"/>
        </w:rPr>
        <w:t xml:space="preserve">, animal testing reports of acute systemic toxicity test and the maximization test for sensitization reveal that extract solution of phenyl-β-D-glucuronide did not cause acute systemic toxicity and/or skin allergic reaction (Supplementary </w:t>
      </w:r>
      <w:r>
        <w:rPr>
          <w:rFonts w:hint="eastAsia"/>
          <w:b w:val="0"/>
          <w:bCs w:val="0"/>
          <w:color w:val="24292F"/>
        </w:rPr>
        <w:t>R</w:t>
      </w:r>
      <w:r>
        <w:rPr>
          <w:b w:val="0"/>
          <w:bCs w:val="0"/>
          <w:color w:val="24292F"/>
        </w:rPr>
        <w:t xml:space="preserve">eports for acute systemic toxicity test and the maximization test). In </w:t>
      </w:r>
      <w:r>
        <w:rPr>
          <w:rFonts w:hint="eastAsia"/>
          <w:b w:val="0"/>
          <w:bCs w:val="0"/>
          <w:color w:val="24292F"/>
        </w:rPr>
        <w:t>sum</w:t>
      </w:r>
      <w:r>
        <w:rPr>
          <w:b w:val="0"/>
          <w:bCs w:val="0"/>
          <w:color w:val="24292F"/>
        </w:rPr>
        <w:t>, all these aforementioned preliminary toxicology test results validate good bio-compatibility of the phenyl-β-D-glucuronide like exogenous agent</w:t>
      </w:r>
      <w:r>
        <w:rPr>
          <w:rFonts w:hint="eastAsia"/>
          <w:b w:val="0"/>
          <w:bCs w:val="0"/>
          <w:color w:val="24292F"/>
        </w:rPr>
        <w:t>.</w:t>
      </w:r>
    </w:p>
    <w:p w14:paraId="769CD3AF">
      <w:pPr>
        <w:rPr>
          <w:b w:val="0"/>
          <w:bCs w:val="0"/>
          <w:color w:val="24292F"/>
        </w:rPr>
      </w:pPr>
    </w:p>
    <w:p w14:paraId="5A217B92">
      <w:pPr>
        <w:rPr>
          <w:color w:val="24292F"/>
        </w:rPr>
      </w:pPr>
      <w:r>
        <w:rPr>
          <w:rFonts w:hint="eastAsia"/>
          <w:color w:val="24292F"/>
        </w:rPr>
        <w:t>Phenol sensor fabrication and characterization</w:t>
      </w:r>
    </w:p>
    <w:p w14:paraId="39082502">
      <w:pPr>
        <w:rPr>
          <w:b w:val="0"/>
          <w:bCs w:val="0"/>
        </w:rPr>
      </w:pPr>
      <w:r>
        <w:rPr>
          <w:rFonts w:hint="eastAsia"/>
          <w:b w:val="0"/>
          <w:bCs w:val="0"/>
        </w:rPr>
        <w:t xml:space="preserve">At the first step, </w:t>
      </w:r>
      <w:r>
        <w:rPr>
          <w:b w:val="0"/>
          <w:bCs w:val="0"/>
        </w:rPr>
        <w:t xml:space="preserve">gas adsorption capability of various metallic oxides </w:t>
      </w:r>
      <w:r>
        <w:rPr>
          <w:rFonts w:hint="eastAsia"/>
          <w:b w:val="0"/>
          <w:bCs w:val="0"/>
        </w:rPr>
        <w:t xml:space="preserve">was </w:t>
      </w:r>
      <w:r>
        <w:rPr>
          <w:b w:val="0"/>
          <w:bCs w:val="0"/>
        </w:rPr>
        <w:t>compared to screen out the phenol adsorption preferred sensing material</w:t>
      </w:r>
      <w:r>
        <w:rPr>
          <w:rFonts w:hint="eastAsia"/>
          <w:b w:val="0"/>
          <w:bCs w:val="0"/>
        </w:rPr>
        <w:t xml:space="preserve"> so as to detect phenol with high specificity</w:t>
      </w:r>
      <w:r>
        <w:rPr>
          <w:b w:val="0"/>
          <w:bCs w:val="0"/>
        </w:rPr>
        <w:t>.</w:t>
      </w:r>
      <w:r>
        <w:rPr>
          <w:rFonts w:hint="eastAsia"/>
          <w:b w:val="0"/>
          <w:bCs w:val="0"/>
        </w:rPr>
        <w:t xml:space="preserve"> V</w:t>
      </w:r>
      <w:r>
        <w:rPr>
          <w:b w:val="0"/>
          <w:bCs w:val="0"/>
        </w:rPr>
        <w:t xml:space="preserve">olatile compounds (VOCs, e.g. acetone, styrene, hexanal, ethanol, n-butanol, ethylbenzene) that can be primary found in </w:t>
      </w:r>
      <w:r>
        <w:rPr>
          <w:rFonts w:hint="eastAsia"/>
          <w:b w:val="0"/>
          <w:bCs w:val="0"/>
        </w:rPr>
        <w:t xml:space="preserve">human </w:t>
      </w:r>
      <w:r>
        <w:rPr>
          <w:b w:val="0"/>
          <w:bCs w:val="0"/>
        </w:rPr>
        <w:t xml:space="preserve">exhaled breath are selected as the interference gases in this </w:t>
      </w:r>
      <w:r>
        <w:rPr>
          <w:rFonts w:hint="eastAsia"/>
          <w:b w:val="0"/>
          <w:bCs w:val="0"/>
        </w:rPr>
        <w:t>research</w:t>
      </w:r>
      <w:r>
        <w:rPr>
          <w:b w:val="0"/>
          <w:bCs w:val="0"/>
        </w:rPr>
        <w:t xml:space="preserve"> and an automatic gas blending system </w:t>
      </w:r>
      <w:r>
        <w:rPr>
          <w:rFonts w:hint="eastAsia"/>
          <w:b w:val="0"/>
          <w:bCs w:val="0"/>
        </w:rPr>
        <w:t>was</w:t>
      </w:r>
      <w:r>
        <w:rPr>
          <w:b w:val="0"/>
          <w:bCs w:val="0"/>
        </w:rPr>
        <w:t xml:space="preserve"> </w:t>
      </w:r>
      <w:r>
        <w:rPr>
          <w:rFonts w:hint="eastAsia"/>
          <w:b w:val="0"/>
          <w:bCs w:val="0"/>
        </w:rPr>
        <w:t>built</w:t>
      </w:r>
      <w:r>
        <w:rPr>
          <w:b w:val="0"/>
          <w:bCs w:val="0"/>
        </w:rPr>
        <w:t xml:space="preserve"> for </w:t>
      </w:r>
      <w:r>
        <w:rPr>
          <w:rFonts w:hint="eastAsia"/>
          <w:b w:val="0"/>
          <w:bCs w:val="0"/>
        </w:rPr>
        <w:t>supplyin</w:t>
      </w:r>
      <w:r>
        <w:rPr>
          <w:rFonts w:hint="eastAsia"/>
          <w:b w:val="0"/>
          <w:bCs w:val="0"/>
          <w:color w:val="000000" w:themeColor="text1"/>
          <w14:textFill>
            <w14:solidFill>
              <w14:schemeClr w14:val="tx1"/>
            </w14:solidFill>
          </w14:textFill>
        </w:rPr>
        <w:t>g</w:t>
      </w:r>
      <w:r>
        <w:rPr>
          <w:b w:val="0"/>
          <w:bCs w:val="0"/>
          <w:color w:val="000000" w:themeColor="text1"/>
          <w14:textFill>
            <w14:solidFill>
              <w14:schemeClr w14:val="tx1"/>
            </w14:solidFill>
          </w14:textFill>
        </w:rPr>
        <w:t xml:space="preserve"> VOCs at </w:t>
      </w:r>
      <w:r>
        <w:rPr>
          <w:rFonts w:hint="eastAsia"/>
          <w:b w:val="0"/>
          <w:bCs w:val="0"/>
          <w:color w:val="000000" w:themeColor="text1"/>
          <w14:textFill>
            <w14:solidFill>
              <w14:schemeClr w14:val="tx1"/>
            </w14:solidFill>
          </w14:textFill>
        </w:rPr>
        <w:t>certain</w:t>
      </w:r>
      <w:r>
        <w:rPr>
          <w:b w:val="0"/>
          <w:bCs w:val="0"/>
          <w:color w:val="000000" w:themeColor="text1"/>
          <w14:textFill>
            <w14:solidFill>
              <w14:schemeClr w14:val="tx1"/>
            </w14:solidFill>
          </w14:textFill>
        </w:rPr>
        <w:t xml:space="preserve"> </w:t>
      </w:r>
      <w:r>
        <w:rPr>
          <w:rFonts w:hint="eastAsia"/>
          <w:b w:val="0"/>
          <w:bCs w:val="0"/>
          <w:color w:val="000000" w:themeColor="text1"/>
          <w14:textFill>
            <w14:solidFill>
              <w14:schemeClr w14:val="tx1"/>
            </w14:solidFill>
          </w14:textFill>
        </w:rPr>
        <w:t xml:space="preserve">concentration </w:t>
      </w:r>
      <w:r>
        <w:rPr>
          <w:b w:val="0"/>
          <w:bCs w:val="0"/>
        </w:rPr>
        <w:t>(</w:t>
      </w:r>
      <w:r>
        <w:rPr>
          <w:rFonts w:hint="eastAsia"/>
          <w:b w:val="0"/>
          <w:bCs w:val="0"/>
        </w:rPr>
        <w:t>Supplementary Figure 7a</w:t>
      </w:r>
      <w:r>
        <w:rPr>
          <w:b w:val="0"/>
          <w:bCs w:val="0"/>
          <w:color w:val="000000" w:themeColor="text1"/>
          <w14:textFill>
            <w14:solidFill>
              <w14:schemeClr w14:val="tx1"/>
            </w14:solidFill>
          </w14:textFill>
        </w:rPr>
        <w:t xml:space="preserve">). As shown in </w:t>
      </w:r>
      <w:r>
        <w:rPr>
          <w:rFonts w:hint="eastAsia"/>
          <w:b w:val="0"/>
          <w:bCs w:val="0"/>
        </w:rPr>
        <w:t>Supplementary Figure 7b</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 xml:space="preserve"> among all the examined me</w:t>
      </w:r>
      <w:r>
        <w:rPr>
          <w:b w:val="0"/>
          <w:bCs w:val="0"/>
        </w:rPr>
        <w:t>tallic oxides</w:t>
      </w:r>
      <w:r>
        <w:rPr>
          <w:rFonts w:hint="eastAsia"/>
          <w:b w:val="0"/>
          <w:bCs w:val="0"/>
        </w:rPr>
        <w:t xml:space="preserve"> that </w:t>
      </w:r>
      <w:r>
        <w:rPr>
          <w:rFonts w:hint="eastAsia"/>
          <w:b w:val="0"/>
          <w:bCs w:val="0"/>
          <w:color w:val="000000" w:themeColor="text1"/>
          <w14:textFill>
            <w14:solidFill>
              <w14:schemeClr w14:val="tx1"/>
            </w14:solidFill>
          </w14:textFill>
        </w:rPr>
        <w:t>exposed to various studied VOCs</w:t>
      </w:r>
      <w:r>
        <w:rPr>
          <w:b w:val="0"/>
          <w:bCs w:val="0"/>
        </w:rPr>
        <w:t xml:space="preserve">, relative larger frequency shift for phenol </w:t>
      </w:r>
      <w:r>
        <w:rPr>
          <w:rFonts w:hint="eastAsia"/>
          <w:b w:val="0"/>
          <w:bCs w:val="0"/>
        </w:rPr>
        <w:t>was</w:t>
      </w:r>
      <w:r>
        <w:rPr>
          <w:b w:val="0"/>
          <w:bCs w:val="0"/>
        </w:rPr>
        <w:t xml:space="preserve"> </w:t>
      </w:r>
      <w:r>
        <w:rPr>
          <w:rFonts w:hint="eastAsia"/>
          <w:b w:val="0"/>
          <w:bCs w:val="0"/>
        </w:rPr>
        <w:t>purely</w:t>
      </w:r>
      <w:r>
        <w:rPr>
          <w:b w:val="0"/>
          <w:bCs w:val="0"/>
        </w:rPr>
        <w:t xml:space="preserve"> observed for Cr</w:t>
      </w:r>
      <w:r>
        <w:rPr>
          <w:b w:val="0"/>
          <w:bCs w:val="0"/>
          <w:vertAlign w:val="subscript"/>
        </w:rPr>
        <w:t>2</w:t>
      </w:r>
      <w:r>
        <w:rPr>
          <w:b w:val="0"/>
          <w:bCs w:val="0"/>
        </w:rPr>
        <w:t>O</w:t>
      </w:r>
      <w:r>
        <w:rPr>
          <w:b w:val="0"/>
          <w:bCs w:val="0"/>
          <w:vertAlign w:val="subscript"/>
        </w:rPr>
        <w:t>3</w:t>
      </w:r>
      <w:r>
        <w:rPr>
          <w:b w:val="0"/>
          <w:bCs w:val="0"/>
        </w:rPr>
        <w:t xml:space="preserve">. </w:t>
      </w:r>
      <w:r>
        <w:rPr>
          <w:rFonts w:hint="eastAsia"/>
          <w:b w:val="0"/>
          <w:bCs w:val="0"/>
        </w:rPr>
        <w:t>Because</w:t>
      </w:r>
      <w:r>
        <w:rPr>
          <w:b w:val="0"/>
          <w:bCs w:val="0"/>
        </w:rPr>
        <w:t xml:space="preserve"> large frequency shift suggests the high affinity to specific gas species,</w:t>
      </w:r>
      <w:r>
        <w:rPr>
          <w:b w:val="0"/>
          <w:bCs w:val="0"/>
          <w:color w:val="000000" w:themeColor="text1"/>
          <w14:textFill>
            <w14:solidFill>
              <w14:schemeClr w14:val="tx1"/>
            </w14:solidFill>
          </w14:textFill>
        </w:rPr>
        <w:t xml:space="preserve"> </w:t>
      </w:r>
      <w:r>
        <w:rPr>
          <w:b w:val="0"/>
          <w:bCs w:val="0"/>
        </w:rPr>
        <w:t>Cr</w:t>
      </w:r>
      <w:r>
        <w:rPr>
          <w:b w:val="0"/>
          <w:bCs w:val="0"/>
          <w:vertAlign w:val="subscript"/>
        </w:rPr>
        <w:t>2</w:t>
      </w:r>
      <w:r>
        <w:rPr>
          <w:b w:val="0"/>
          <w:bCs w:val="0"/>
        </w:rPr>
        <w:t>O</w:t>
      </w:r>
      <w:r>
        <w:rPr>
          <w:b w:val="0"/>
          <w:bCs w:val="0"/>
          <w:vertAlign w:val="subscript"/>
        </w:rPr>
        <w:t>3</w:t>
      </w:r>
      <w:r>
        <w:rPr>
          <w:b w:val="0"/>
          <w:bCs w:val="0"/>
        </w:rPr>
        <w:t xml:space="preserve"> is </w:t>
      </w:r>
      <w:r>
        <w:rPr>
          <w:rFonts w:hint="eastAsia"/>
          <w:b w:val="0"/>
          <w:bCs w:val="0"/>
        </w:rPr>
        <w:t xml:space="preserve">deduced that </w:t>
      </w:r>
      <w:r>
        <w:rPr>
          <w:b w:val="0"/>
          <w:bCs w:val="0"/>
        </w:rPr>
        <w:t>prefer</w:t>
      </w:r>
      <w:r>
        <w:rPr>
          <w:rFonts w:hint="eastAsia"/>
          <w:b w:val="0"/>
          <w:bCs w:val="0"/>
        </w:rPr>
        <w:t>red</w:t>
      </w:r>
      <w:r>
        <w:rPr>
          <w:b w:val="0"/>
          <w:bCs w:val="0"/>
        </w:rPr>
        <w:t xml:space="preserve"> to capture phenol molecular </w:t>
      </w:r>
      <w:r>
        <w:rPr>
          <w:rFonts w:hint="eastAsia"/>
          <w:b w:val="0"/>
          <w:bCs w:val="0"/>
        </w:rPr>
        <w:t>against</w:t>
      </w:r>
      <w:r>
        <w:rPr>
          <w:b w:val="0"/>
          <w:bCs w:val="0"/>
        </w:rPr>
        <w:t xml:space="preserve"> other examined VOCs. </w:t>
      </w:r>
      <w:r>
        <w:rPr>
          <w:rFonts w:hint="eastAsia"/>
          <w:b w:val="0"/>
          <w:bCs w:val="0"/>
        </w:rPr>
        <w:t>In other words</w:t>
      </w:r>
      <w:r>
        <w:rPr>
          <w:b w:val="0"/>
          <w:bCs w:val="0"/>
        </w:rPr>
        <w:t>, Cr</w:t>
      </w:r>
      <w:r>
        <w:rPr>
          <w:b w:val="0"/>
          <w:bCs w:val="0"/>
          <w:vertAlign w:val="subscript"/>
        </w:rPr>
        <w:t>2</w:t>
      </w:r>
      <w:r>
        <w:rPr>
          <w:b w:val="0"/>
          <w:bCs w:val="0"/>
        </w:rPr>
        <w:t>O</w:t>
      </w:r>
      <w:r>
        <w:rPr>
          <w:b w:val="0"/>
          <w:bCs w:val="0"/>
          <w:vertAlign w:val="subscript"/>
        </w:rPr>
        <w:t>3</w:t>
      </w:r>
      <w:r>
        <w:rPr>
          <w:b w:val="0"/>
          <w:bCs w:val="0"/>
        </w:rPr>
        <w:t xml:space="preserve"> </w:t>
      </w:r>
      <w:r>
        <w:rPr>
          <w:rFonts w:hint="eastAsia"/>
          <w:b w:val="0"/>
          <w:bCs w:val="0"/>
        </w:rPr>
        <w:t>could</w:t>
      </w:r>
      <w:r>
        <w:rPr>
          <w:b w:val="0"/>
          <w:bCs w:val="0"/>
        </w:rPr>
        <w:t xml:space="preserve"> be a good candidate for </w:t>
      </w:r>
      <w:r>
        <w:rPr>
          <w:rFonts w:hint="eastAsia"/>
          <w:b w:val="0"/>
          <w:bCs w:val="0"/>
        </w:rPr>
        <w:t>phenol tracking</w:t>
      </w:r>
      <w:r>
        <w:rPr>
          <w:b w:val="0"/>
          <w:bCs w:val="0"/>
        </w:rPr>
        <w:t xml:space="preserve">. </w:t>
      </w:r>
      <w:r>
        <w:rPr>
          <w:rFonts w:hint="eastAsia"/>
          <w:b w:val="0"/>
          <w:bCs w:val="0"/>
        </w:rPr>
        <w:t>To prove our speculation,</w:t>
      </w:r>
      <w:r>
        <w:rPr>
          <w:b w:val="0"/>
          <w:bCs w:val="0"/>
        </w:rPr>
        <w:t xml:space="preserve"> a compact yttria stabilized zirconia (YSZ) based</w:t>
      </w:r>
      <w:r>
        <w:rPr>
          <w:rFonts w:hint="eastAsia"/>
          <w:b w:val="0"/>
          <w:bCs w:val="0"/>
        </w:rPr>
        <w:t xml:space="preserve"> </w:t>
      </w:r>
      <w:r>
        <w:rPr>
          <w:b w:val="0"/>
          <w:bCs w:val="0"/>
        </w:rPr>
        <w:t>electrochemical gas sensor that comprised of Cr</w:t>
      </w:r>
      <w:r>
        <w:rPr>
          <w:b w:val="0"/>
          <w:bCs w:val="0"/>
          <w:vertAlign w:val="subscript"/>
        </w:rPr>
        <w:t>2</w:t>
      </w:r>
      <w:r>
        <w:rPr>
          <w:b w:val="0"/>
          <w:bCs w:val="0"/>
        </w:rPr>
        <w:t>O</w:t>
      </w:r>
      <w:r>
        <w:rPr>
          <w:b w:val="0"/>
          <w:bCs w:val="0"/>
          <w:vertAlign w:val="subscript"/>
        </w:rPr>
        <w:t xml:space="preserve">3 </w:t>
      </w:r>
      <w:r>
        <w:rPr>
          <w:b w:val="0"/>
          <w:bCs w:val="0"/>
        </w:rPr>
        <w:t>sensing electrode (SE</w:t>
      </w:r>
      <w:r>
        <w:rPr>
          <w:rFonts w:hint="eastAsia"/>
          <w:b w:val="0"/>
          <w:bCs w:val="0"/>
        </w:rPr>
        <w:t>), platinum counter electrode (Pt-CE) and</w:t>
      </w:r>
      <w:r>
        <w:rPr>
          <w:b w:val="0"/>
          <w:bCs w:val="0"/>
        </w:rPr>
        <w:t xml:space="preserve"> Mn-based reference electrode</w:t>
      </w:r>
      <w:r>
        <w:rPr>
          <w:rFonts w:hint="eastAsia"/>
          <w:b w:val="0"/>
          <w:bCs w:val="0"/>
        </w:rPr>
        <w:t xml:space="preserve"> </w:t>
      </w:r>
      <w:r>
        <w:rPr>
          <w:b w:val="0"/>
          <w:bCs w:val="0"/>
        </w:rPr>
        <w:t xml:space="preserve">(RE) </w:t>
      </w:r>
      <w:r>
        <w:rPr>
          <w:rFonts w:hint="eastAsia"/>
          <w:b w:val="0"/>
          <w:bCs w:val="0"/>
        </w:rPr>
        <w:t>was</w:t>
      </w:r>
      <w:r>
        <w:rPr>
          <w:b w:val="0"/>
          <w:bCs w:val="0"/>
        </w:rPr>
        <w:t xml:space="preserve"> </w:t>
      </w:r>
      <w:r>
        <w:rPr>
          <w:rFonts w:hint="eastAsia"/>
          <w:b w:val="0"/>
          <w:bCs w:val="0"/>
        </w:rPr>
        <w:t>fabricated</w:t>
      </w:r>
      <w:r>
        <w:rPr>
          <w:b w:val="0"/>
          <w:bCs w:val="0"/>
        </w:rPr>
        <w:t xml:space="preserve">, whilst its operating parameters (i.e. fabrication and operating temperature) </w:t>
      </w:r>
      <w:r>
        <w:rPr>
          <w:rFonts w:hint="eastAsia"/>
          <w:b w:val="0"/>
          <w:bCs w:val="0"/>
        </w:rPr>
        <w:t>were</w:t>
      </w:r>
      <w:r>
        <w:rPr>
          <w:b w:val="0"/>
          <w:bCs w:val="0"/>
        </w:rPr>
        <w:t xml:space="preserve"> also optimized (Figure </w:t>
      </w:r>
      <w:r>
        <w:rPr>
          <w:rFonts w:hint="eastAsia"/>
          <w:b w:val="0"/>
          <w:bCs w:val="0"/>
        </w:rPr>
        <w:t>5a,b</w:t>
      </w:r>
      <w:r>
        <w:rPr>
          <w:b w:val="0"/>
          <w:bCs w:val="0"/>
        </w:rPr>
        <w:t xml:space="preserve"> and </w:t>
      </w:r>
      <w:r>
        <w:rPr>
          <w:rFonts w:hint="eastAsia"/>
          <w:b w:val="0"/>
          <w:bCs w:val="0"/>
        </w:rPr>
        <w:t>Supplementary Figure 7c</w:t>
      </w:r>
      <w:r>
        <w:rPr>
          <w:b w:val="0"/>
          <w:bCs w:val="0"/>
          <w:color w:val="000000" w:themeColor="text1"/>
          <w14:textFill>
            <w14:solidFill>
              <w14:schemeClr w14:val="tx1"/>
            </w14:solidFill>
          </w14:textFill>
        </w:rPr>
        <w:t>)</w:t>
      </w:r>
      <w:r>
        <w:rPr>
          <w:b w:val="0"/>
          <w:bCs w:val="0"/>
        </w:rPr>
        <w:t xml:space="preserve">. Optimal response magnitude to 0.6ppm phenol </w:t>
      </w:r>
      <w:r>
        <w:rPr>
          <w:rFonts w:hint="eastAsia"/>
          <w:b w:val="0"/>
          <w:bCs w:val="0"/>
        </w:rPr>
        <w:t>was</w:t>
      </w:r>
      <w:r>
        <w:rPr>
          <w:b w:val="0"/>
          <w:bCs w:val="0"/>
        </w:rPr>
        <w:t xml:space="preserve"> demonstrated at the fabrication and operat</w:t>
      </w:r>
      <w:r>
        <w:rPr>
          <w:rFonts w:hint="eastAsia"/>
          <w:b w:val="0"/>
          <w:bCs w:val="0"/>
        </w:rPr>
        <w:t>ional</w:t>
      </w:r>
      <w:r>
        <w:rPr>
          <w:b w:val="0"/>
          <w:bCs w:val="0"/>
        </w:rPr>
        <w:t xml:space="preserve"> temperature of 1050</w:t>
      </w:r>
      <w:r>
        <w:rPr>
          <w:b w:val="0"/>
          <w:bCs w:val="0"/>
          <w:vertAlign w:val="superscript"/>
        </w:rPr>
        <w:t>o</w:t>
      </w:r>
      <w:r>
        <w:rPr>
          <w:b w:val="0"/>
          <w:bCs w:val="0"/>
        </w:rPr>
        <w:t>C and 450</w:t>
      </w:r>
      <w:r>
        <w:rPr>
          <w:b w:val="0"/>
          <w:bCs w:val="0"/>
          <w:vertAlign w:val="superscript"/>
        </w:rPr>
        <w:t>o</w:t>
      </w:r>
      <w:r>
        <w:rPr>
          <w:b w:val="0"/>
          <w:bCs w:val="0"/>
        </w:rPr>
        <w:t xml:space="preserve">C, respectively. After that, sensing behavior of the sensor </w:t>
      </w:r>
      <w:r>
        <w:rPr>
          <w:rFonts w:hint="eastAsia"/>
          <w:b w:val="0"/>
          <w:bCs w:val="0"/>
        </w:rPr>
        <w:t>was</w:t>
      </w:r>
      <w:r>
        <w:rPr>
          <w:b w:val="0"/>
          <w:bCs w:val="0"/>
        </w:rPr>
        <w:t xml:space="preserve"> thoroughly characterized</w:t>
      </w:r>
      <w:r>
        <w:rPr>
          <w:rFonts w:hint="eastAsia"/>
          <w:b w:val="0"/>
          <w:bCs w:val="0"/>
        </w:rPr>
        <w:t xml:space="preserve"> at the optimal operating parameters</w:t>
      </w:r>
      <w:r>
        <w:rPr>
          <w:b w:val="0"/>
          <w:bCs w:val="0"/>
        </w:rPr>
        <w:t>. In summary, the developed sensor g</w:t>
      </w:r>
      <w:r>
        <w:rPr>
          <w:rFonts w:hint="eastAsia"/>
          <w:b w:val="0"/>
          <w:bCs w:val="0"/>
        </w:rPr>
        <w:t>ave</w:t>
      </w:r>
      <w:r>
        <w:rPr>
          <w:b w:val="0"/>
          <w:bCs w:val="0"/>
        </w:rPr>
        <w:t xml:space="preserve"> high specificity to phenol against other examined VOCs (Figure </w:t>
      </w:r>
      <w:r>
        <w:rPr>
          <w:rFonts w:hint="eastAsia"/>
          <w:b w:val="0"/>
          <w:bCs w:val="0"/>
        </w:rPr>
        <w:t>5c, d</w:t>
      </w:r>
      <w:r>
        <w:rPr>
          <w:b w:val="0"/>
          <w:bCs w:val="0"/>
        </w:rPr>
        <w:t>)</w:t>
      </w:r>
      <w:r>
        <w:rPr>
          <w:rFonts w:hint="eastAsia"/>
          <w:b w:val="0"/>
          <w:bCs w:val="0"/>
        </w:rPr>
        <w:t>. L</w:t>
      </w:r>
      <w:r>
        <w:rPr>
          <w:b w:val="0"/>
          <w:bCs w:val="0"/>
        </w:rPr>
        <w:t xml:space="preserve">inear relationship between the response signal and phenol concentration </w:t>
      </w:r>
      <w:r>
        <w:rPr>
          <w:rFonts w:hint="eastAsia"/>
          <w:b w:val="0"/>
          <w:bCs w:val="0"/>
        </w:rPr>
        <w:t>was</w:t>
      </w:r>
      <w:r>
        <w:rPr>
          <w:b w:val="0"/>
          <w:bCs w:val="0"/>
        </w:rPr>
        <w:t xml:space="preserve"> </w:t>
      </w:r>
      <w:r>
        <w:rPr>
          <w:rFonts w:hint="eastAsia"/>
          <w:b w:val="0"/>
          <w:bCs w:val="0"/>
        </w:rPr>
        <w:t xml:space="preserve">further </w:t>
      </w:r>
      <w:r>
        <w:rPr>
          <w:b w:val="0"/>
          <w:bCs w:val="0"/>
        </w:rPr>
        <w:t xml:space="preserve">confirmed (Figure </w:t>
      </w:r>
      <w:r>
        <w:rPr>
          <w:rFonts w:hint="eastAsia"/>
          <w:b w:val="0"/>
          <w:bCs w:val="0"/>
        </w:rPr>
        <w:t>5</w:t>
      </w:r>
      <w:r>
        <w:rPr>
          <w:b w:val="0"/>
          <w:bCs w:val="0"/>
        </w:rPr>
        <w:t>e</w:t>
      </w:r>
      <w:r>
        <w:rPr>
          <w:rFonts w:hint="eastAsia"/>
          <w:b w:val="0"/>
          <w:bCs w:val="0"/>
        </w:rPr>
        <w:t xml:space="preserve"> and Supplementary Figure 7d, e</w:t>
      </w:r>
      <w:r>
        <w:rPr>
          <w:b w:val="0"/>
          <w:bCs w:val="0"/>
        </w:rPr>
        <w:t xml:space="preserve">). Besides, 90% response/recovery time of the sensor </w:t>
      </w:r>
      <w:r>
        <w:rPr>
          <w:rFonts w:hint="eastAsia"/>
          <w:b w:val="0"/>
          <w:bCs w:val="0"/>
        </w:rPr>
        <w:t>is</w:t>
      </w:r>
      <w:r>
        <w:rPr>
          <w:b w:val="0"/>
          <w:bCs w:val="0"/>
        </w:rPr>
        <w:t xml:space="preserve"> roughly estimated to be 37s/41s (</w:t>
      </w:r>
      <w:r>
        <w:rPr>
          <w:rFonts w:hint="eastAsia"/>
          <w:b w:val="0"/>
          <w:bCs w:val="0"/>
        </w:rPr>
        <w:t>Supplementary Figure 7f</w:t>
      </w:r>
      <w:r>
        <w:rPr>
          <w:b w:val="0"/>
          <w:bCs w:val="0"/>
        </w:rPr>
        <w:t xml:space="preserve">), </w:t>
      </w:r>
      <w:r>
        <w:rPr>
          <w:rFonts w:hint="eastAsia"/>
          <w:b w:val="0"/>
          <w:bCs w:val="0"/>
        </w:rPr>
        <w:t>the</w:t>
      </w:r>
      <w:r>
        <w:rPr>
          <w:b w:val="0"/>
          <w:bCs w:val="0"/>
        </w:rPr>
        <w:t xml:space="preserve"> acceptable response/recovery speed </w:t>
      </w:r>
      <w:r>
        <w:rPr>
          <w:rFonts w:hint="eastAsia"/>
          <w:b w:val="0"/>
          <w:bCs w:val="0"/>
        </w:rPr>
        <w:t>is</w:t>
      </w:r>
      <w:r>
        <w:rPr>
          <w:b w:val="0"/>
          <w:bCs w:val="0"/>
        </w:rPr>
        <w:t xml:space="preserve"> beneficial to the rapid monitoring of breath marker. Furthermore, the sensor show satisfactory response stability and </w:t>
      </w:r>
      <w:r>
        <w:rPr>
          <w:rFonts w:hint="eastAsia"/>
          <w:b w:val="0"/>
          <w:bCs w:val="0"/>
        </w:rPr>
        <w:t xml:space="preserve">breath </w:t>
      </w:r>
      <w:r>
        <w:rPr>
          <w:b w:val="0"/>
          <w:bCs w:val="0"/>
        </w:rPr>
        <w:t>moisture resistance when detecting phenol (</w:t>
      </w:r>
      <w:r>
        <w:rPr>
          <w:rFonts w:hint="eastAsia"/>
          <w:b w:val="0"/>
          <w:bCs w:val="0"/>
        </w:rPr>
        <w:t>Supplementary Figure 7g, h</w:t>
      </w:r>
      <w:r>
        <w:rPr>
          <w:b w:val="0"/>
          <w:bCs w:val="0"/>
          <w:color w:val="000000" w:themeColor="text1"/>
          <w14:textFill>
            <w14:solidFill>
              <w14:schemeClr w14:val="tx1"/>
            </w14:solidFill>
          </w14:textFill>
        </w:rPr>
        <w:t>).</w:t>
      </w:r>
      <w:r>
        <w:rPr>
          <w:b w:val="0"/>
          <w:bCs w:val="0"/>
        </w:rPr>
        <w:t xml:space="preserve"> Such impressive sensing characteristics imply the practicability of tracking induced pheno</w:t>
      </w:r>
      <w:r>
        <w:rPr>
          <w:rFonts w:hint="eastAsia"/>
          <w:b w:val="0"/>
          <w:bCs w:val="0"/>
        </w:rPr>
        <w:t xml:space="preserve">l-based breath marker at </w:t>
      </w:r>
      <w:r>
        <w:rPr>
          <w:b w:val="0"/>
          <w:bCs w:val="0"/>
        </w:rPr>
        <w:t xml:space="preserve">trace amount. </w:t>
      </w:r>
    </w:p>
    <w:p w14:paraId="636083E1">
      <w:pPr>
        <w:rPr>
          <w:b w:val="0"/>
          <w:bCs w:val="0"/>
        </w:rPr>
      </w:pPr>
    </w:p>
    <w:p w14:paraId="43216D06">
      <w:r>
        <w:rPr>
          <w:rFonts w:hint="eastAsia"/>
        </w:rPr>
        <w:t>Characterization of handheld breath-analyzer</w:t>
      </w:r>
    </w:p>
    <w:p w14:paraId="045345F6">
      <w:pPr>
        <w:rPr>
          <w:b w:val="0"/>
          <w:bCs w:val="0"/>
        </w:rPr>
      </w:pPr>
      <w:r>
        <w:rPr>
          <w:b w:val="0"/>
          <w:bCs w:val="0"/>
        </w:rPr>
        <w:t xml:space="preserve">Figure </w:t>
      </w:r>
      <w:r>
        <w:rPr>
          <w:rFonts w:hint="eastAsia"/>
          <w:b w:val="0"/>
          <w:bCs w:val="0"/>
        </w:rPr>
        <w:t>5f and Supplementary Figures 8, 9a-c illustrate</w:t>
      </w:r>
      <w:r>
        <w:rPr>
          <w:b w:val="0"/>
          <w:bCs w:val="0"/>
        </w:rPr>
        <w:t xml:space="preserve"> the handheld breath-analyzer</w:t>
      </w:r>
      <w:r>
        <w:rPr>
          <w:rFonts w:hint="eastAsia"/>
          <w:b w:val="0"/>
          <w:bCs w:val="0"/>
        </w:rPr>
        <w:t xml:space="preserve">, </w:t>
      </w:r>
      <w:r>
        <w:rPr>
          <w:b w:val="0"/>
          <w:bCs w:val="0"/>
        </w:rPr>
        <w:t>featuring the integrated YSZ-based electrochemical phenol sensor.</w:t>
      </w:r>
      <w:r>
        <w:rPr>
          <w:rFonts w:hint="eastAsia"/>
          <w:b w:val="0"/>
          <w:bCs w:val="0"/>
        </w:rPr>
        <w:t xml:space="preserve"> </w:t>
      </w:r>
      <w:r>
        <w:rPr>
          <w:b w:val="0"/>
          <w:bCs w:val="0"/>
        </w:rPr>
        <w:t xml:space="preserve">These figures </w:t>
      </w:r>
      <w:r>
        <w:rPr>
          <w:rFonts w:hint="eastAsia"/>
          <w:b w:val="0"/>
          <w:bCs w:val="0"/>
        </w:rPr>
        <w:t xml:space="preserve">also </w:t>
      </w:r>
      <w:r>
        <w:rPr>
          <w:b w:val="0"/>
          <w:bCs w:val="0"/>
        </w:rPr>
        <w:t>provide a comprehensive overview of the device's operational diagram and the process of breath sample collection</w:t>
      </w:r>
      <w:r>
        <w:rPr>
          <w:rFonts w:hint="eastAsia"/>
          <w:b w:val="0"/>
          <w:bCs w:val="0"/>
        </w:rPr>
        <w:t>. Data shown in Supplementary Figure 9d suggests the identical results for the breath-analyzer and GCMS. In other words, our developed breath-analyzer demonstrated high accuracy in recording data. To</w:t>
      </w:r>
      <w:r>
        <w:rPr>
          <w:b w:val="0"/>
          <w:bCs w:val="0"/>
        </w:rPr>
        <w:t xml:space="preserve"> </w:t>
      </w:r>
      <w:r>
        <w:rPr>
          <w:rFonts w:hint="eastAsia"/>
          <w:b w:val="0"/>
          <w:bCs w:val="0"/>
        </w:rPr>
        <w:t>evaluate</w:t>
      </w:r>
      <w:r>
        <w:rPr>
          <w:b w:val="0"/>
          <w:bCs w:val="0"/>
        </w:rPr>
        <w:t xml:space="preserve"> the sensing characteristics, breath signal for different samples </w:t>
      </w:r>
      <w:r>
        <w:rPr>
          <w:rFonts w:hint="eastAsia"/>
          <w:b w:val="0"/>
          <w:bCs w:val="0"/>
        </w:rPr>
        <w:t>was</w:t>
      </w:r>
      <w:r>
        <w:rPr>
          <w:b w:val="0"/>
          <w:bCs w:val="0"/>
        </w:rPr>
        <w:t xml:space="preserve"> </w:t>
      </w:r>
      <w:r>
        <w:rPr>
          <w:rFonts w:hint="eastAsia"/>
          <w:b w:val="0"/>
          <w:bCs w:val="0"/>
        </w:rPr>
        <w:t>recorded</w:t>
      </w:r>
      <w:r>
        <w:rPr>
          <w:b w:val="0"/>
          <w:bCs w:val="0"/>
        </w:rPr>
        <w:t xml:space="preserve"> </w:t>
      </w:r>
      <w:r>
        <w:rPr>
          <w:rFonts w:hint="eastAsia"/>
          <w:b w:val="0"/>
          <w:bCs w:val="0"/>
        </w:rPr>
        <w:t xml:space="preserve">by the breath-analyzer </w:t>
      </w:r>
      <w:r>
        <w:rPr>
          <w:b w:val="0"/>
          <w:bCs w:val="0"/>
        </w:rPr>
        <w:t xml:space="preserve">and </w:t>
      </w:r>
      <w:r>
        <w:rPr>
          <w:rFonts w:hint="eastAsia"/>
          <w:b w:val="0"/>
          <w:bCs w:val="0"/>
        </w:rPr>
        <w:t>further compared</w:t>
      </w:r>
      <w:r>
        <w:rPr>
          <w:b w:val="0"/>
          <w:bCs w:val="0"/>
        </w:rPr>
        <w:t xml:space="preserve"> </w:t>
      </w:r>
      <w:r>
        <w:rPr>
          <w:rFonts w:hint="eastAsia"/>
          <w:b w:val="0"/>
          <w:bCs w:val="0"/>
        </w:rPr>
        <w:t>(</w:t>
      </w:r>
      <w:r>
        <w:rPr>
          <w:b w:val="0"/>
          <w:bCs w:val="0"/>
        </w:rPr>
        <w:t xml:space="preserve">Figure </w:t>
      </w:r>
      <w:r>
        <w:rPr>
          <w:rFonts w:hint="eastAsia"/>
          <w:b w:val="0"/>
          <w:bCs w:val="0"/>
        </w:rPr>
        <w:t>5g)</w:t>
      </w:r>
      <w:r>
        <w:rPr>
          <w:b w:val="0"/>
          <w:bCs w:val="0"/>
        </w:rPr>
        <w:t>.</w:t>
      </w:r>
      <w:r>
        <w:rPr>
          <w:rFonts w:hint="eastAsia"/>
          <w:b w:val="0"/>
          <w:bCs w:val="0"/>
        </w:rPr>
        <w:t xml:space="preserve"> </w:t>
      </w:r>
      <w:r>
        <w:rPr>
          <w:b w:val="0"/>
          <w:bCs w:val="0"/>
        </w:rPr>
        <w:t>After dosing phenyl-β-D-glucuronide, apparent increment in breath signal is solely observed for breath sample derived from gastric tumor bearing mice. This suggests our proposed breath</w:t>
      </w:r>
      <w:r>
        <w:rPr>
          <w:rFonts w:hint="eastAsia"/>
          <w:b w:val="0"/>
          <w:bCs w:val="0"/>
        </w:rPr>
        <w:t>-</w:t>
      </w:r>
      <w:r>
        <w:rPr>
          <w:b w:val="0"/>
          <w:bCs w:val="0"/>
        </w:rPr>
        <w:t xml:space="preserve">analyzer would be helpful to realizing the pre-warning of potential cancer risk. </w:t>
      </w:r>
      <w:r>
        <w:rPr>
          <w:rFonts w:hint="eastAsia"/>
          <w:b w:val="0"/>
          <w:bCs w:val="0"/>
        </w:rPr>
        <w:t>Note that t</w:t>
      </w:r>
      <w:r>
        <w:rPr>
          <w:b w:val="0"/>
          <w:bCs w:val="0"/>
        </w:rPr>
        <w:t>he variation of breath signal is primary contributed by the administration of phenyl-β-D-glucuronide, because the solvent (i.e. PBS) that utilized for preparing phenyl-β-D-glucuronide solution gives negligible impact on breath signal (</w:t>
      </w:r>
      <w:r>
        <w:rPr>
          <w:rFonts w:hint="eastAsia"/>
          <w:b w:val="0"/>
          <w:bCs w:val="0"/>
        </w:rPr>
        <w:t>Supplementary Figure 9e, f</w:t>
      </w:r>
      <w:r>
        <w:rPr>
          <w:b w:val="0"/>
          <w:bCs w:val="0"/>
        </w:rPr>
        <w:t>).</w:t>
      </w:r>
    </w:p>
    <w:p w14:paraId="3EE54F55">
      <w:pPr>
        <w:rPr>
          <w:b w:val="0"/>
          <w:bCs w:val="0"/>
        </w:rPr>
      </w:pPr>
    </w:p>
    <w:p w14:paraId="4D90AF32">
      <w:r>
        <w:rPr>
          <w:rFonts w:hint="eastAsia"/>
        </w:rPr>
        <w:t>Impact of environmental factor and confounding diseases</w:t>
      </w:r>
    </w:p>
    <w:p w14:paraId="384D6169">
      <w:pPr>
        <w:rPr>
          <w:rFonts w:hint="eastAsia"/>
          <w:b w:val="0"/>
          <w:bCs w:val="0"/>
        </w:rPr>
      </w:pPr>
      <w:r>
        <w:rPr>
          <w:b w:val="0"/>
          <w:bCs w:val="0"/>
        </w:rPr>
        <w:t>It should be noted that all mice released strong body odor during testing and the experimental results weren't affected by odor because of the high selectivity to phenol-based breath marker for the proposed breath analyzer</w:t>
      </w:r>
      <w:r>
        <w:rPr>
          <w:rFonts w:hint="eastAsia"/>
          <w:b w:val="0"/>
          <w:bCs w:val="0"/>
        </w:rPr>
        <w:t xml:space="preserve">, suggesting </w:t>
      </w:r>
      <w:r>
        <w:rPr>
          <w:b w:val="0"/>
          <w:bCs w:val="0"/>
        </w:rPr>
        <w:t xml:space="preserve">minimal </w:t>
      </w:r>
      <w:r>
        <w:rPr>
          <w:rFonts w:hint="eastAsia"/>
          <w:b w:val="0"/>
          <w:bCs w:val="0"/>
        </w:rPr>
        <w:t>impact</w:t>
      </w:r>
      <w:r>
        <w:rPr>
          <w:b w:val="0"/>
          <w:bCs w:val="0"/>
        </w:rPr>
        <w:t xml:space="preserve"> of environmental factor on cancer </w:t>
      </w:r>
      <w:r>
        <w:rPr>
          <w:rFonts w:hint="eastAsia"/>
          <w:b w:val="0"/>
          <w:bCs w:val="0"/>
        </w:rPr>
        <w:t xml:space="preserve">risk </w:t>
      </w:r>
      <w:r>
        <w:rPr>
          <w:b w:val="0"/>
          <w:bCs w:val="0"/>
        </w:rPr>
        <w:t xml:space="preserve">pre-warning. </w:t>
      </w:r>
      <w:r>
        <w:rPr>
          <w:rFonts w:hint="eastAsia"/>
          <w:b w:val="0"/>
          <w:bCs w:val="0"/>
        </w:rPr>
        <w:t>I</w:t>
      </w:r>
      <w:r>
        <w:rPr>
          <w:b w:val="0"/>
          <w:bCs w:val="0"/>
        </w:rPr>
        <w:t>mpact of confounding diseases ha</w:t>
      </w:r>
      <w:r>
        <w:rPr>
          <w:rFonts w:hint="eastAsia"/>
          <w:b w:val="0"/>
          <w:bCs w:val="0"/>
        </w:rPr>
        <w:t>s</w:t>
      </w:r>
      <w:r>
        <w:rPr>
          <w:b w:val="0"/>
          <w:bCs w:val="0"/>
        </w:rPr>
        <w:t xml:space="preserve"> also been investigated to confirm </w:t>
      </w:r>
      <w:r>
        <w:rPr>
          <w:rFonts w:hint="eastAsia"/>
          <w:b w:val="0"/>
          <w:bCs w:val="0"/>
        </w:rPr>
        <w:t>the</w:t>
      </w:r>
      <w:r>
        <w:rPr>
          <w:b w:val="0"/>
          <w:bCs w:val="0"/>
        </w:rPr>
        <w:t xml:space="preserve"> high specify </w:t>
      </w:r>
      <w:r>
        <w:rPr>
          <w:rFonts w:hint="eastAsia"/>
          <w:b w:val="0"/>
          <w:bCs w:val="0"/>
        </w:rPr>
        <w:t xml:space="preserve">of </w:t>
      </w:r>
      <w:r>
        <w:rPr>
          <w:b w:val="0"/>
          <w:bCs w:val="0"/>
        </w:rPr>
        <w:t>phenyl-β-D-glucuronide-like exogenous agent</w:t>
      </w:r>
      <w:r>
        <w:rPr>
          <w:rFonts w:hint="eastAsia"/>
          <w:b w:val="0"/>
          <w:bCs w:val="0"/>
        </w:rPr>
        <w:t xml:space="preserve"> as the tumor probe</w:t>
      </w:r>
      <w:r>
        <w:rPr>
          <w:b w:val="0"/>
          <w:bCs w:val="0"/>
        </w:rPr>
        <w:t xml:space="preserve">. In the pilot study, mice that were suffering </w:t>
      </w:r>
      <w:r>
        <w:rPr>
          <w:rFonts w:hint="eastAsia"/>
          <w:b w:val="0"/>
          <w:bCs w:val="0"/>
        </w:rPr>
        <w:t xml:space="preserve">with </w:t>
      </w:r>
      <w:r>
        <w:rPr>
          <w:b w:val="0"/>
          <w:bCs w:val="0"/>
        </w:rPr>
        <w:t>acute G.U.</w:t>
      </w:r>
      <w:r>
        <w:rPr>
          <w:rFonts w:hint="eastAsia"/>
          <w:b w:val="0"/>
          <w:bCs w:val="0"/>
        </w:rPr>
        <w:t>, o</w:t>
      </w:r>
      <w:r>
        <w:rPr>
          <w:b w:val="0"/>
          <w:bCs w:val="0"/>
        </w:rPr>
        <w:t>valbumin</w:t>
      </w:r>
      <w:r>
        <w:rPr>
          <w:rFonts w:hint="eastAsia"/>
          <w:b w:val="0"/>
          <w:bCs w:val="0"/>
        </w:rPr>
        <w:t xml:space="preserve"> (</w:t>
      </w:r>
      <w:r>
        <w:rPr>
          <w:b w:val="0"/>
          <w:bCs w:val="0"/>
        </w:rPr>
        <w:t>OVA</w:t>
      </w:r>
      <w:r>
        <w:rPr>
          <w:rFonts w:hint="eastAsia"/>
          <w:b w:val="0"/>
          <w:bCs w:val="0"/>
        </w:rPr>
        <w:t xml:space="preserve">) induced asthma, </w:t>
      </w:r>
      <w:r>
        <w:rPr>
          <w:b w:val="0"/>
          <w:bCs w:val="0"/>
        </w:rPr>
        <w:t>carbon tetrachloride</w:t>
      </w:r>
      <w:r>
        <w:rPr>
          <w:rFonts w:hint="eastAsia"/>
          <w:b w:val="0"/>
          <w:bCs w:val="0"/>
        </w:rPr>
        <w:t xml:space="preserve"> (CCl</w:t>
      </w:r>
      <w:r>
        <w:rPr>
          <w:rFonts w:hint="eastAsia"/>
          <w:b w:val="0"/>
          <w:bCs w:val="0"/>
          <w:vertAlign w:val="subscript"/>
        </w:rPr>
        <w:t>4</w:t>
      </w:r>
      <w:r>
        <w:rPr>
          <w:rFonts w:hint="eastAsia"/>
          <w:b w:val="0"/>
          <w:bCs w:val="0"/>
        </w:rPr>
        <w:t>) induced hepatic fibrosis, d</w:t>
      </w:r>
      <w:r>
        <w:rPr>
          <w:b w:val="0"/>
          <w:bCs w:val="0"/>
        </w:rPr>
        <w:t xml:space="preserve">extran </w:t>
      </w:r>
      <w:r>
        <w:rPr>
          <w:rFonts w:hint="eastAsia"/>
          <w:b w:val="0"/>
          <w:bCs w:val="0"/>
        </w:rPr>
        <w:t>s</w:t>
      </w:r>
      <w:r>
        <w:rPr>
          <w:b w:val="0"/>
          <w:bCs w:val="0"/>
        </w:rPr>
        <w:t xml:space="preserve">ulfate </w:t>
      </w:r>
      <w:r>
        <w:rPr>
          <w:rFonts w:hint="eastAsia"/>
          <w:b w:val="0"/>
          <w:bCs w:val="0"/>
        </w:rPr>
        <w:t>s</w:t>
      </w:r>
      <w:r>
        <w:rPr>
          <w:b w:val="0"/>
          <w:bCs w:val="0"/>
        </w:rPr>
        <w:t>odium</w:t>
      </w:r>
      <w:r>
        <w:rPr>
          <w:rFonts w:hint="eastAsia"/>
          <w:b w:val="0"/>
          <w:bCs w:val="0"/>
        </w:rPr>
        <w:t xml:space="preserve"> (</w:t>
      </w:r>
      <w:r>
        <w:rPr>
          <w:b w:val="0"/>
          <w:bCs w:val="0"/>
        </w:rPr>
        <w:t>DSS</w:t>
      </w:r>
      <w:r>
        <w:rPr>
          <w:rFonts w:hint="eastAsia"/>
          <w:b w:val="0"/>
          <w:bCs w:val="0"/>
        </w:rPr>
        <w:t xml:space="preserve">) induced colitis and B6-hBAFF induced L.N. </w:t>
      </w:r>
      <w:r>
        <w:rPr>
          <w:b w:val="0"/>
          <w:bCs w:val="0"/>
        </w:rPr>
        <w:t xml:space="preserve">were selected as the </w:t>
      </w:r>
      <w:r>
        <w:rPr>
          <w:rFonts w:hint="eastAsia"/>
          <w:b w:val="0"/>
          <w:bCs w:val="0"/>
        </w:rPr>
        <w:t>research objects</w:t>
      </w:r>
      <w:r>
        <w:rPr>
          <w:b w:val="0"/>
          <w:bCs w:val="0"/>
        </w:rPr>
        <w:t xml:space="preserve"> since these diseases are frequently </w:t>
      </w:r>
      <w:r>
        <w:rPr>
          <w:rFonts w:hint="eastAsia"/>
          <w:b w:val="0"/>
          <w:bCs w:val="0"/>
        </w:rPr>
        <w:t xml:space="preserve">found in </w:t>
      </w:r>
      <w:r>
        <w:rPr>
          <w:b w:val="0"/>
          <w:bCs w:val="0"/>
        </w:rPr>
        <w:t>stomach</w:t>
      </w:r>
      <w:r>
        <w:rPr>
          <w:rFonts w:hint="eastAsia"/>
          <w:b w:val="0"/>
          <w:bCs w:val="0"/>
        </w:rPr>
        <w:t>,</w:t>
      </w:r>
      <w:r>
        <w:rPr>
          <w:b w:val="0"/>
          <w:bCs w:val="0"/>
        </w:rPr>
        <w:t xml:space="preserve"> respiratory tract</w:t>
      </w:r>
      <w:r>
        <w:rPr>
          <w:rFonts w:hint="eastAsia"/>
          <w:b w:val="0"/>
          <w:bCs w:val="0"/>
        </w:rPr>
        <w:t>, liver, colon and kidney</w:t>
      </w:r>
      <w:r>
        <w:rPr>
          <w:b w:val="0"/>
          <w:bCs w:val="0"/>
        </w:rPr>
        <w:t xml:space="preserve">. </w:t>
      </w:r>
      <w:r>
        <w:rPr>
          <w:rFonts w:hint="eastAsia"/>
          <w:b w:val="0"/>
          <w:bCs w:val="0"/>
        </w:rPr>
        <w:t xml:space="preserve">All these </w:t>
      </w:r>
      <w:r>
        <w:fldChar w:fldCharType="begin"/>
      </w:r>
      <w:r>
        <w:instrText xml:space="preserve"> HYPERLINK "https://www.baidu.com/s?rsv_idx=1&amp;wd=mouse%20model%E7%BF%BB%E8%AF%91&amp;fenlei=256&amp;usm=2&amp;ie=utf-8&amp;rsv_pq=e9d92f0f00473fa4&amp;oq=%E5%B0%8F%E9%BC%A0%E6%A8%A1%E5%9E%8B%E8%8B%B1%E6%96%87&amp;rsv_t=c6d5WW2llb3EB6LZVIWwDYb9MWqr7nXQ3X6QhZ9hy5VOyehciKzj6PvgJ1s&amp;sa=re_fy_huisou" \t "https://www.baidu.com/_blank" </w:instrText>
      </w:r>
      <w:r>
        <w:fldChar w:fldCharType="separate"/>
      </w:r>
      <w:r>
        <w:rPr>
          <w:b w:val="0"/>
          <w:bCs w:val="0"/>
        </w:rPr>
        <w:t>mouse model</w:t>
      </w:r>
      <w:r>
        <w:rPr>
          <w:rFonts w:hint="eastAsia"/>
          <w:b w:val="0"/>
          <w:bCs w:val="0"/>
        </w:rPr>
        <w:t xml:space="preserve"> </w:t>
      </w:r>
      <w:r>
        <w:rPr>
          <w:rFonts w:hint="eastAsia"/>
          <w:b w:val="0"/>
          <w:bCs w:val="0"/>
        </w:rPr>
        <w:fldChar w:fldCharType="end"/>
      </w:r>
      <w:r>
        <w:rPr>
          <w:rFonts w:hint="eastAsia"/>
          <w:b w:val="0"/>
          <w:bCs w:val="0"/>
        </w:rPr>
        <w:t xml:space="preserve">were directly purchased from Gempharmatech </w:t>
      </w:r>
      <w:r>
        <w:rPr>
          <w:b w:val="0"/>
          <w:bCs w:val="0"/>
        </w:rPr>
        <w:t>Co</w:t>
      </w:r>
      <w:r>
        <w:rPr>
          <w:rFonts w:hint="eastAsia"/>
          <w:b w:val="0"/>
          <w:bCs w:val="0"/>
        </w:rPr>
        <w:t>.</w:t>
      </w:r>
      <w:r>
        <w:rPr>
          <w:b w:val="0"/>
          <w:bCs w:val="0"/>
        </w:rPr>
        <w:t xml:space="preserve"> Ltd</w:t>
      </w:r>
      <w:r>
        <w:rPr>
          <w:rFonts w:hint="eastAsia"/>
          <w:b w:val="0"/>
          <w:bCs w:val="0"/>
        </w:rPr>
        <w:t xml:space="preserve"> (P. R. China) and confirmed by histological analysis (Supplementary</w:t>
      </w:r>
      <w:r>
        <w:rPr>
          <w:b w:val="0"/>
          <w:bCs w:val="0"/>
        </w:rPr>
        <w:t xml:space="preserve"> Figure </w:t>
      </w:r>
      <w:r>
        <w:rPr>
          <w:rFonts w:hint="eastAsia"/>
          <w:b w:val="0"/>
          <w:bCs w:val="0"/>
        </w:rPr>
        <w:t xml:space="preserve">10). </w:t>
      </w:r>
      <w:r>
        <w:rPr>
          <w:b w:val="0"/>
          <w:bCs w:val="0"/>
        </w:rPr>
        <w:t xml:space="preserve">As shown in </w:t>
      </w:r>
      <w:r>
        <w:rPr>
          <w:rFonts w:hint="eastAsia"/>
          <w:b w:val="0"/>
          <w:bCs w:val="0"/>
        </w:rPr>
        <w:t>Supplementary</w:t>
      </w:r>
      <w:r>
        <w:rPr>
          <w:b w:val="0"/>
          <w:bCs w:val="0"/>
        </w:rPr>
        <w:t xml:space="preserve"> Figure </w:t>
      </w:r>
      <w:r>
        <w:rPr>
          <w:rFonts w:hint="eastAsia"/>
          <w:b w:val="0"/>
          <w:bCs w:val="0"/>
        </w:rPr>
        <w:t>11</w:t>
      </w:r>
      <w:r>
        <w:rPr>
          <w:b w:val="0"/>
          <w:bCs w:val="0"/>
        </w:rPr>
        <w:t xml:space="preserve">, after administrated with phenyl-β-D-glucuronide, minor response difference </w:t>
      </w:r>
      <w:r>
        <w:rPr>
          <w:rFonts w:hint="eastAsia"/>
          <w:b w:val="0"/>
          <w:bCs w:val="0"/>
        </w:rPr>
        <w:t>was</w:t>
      </w:r>
      <w:r>
        <w:rPr>
          <w:b w:val="0"/>
          <w:bCs w:val="0"/>
        </w:rPr>
        <w:t xml:space="preserve"> observed for healthy mice and mice suffered with </w:t>
      </w:r>
      <w:r>
        <w:rPr>
          <w:rFonts w:hint="eastAsia"/>
          <w:b w:val="0"/>
          <w:bCs w:val="0"/>
        </w:rPr>
        <w:t>the aforementioned diseases</w:t>
      </w:r>
      <w:r>
        <w:rPr>
          <w:b w:val="0"/>
          <w:bCs w:val="0"/>
        </w:rPr>
        <w:t xml:space="preserve"> when compared with that of the </w:t>
      </w:r>
      <w:r>
        <w:rPr>
          <w:rFonts w:hint="eastAsia"/>
          <w:b w:val="0"/>
          <w:bCs w:val="0"/>
        </w:rPr>
        <w:t xml:space="preserve">tumor bearing mice, such as </w:t>
      </w:r>
      <w:r>
        <w:rPr>
          <w:b w:val="0"/>
          <w:bCs w:val="0"/>
        </w:rPr>
        <w:t>gastric tumor bearing mice</w:t>
      </w:r>
      <w:r>
        <w:rPr>
          <w:rFonts w:hint="eastAsia"/>
          <w:b w:val="0"/>
          <w:bCs w:val="0"/>
        </w:rPr>
        <w:t xml:space="preserve"> (n = 4 for each)</w:t>
      </w:r>
      <w:r>
        <w:rPr>
          <w:b w:val="0"/>
          <w:bCs w:val="0"/>
        </w:rPr>
        <w:t xml:space="preserve">. This means that phenyl-β-D-glucuronide is </w:t>
      </w:r>
      <w:r>
        <w:rPr>
          <w:rFonts w:hint="eastAsia"/>
          <w:b w:val="0"/>
          <w:bCs w:val="0"/>
        </w:rPr>
        <w:t xml:space="preserve">relatively </w:t>
      </w:r>
      <w:r>
        <w:rPr>
          <w:b w:val="0"/>
          <w:bCs w:val="0"/>
        </w:rPr>
        <w:t>insensitive to these studied confounding diseases</w:t>
      </w:r>
      <w:r>
        <w:rPr>
          <w:rFonts w:hint="eastAsia"/>
          <w:b w:val="0"/>
          <w:bCs w:val="0"/>
        </w:rPr>
        <w:t>.</w:t>
      </w:r>
    </w:p>
    <w:p w14:paraId="07BD2F49">
      <w:pPr>
        <w:rPr>
          <w:rFonts w:hint="eastAsia"/>
          <w:b w:val="0"/>
          <w:bCs w:val="0"/>
        </w:rPr>
      </w:pPr>
    </w:p>
    <w:p w14:paraId="233C507D">
      <w:pPr>
        <w:rPr>
          <w:rFonts w:hint="eastAsia"/>
          <w:b w:val="0"/>
          <w:bCs w:val="0"/>
        </w:rPr>
      </w:pPr>
    </w:p>
    <w:p w14:paraId="22F5773C">
      <w:pPr>
        <w:rPr>
          <w:rFonts w:hint="eastAsia"/>
          <w:b w:val="0"/>
          <w:bCs w:val="0"/>
        </w:rPr>
      </w:pPr>
    </w:p>
    <w:p w14:paraId="1992B9E6">
      <w:pPr>
        <w:rPr>
          <w:rFonts w:hint="eastAsia"/>
          <w:b w:val="0"/>
          <w:bCs w:val="0"/>
        </w:rPr>
      </w:pPr>
    </w:p>
    <w:p w14:paraId="16A831DF">
      <w:pPr>
        <w:rPr>
          <w:rFonts w:hint="eastAsia"/>
          <w:b w:val="0"/>
          <w:bCs w:val="0"/>
        </w:rPr>
      </w:pPr>
    </w:p>
    <w:p w14:paraId="0F756C30">
      <w:pPr>
        <w:rPr>
          <w:rFonts w:hint="eastAsia"/>
          <w:b w:val="0"/>
          <w:bCs w:val="0"/>
        </w:rPr>
      </w:pPr>
    </w:p>
    <w:p w14:paraId="174FECC9">
      <w:pPr>
        <w:rPr>
          <w:rFonts w:eastAsia="宋体"/>
          <w:kern w:val="0"/>
          <w:sz w:val="28"/>
          <w:szCs w:val="28"/>
        </w:rPr>
      </w:pPr>
      <w:r>
        <w:rPr>
          <w:rFonts w:hint="eastAsia" w:eastAsia="宋体"/>
          <w:kern w:val="0"/>
          <w:sz w:val="28"/>
          <w:szCs w:val="28"/>
        </w:rPr>
        <w:t>SUPPLEMENTARY FIGURES</w:t>
      </w:r>
    </w:p>
    <w:p w14:paraId="7D460AA1">
      <w:pPr>
        <w:autoSpaceDE w:val="0"/>
        <w:autoSpaceDN w:val="0"/>
        <w:adjustRightInd w:val="0"/>
        <w:spacing w:line="300" w:lineRule="auto"/>
        <w:rPr>
          <w:b w:val="0"/>
          <w:bCs w:val="0"/>
          <w:sz w:val="22"/>
          <w:szCs w:val="22"/>
        </w:rPr>
      </w:pPr>
      <w:r>
        <w:rPr>
          <w:sz w:val="22"/>
          <w:szCs w:val="22"/>
        </w:rPr>
        <w:drawing>
          <wp:anchor distT="0" distB="0" distL="114300" distR="114300" simplePos="0" relativeHeight="251669504" behindDoc="0" locked="0" layoutInCell="1" allowOverlap="1">
            <wp:simplePos x="0" y="0"/>
            <wp:positionH relativeFrom="column">
              <wp:posOffset>-754380</wp:posOffset>
            </wp:positionH>
            <wp:positionV relativeFrom="paragraph">
              <wp:posOffset>70485</wp:posOffset>
            </wp:positionV>
            <wp:extent cx="6642735" cy="1684655"/>
            <wp:effectExtent l="0" t="0" r="0" b="0"/>
            <wp:wrapTopAndBottom/>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9"/>
                    <a:srcRect l="3902" r="4227"/>
                    <a:stretch>
                      <a:fillRect/>
                    </a:stretch>
                  </pic:blipFill>
                  <pic:spPr>
                    <a:xfrm>
                      <a:off x="0" y="0"/>
                      <a:ext cx="6642735" cy="1684655"/>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Fig</w:t>
      </w:r>
      <w:r>
        <w:rPr>
          <w:rFonts w:hint="eastAsia"/>
          <w:sz w:val="22"/>
          <w:szCs w:val="22"/>
        </w:rPr>
        <w:t>ure</w:t>
      </w:r>
      <w:r>
        <w:rPr>
          <w:sz w:val="22"/>
          <w:szCs w:val="22"/>
        </w:rPr>
        <w:t xml:space="preserve"> 1</w:t>
      </w:r>
      <w:r>
        <w:rPr>
          <w:rFonts w:hint="eastAsia"/>
          <w:sz w:val="22"/>
          <w:szCs w:val="22"/>
        </w:rPr>
        <w:t>.</w:t>
      </w:r>
      <w:r>
        <w:rPr>
          <w:sz w:val="22"/>
          <w:szCs w:val="22"/>
        </w:rPr>
        <w:t xml:space="preserve"> Pathway of synthesizing p</w:t>
      </w:r>
      <w:r>
        <w:rPr>
          <w:rFonts w:eastAsia="宋体"/>
          <w:kern w:val="0"/>
          <w:sz w:val="22"/>
          <w:szCs w:val="22"/>
        </w:rPr>
        <w:t>henyl-β-D-glucuronide</w:t>
      </w:r>
      <w:r>
        <w:rPr>
          <w:sz w:val="22"/>
          <w:szCs w:val="22"/>
        </w:rPr>
        <w:t xml:space="preserve">. </w:t>
      </w:r>
      <w:r>
        <w:rPr>
          <w:b w:val="0"/>
          <w:bCs w:val="0"/>
          <w:sz w:val="22"/>
          <w:szCs w:val="22"/>
        </w:rPr>
        <w:t xml:space="preserve">The phenyl-β-D-glucuronide </w:t>
      </w:r>
      <w:r>
        <w:rPr>
          <w:rFonts w:hint="eastAsia"/>
          <w:b w:val="0"/>
          <w:bCs w:val="0"/>
          <w:sz w:val="22"/>
          <w:szCs w:val="22"/>
        </w:rPr>
        <w:t>was</w:t>
      </w:r>
      <w:r>
        <w:rPr>
          <w:b w:val="0"/>
          <w:bCs w:val="0"/>
          <w:sz w:val="22"/>
          <w:szCs w:val="22"/>
        </w:rPr>
        <w:t xml:space="preserve"> obtained via two step</w:t>
      </w:r>
      <w:r>
        <w:rPr>
          <w:rFonts w:hint="eastAsia"/>
          <w:b w:val="0"/>
          <w:bCs w:val="0"/>
          <w:sz w:val="22"/>
          <w:szCs w:val="22"/>
        </w:rPr>
        <w:t>s</w:t>
      </w:r>
      <w:r>
        <w:rPr>
          <w:b w:val="0"/>
          <w:bCs w:val="0"/>
          <w:sz w:val="22"/>
          <w:szCs w:val="22"/>
        </w:rPr>
        <w:t xml:space="preserve"> pathway with 35.1% yield.</w:t>
      </w:r>
    </w:p>
    <w:p w14:paraId="010B9E50">
      <w:pPr>
        <w:autoSpaceDE w:val="0"/>
        <w:autoSpaceDN w:val="0"/>
        <w:adjustRightInd w:val="0"/>
        <w:spacing w:line="300" w:lineRule="auto"/>
        <w:rPr>
          <w:b w:val="0"/>
          <w:bCs w:val="0"/>
          <w:sz w:val="22"/>
          <w:szCs w:val="22"/>
        </w:rPr>
      </w:pPr>
    </w:p>
    <w:p w14:paraId="36E35C58">
      <w:pPr>
        <w:autoSpaceDE w:val="0"/>
        <w:autoSpaceDN w:val="0"/>
        <w:adjustRightInd w:val="0"/>
        <w:spacing w:line="300" w:lineRule="auto"/>
        <w:rPr>
          <w:b w:val="0"/>
          <w:bCs w:val="0"/>
          <w:sz w:val="22"/>
          <w:szCs w:val="22"/>
        </w:rPr>
      </w:pPr>
    </w:p>
    <w:p w14:paraId="6891E824">
      <w:pPr>
        <w:autoSpaceDE w:val="0"/>
        <w:autoSpaceDN w:val="0"/>
        <w:adjustRightInd w:val="0"/>
        <w:spacing w:line="300" w:lineRule="auto"/>
        <w:rPr>
          <w:b w:val="0"/>
          <w:bCs w:val="0"/>
          <w:sz w:val="22"/>
          <w:szCs w:val="22"/>
        </w:rPr>
      </w:pPr>
    </w:p>
    <w:p w14:paraId="09724E26">
      <w:pPr>
        <w:autoSpaceDE w:val="0"/>
        <w:autoSpaceDN w:val="0"/>
        <w:adjustRightInd w:val="0"/>
        <w:spacing w:line="300" w:lineRule="auto"/>
        <w:rPr>
          <w:b w:val="0"/>
          <w:bCs w:val="0"/>
          <w:sz w:val="22"/>
          <w:szCs w:val="22"/>
        </w:rPr>
      </w:pPr>
    </w:p>
    <w:p w14:paraId="238BB46C">
      <w:pPr>
        <w:autoSpaceDE w:val="0"/>
        <w:autoSpaceDN w:val="0"/>
        <w:adjustRightInd w:val="0"/>
        <w:spacing w:line="300" w:lineRule="auto"/>
        <w:rPr>
          <w:b w:val="0"/>
          <w:bCs w:val="0"/>
          <w:sz w:val="22"/>
          <w:szCs w:val="22"/>
        </w:rPr>
      </w:pPr>
    </w:p>
    <w:p w14:paraId="35392D7F">
      <w:pPr>
        <w:autoSpaceDE w:val="0"/>
        <w:autoSpaceDN w:val="0"/>
        <w:adjustRightInd w:val="0"/>
        <w:spacing w:line="300" w:lineRule="auto"/>
        <w:rPr>
          <w:b w:val="0"/>
          <w:bCs w:val="0"/>
          <w:sz w:val="22"/>
          <w:szCs w:val="22"/>
        </w:rPr>
      </w:pPr>
    </w:p>
    <w:p w14:paraId="4F94E82C">
      <w:pPr>
        <w:autoSpaceDE w:val="0"/>
        <w:autoSpaceDN w:val="0"/>
        <w:adjustRightInd w:val="0"/>
        <w:spacing w:line="300" w:lineRule="auto"/>
        <w:rPr>
          <w:b w:val="0"/>
          <w:bCs w:val="0"/>
          <w:sz w:val="22"/>
          <w:szCs w:val="22"/>
        </w:rPr>
      </w:pPr>
    </w:p>
    <w:p w14:paraId="6950AEEE">
      <w:pPr>
        <w:autoSpaceDE w:val="0"/>
        <w:autoSpaceDN w:val="0"/>
        <w:adjustRightInd w:val="0"/>
        <w:spacing w:line="300" w:lineRule="auto"/>
        <w:rPr>
          <w:b w:val="0"/>
          <w:bCs w:val="0"/>
          <w:sz w:val="22"/>
          <w:szCs w:val="22"/>
        </w:rPr>
      </w:pPr>
    </w:p>
    <w:p w14:paraId="21905E43">
      <w:pPr>
        <w:spacing w:line="300" w:lineRule="auto"/>
        <w:rPr>
          <w:rFonts w:eastAsia="宋体"/>
          <w:b w:val="0"/>
          <w:kern w:val="0"/>
          <w:sz w:val="22"/>
          <w:szCs w:val="22"/>
        </w:rPr>
      </w:pPr>
      <w:r>
        <w:rPr>
          <w:sz w:val="22"/>
          <w:szCs w:val="22"/>
        </w:rPr>
        <w:drawing>
          <wp:anchor distT="0" distB="0" distL="114300" distR="114300" simplePos="0" relativeHeight="251661312" behindDoc="0" locked="0" layoutInCell="1" allowOverlap="1">
            <wp:simplePos x="0" y="0"/>
            <wp:positionH relativeFrom="column">
              <wp:posOffset>-361315</wp:posOffset>
            </wp:positionH>
            <wp:positionV relativeFrom="paragraph">
              <wp:posOffset>17780</wp:posOffset>
            </wp:positionV>
            <wp:extent cx="6001385" cy="4185920"/>
            <wp:effectExtent l="0" t="0" r="8890" b="508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0"/>
                    <a:srcRect r="1061"/>
                    <a:stretch>
                      <a:fillRect/>
                    </a:stretch>
                  </pic:blipFill>
                  <pic:spPr>
                    <a:xfrm>
                      <a:off x="0" y="0"/>
                      <a:ext cx="6001385" cy="4185920"/>
                    </a:xfrm>
                    <a:prstGeom prst="rect">
                      <a:avLst/>
                    </a:prstGeom>
                    <a:noFill/>
                    <a:ln>
                      <a:noFill/>
                    </a:ln>
                  </pic:spPr>
                </pic:pic>
              </a:graphicData>
            </a:graphic>
          </wp:anchor>
        </w:drawing>
      </w:r>
      <w:r>
        <w:rPr>
          <w:rFonts w:hint="eastAsia"/>
          <w:sz w:val="22"/>
          <w:szCs w:val="22"/>
        </w:rPr>
        <w:t xml:space="preserve">Supplementary </w:t>
      </w:r>
      <w:r>
        <w:rPr>
          <w:sz w:val="22"/>
          <w:szCs w:val="22"/>
        </w:rPr>
        <w:t>Fig</w:t>
      </w:r>
      <w:r>
        <w:rPr>
          <w:rFonts w:hint="eastAsia"/>
          <w:sz w:val="22"/>
          <w:szCs w:val="22"/>
        </w:rPr>
        <w:t>ure</w:t>
      </w:r>
      <w:r>
        <w:rPr>
          <w:sz w:val="22"/>
          <w:szCs w:val="22"/>
        </w:rPr>
        <w:t xml:space="preserve"> 2</w:t>
      </w:r>
      <w:r>
        <w:rPr>
          <w:rFonts w:hint="eastAsia"/>
          <w:sz w:val="22"/>
          <w:szCs w:val="22"/>
        </w:rPr>
        <w:t>.</w:t>
      </w:r>
      <w:r>
        <w:rPr>
          <w:sz w:val="22"/>
          <w:szCs w:val="22"/>
        </w:rPr>
        <w:t xml:space="preserve"> Analysis of the </w:t>
      </w:r>
      <w:r>
        <w:rPr>
          <w:rFonts w:hint="eastAsia"/>
          <w:sz w:val="22"/>
          <w:szCs w:val="22"/>
        </w:rPr>
        <w:t>m</w:t>
      </w:r>
      <w:r>
        <w:rPr>
          <w:sz w:val="22"/>
          <w:szCs w:val="22"/>
        </w:rPr>
        <w:t xml:space="preserve">olecular structure and functional group of </w:t>
      </w:r>
      <w:r>
        <w:rPr>
          <w:rFonts w:hint="eastAsia"/>
          <w:sz w:val="22"/>
          <w:szCs w:val="22"/>
        </w:rPr>
        <w:t xml:space="preserve">the </w:t>
      </w:r>
      <w:r>
        <w:rPr>
          <w:sz w:val="22"/>
          <w:szCs w:val="22"/>
        </w:rPr>
        <w:t>intermediate.</w:t>
      </w:r>
      <w:r>
        <w:rPr>
          <w:b w:val="0"/>
          <w:bCs w:val="0"/>
          <w:sz w:val="22"/>
          <w:szCs w:val="22"/>
        </w:rPr>
        <w:t xml:space="preserve"> </w:t>
      </w:r>
      <w:r>
        <w:rPr>
          <w:rFonts w:hint="eastAsia"/>
          <w:sz w:val="22"/>
          <w:szCs w:val="22"/>
        </w:rPr>
        <w:t>a</w:t>
      </w:r>
      <w:r>
        <w:rPr>
          <w:rFonts w:hint="eastAsia"/>
          <w:b w:val="0"/>
          <w:bCs w:val="0"/>
          <w:sz w:val="22"/>
          <w:szCs w:val="22"/>
        </w:rPr>
        <w:t>,</w:t>
      </w:r>
      <w:r>
        <w:rPr>
          <w:rFonts w:hint="eastAsia"/>
          <w:sz w:val="22"/>
          <w:szCs w:val="22"/>
        </w:rPr>
        <w:t xml:space="preserve"> </w:t>
      </w:r>
      <w:r>
        <w:rPr>
          <w:b w:val="0"/>
          <w:bCs w:val="0"/>
          <w:sz w:val="22"/>
          <w:szCs w:val="22"/>
        </w:rPr>
        <w:t xml:space="preserve">HMR </w:t>
      </w:r>
      <w:r>
        <w:rPr>
          <w:rFonts w:eastAsia="宋体"/>
          <w:b w:val="0"/>
          <w:bCs w:val="0"/>
          <w:sz w:val="22"/>
          <w:szCs w:val="22"/>
        </w:rPr>
        <w:t>and</w:t>
      </w:r>
      <w:r>
        <w:rPr>
          <w:rFonts w:eastAsia="宋体"/>
          <w:color w:val="000000"/>
          <w:kern w:val="0"/>
          <w:sz w:val="22"/>
          <w:szCs w:val="22"/>
        </w:rPr>
        <w:t xml:space="preserve"> </w:t>
      </w:r>
      <w:r>
        <w:rPr>
          <w:rFonts w:hint="eastAsia" w:eastAsia="宋体"/>
          <w:color w:val="000000"/>
          <w:kern w:val="0"/>
          <w:sz w:val="22"/>
          <w:szCs w:val="22"/>
        </w:rPr>
        <w:t>b</w:t>
      </w:r>
      <w:r>
        <w:rPr>
          <w:rFonts w:hint="eastAsia"/>
          <w:b w:val="0"/>
          <w:bCs w:val="0"/>
          <w:sz w:val="22"/>
          <w:szCs w:val="22"/>
        </w:rPr>
        <w:t>,</w:t>
      </w:r>
      <w:r>
        <w:rPr>
          <w:rFonts w:hint="eastAsia"/>
          <w:sz w:val="22"/>
          <w:szCs w:val="22"/>
        </w:rPr>
        <w:t xml:space="preserve"> </w:t>
      </w:r>
      <w:r>
        <w:rPr>
          <w:rFonts w:eastAsia="宋体"/>
          <w:b w:val="0"/>
          <w:bCs w:val="0"/>
          <w:color w:val="000000"/>
          <w:kern w:val="0"/>
          <w:sz w:val="22"/>
          <w:szCs w:val="22"/>
        </w:rPr>
        <w:t xml:space="preserve">CNMR </w:t>
      </w:r>
      <w:r>
        <w:rPr>
          <w:b w:val="0"/>
          <w:bCs w:val="0"/>
          <w:color w:val="24292F"/>
          <w:sz w:val="22"/>
          <w:szCs w:val="22"/>
        </w:rPr>
        <w:t>spec</w:t>
      </w:r>
      <w:r>
        <w:rPr>
          <w:rFonts w:eastAsia="宋体"/>
          <w:b w:val="0"/>
          <w:bCs w:val="0"/>
          <w:color w:val="000000"/>
          <w:kern w:val="0"/>
          <w:sz w:val="22"/>
          <w:szCs w:val="22"/>
        </w:rPr>
        <w:t xml:space="preserve">tra of the intermediate. </w:t>
      </w:r>
      <w:r>
        <w:rPr>
          <w:rFonts w:eastAsia="宋体"/>
          <w:b w:val="0"/>
          <w:bCs w:val="0"/>
          <w:sz w:val="22"/>
          <w:szCs w:val="22"/>
          <w:vertAlign w:val="superscript"/>
        </w:rPr>
        <w:t>1</w:t>
      </w:r>
      <w:r>
        <w:rPr>
          <w:rFonts w:eastAsia="宋体"/>
          <w:b w:val="0"/>
          <w:bCs w:val="0"/>
          <w:sz w:val="22"/>
          <w:szCs w:val="22"/>
        </w:rPr>
        <w:t>H NMR</w:t>
      </w:r>
      <w:r>
        <w:rPr>
          <w:rFonts w:eastAsia="宋体"/>
          <w:b w:val="0"/>
          <w:bCs w:val="0"/>
          <w:color w:val="000000"/>
          <w:kern w:val="0"/>
          <w:sz w:val="22"/>
          <w:szCs w:val="22"/>
        </w:rPr>
        <w:t xml:space="preserve"> </w:t>
      </w:r>
      <w:r>
        <w:rPr>
          <w:rFonts w:eastAsia="宋体"/>
          <w:b w:val="0"/>
          <w:bCs w:val="0"/>
          <w:sz w:val="22"/>
          <w:szCs w:val="22"/>
        </w:rPr>
        <w:t>(400 MHz, Chloroform-</w:t>
      </w:r>
      <w:r>
        <w:rPr>
          <w:rFonts w:eastAsia="宋体"/>
          <w:b w:val="0"/>
          <w:bCs w:val="0"/>
          <w:i/>
          <w:iCs/>
          <w:sz w:val="22"/>
          <w:szCs w:val="22"/>
        </w:rPr>
        <w:t>d</w:t>
      </w:r>
      <w:r>
        <w:rPr>
          <w:rFonts w:eastAsia="宋体"/>
          <w:b w:val="0"/>
          <w:bCs w:val="0"/>
          <w:sz w:val="22"/>
          <w:szCs w:val="22"/>
        </w:rPr>
        <w:t xml:space="preserve">) δ 7.35 – 7.24 (m, 3H), 7.13 – 7.00 (m, 2H), 7.00 – 6.96 (m, 1H), 5.40 – 5.35 (m, 1H), 5.35 – 5.24 (m, 2H), 5.15 (d, </w:t>
      </w:r>
      <w:r>
        <w:rPr>
          <w:rFonts w:eastAsia="宋体"/>
          <w:b w:val="0"/>
          <w:bCs w:val="0"/>
          <w:i/>
          <w:iCs/>
          <w:sz w:val="22"/>
          <w:szCs w:val="22"/>
        </w:rPr>
        <w:t>J</w:t>
      </w:r>
      <w:r>
        <w:rPr>
          <w:rFonts w:eastAsia="宋体"/>
          <w:b w:val="0"/>
          <w:bCs w:val="0"/>
          <w:sz w:val="22"/>
          <w:szCs w:val="22"/>
        </w:rPr>
        <w:t xml:space="preserve"> = 7.1 Hz, 1H), 4.23 – 4.13 (m, 1H), 3.73 (s, 3H), 2.09 – 1.99 (m, 9H). </w:t>
      </w:r>
      <w:r>
        <w:rPr>
          <w:rFonts w:eastAsia="宋体"/>
          <w:b w:val="0"/>
          <w:bCs w:val="0"/>
          <w:sz w:val="22"/>
          <w:szCs w:val="22"/>
          <w:vertAlign w:val="superscript"/>
        </w:rPr>
        <w:t>13</w:t>
      </w:r>
      <w:r>
        <w:rPr>
          <w:rFonts w:eastAsia="宋体"/>
          <w:b w:val="0"/>
          <w:bCs w:val="0"/>
          <w:sz w:val="22"/>
          <w:szCs w:val="22"/>
        </w:rPr>
        <w:t>C NMR (101 MHz, Chloroform-</w:t>
      </w:r>
      <w:r>
        <w:rPr>
          <w:rFonts w:eastAsia="宋体"/>
          <w:b w:val="0"/>
          <w:bCs w:val="0"/>
          <w:i/>
          <w:iCs/>
          <w:sz w:val="22"/>
          <w:szCs w:val="22"/>
        </w:rPr>
        <w:t>d</w:t>
      </w:r>
      <w:r>
        <w:rPr>
          <w:rFonts w:eastAsia="宋体"/>
          <w:b w:val="0"/>
          <w:bCs w:val="0"/>
          <w:sz w:val="22"/>
          <w:szCs w:val="22"/>
        </w:rPr>
        <w:t xml:space="preserve">) δ 170.13, 169.35, 169.24, 166.89, 156.72, 129.63, 123.54, 117.09, 99.23, 77.23, 72.70, 71.90, 71.10, 69.15, 52.98, 20.63, 20.53. </w:t>
      </w:r>
      <w:r>
        <w:rPr>
          <w:rFonts w:hint="eastAsia" w:eastAsia="宋体"/>
          <w:color w:val="000000"/>
          <w:kern w:val="0"/>
          <w:sz w:val="22"/>
          <w:szCs w:val="22"/>
        </w:rPr>
        <w:t>c</w:t>
      </w:r>
      <w:r>
        <w:rPr>
          <w:rFonts w:hint="eastAsia"/>
          <w:b w:val="0"/>
          <w:bCs w:val="0"/>
          <w:sz w:val="22"/>
          <w:szCs w:val="22"/>
        </w:rPr>
        <w:t>,</w:t>
      </w:r>
      <w:r>
        <w:rPr>
          <w:rFonts w:hint="eastAsia"/>
          <w:sz w:val="22"/>
          <w:szCs w:val="22"/>
        </w:rPr>
        <w:t xml:space="preserve"> </w:t>
      </w:r>
      <w:r>
        <w:rPr>
          <w:rFonts w:eastAsia="Arial"/>
          <w:b w:val="0"/>
          <w:bCs w:val="0"/>
          <w:color w:val="262626"/>
          <w:sz w:val="22"/>
          <w:szCs w:val="22"/>
          <w:shd w:val="clear" w:color="auto" w:fill="FFFFFF"/>
        </w:rPr>
        <w:t>FT-IR spectra</w:t>
      </w:r>
      <w:r>
        <w:rPr>
          <w:rFonts w:eastAsia="宋体"/>
          <w:b w:val="0"/>
          <w:bCs w:val="0"/>
          <w:color w:val="262626"/>
          <w:sz w:val="22"/>
          <w:szCs w:val="22"/>
          <w:shd w:val="clear" w:color="auto" w:fill="FFFFFF"/>
        </w:rPr>
        <w:t xml:space="preserve"> and </w:t>
      </w:r>
      <w:r>
        <w:rPr>
          <w:rFonts w:hint="eastAsia" w:eastAsia="宋体"/>
          <w:color w:val="000000"/>
          <w:kern w:val="0"/>
          <w:sz w:val="22"/>
          <w:szCs w:val="22"/>
        </w:rPr>
        <w:t>d</w:t>
      </w:r>
      <w:r>
        <w:rPr>
          <w:rFonts w:hint="eastAsia"/>
          <w:b w:val="0"/>
          <w:bCs w:val="0"/>
          <w:sz w:val="22"/>
          <w:szCs w:val="22"/>
        </w:rPr>
        <w:t>,</w:t>
      </w:r>
      <w:r>
        <w:rPr>
          <w:rFonts w:eastAsia="宋体"/>
          <w:color w:val="262626"/>
          <w:sz w:val="22"/>
          <w:szCs w:val="22"/>
          <w:shd w:val="clear" w:color="auto" w:fill="FFFFFF"/>
        </w:rPr>
        <w:t xml:space="preserve"> </w:t>
      </w:r>
      <w:r>
        <w:rPr>
          <w:rFonts w:eastAsia="宋体"/>
          <w:b w:val="0"/>
          <w:bCs w:val="0"/>
          <w:color w:val="262626"/>
          <w:sz w:val="22"/>
          <w:szCs w:val="22"/>
          <w:shd w:val="clear" w:color="auto" w:fill="FFFFFF"/>
        </w:rPr>
        <w:t>MS for the</w:t>
      </w:r>
      <w:r>
        <w:rPr>
          <w:rFonts w:eastAsia="宋体"/>
          <w:color w:val="262626"/>
          <w:sz w:val="22"/>
          <w:szCs w:val="22"/>
          <w:shd w:val="clear" w:color="auto" w:fill="FFFFFF"/>
        </w:rPr>
        <w:t xml:space="preserve"> </w:t>
      </w:r>
      <w:r>
        <w:rPr>
          <w:rFonts w:eastAsia="宋体"/>
          <w:b w:val="0"/>
          <w:bCs w:val="0"/>
          <w:color w:val="000000"/>
          <w:kern w:val="0"/>
          <w:sz w:val="22"/>
          <w:szCs w:val="22"/>
        </w:rPr>
        <w:t xml:space="preserve">intermediate. </w:t>
      </w:r>
      <w:r>
        <w:rPr>
          <w:rFonts w:eastAsia="宋体"/>
          <w:b w:val="0"/>
          <w:bCs w:val="0"/>
          <w:kern w:val="0"/>
          <w:sz w:val="22"/>
          <w:szCs w:val="22"/>
        </w:rPr>
        <w:t>IR (neat, cm</w:t>
      </w:r>
      <w:r>
        <w:rPr>
          <w:rFonts w:eastAsia="宋体"/>
          <w:b w:val="0"/>
          <w:bCs w:val="0"/>
          <w:kern w:val="0"/>
          <w:sz w:val="22"/>
          <w:szCs w:val="22"/>
          <w:vertAlign w:val="superscript"/>
        </w:rPr>
        <w:t>-1</w:t>
      </w:r>
      <w:r>
        <w:rPr>
          <w:rFonts w:eastAsia="宋体"/>
          <w:b w:val="0"/>
          <w:bCs w:val="0"/>
          <w:kern w:val="0"/>
          <w:sz w:val="22"/>
          <w:szCs w:val="22"/>
        </w:rPr>
        <w:t xml:space="preserve">): 2951, 1759, 1597, 1492, 1438, 1381, 1296, 1222, 1080, 1045, 914, 767, 694. </w:t>
      </w:r>
      <w:r>
        <w:rPr>
          <w:rFonts w:eastAsia="宋体"/>
          <w:b w:val="0"/>
          <w:kern w:val="0"/>
          <w:sz w:val="22"/>
          <w:szCs w:val="22"/>
        </w:rPr>
        <w:t>MS ESI: 428.1 [M+NH</w:t>
      </w:r>
      <w:r>
        <w:rPr>
          <w:rFonts w:eastAsia="宋体"/>
          <w:b w:val="0"/>
          <w:kern w:val="0"/>
          <w:sz w:val="22"/>
          <w:szCs w:val="22"/>
          <w:vertAlign w:val="subscript"/>
        </w:rPr>
        <w:t>4</w:t>
      </w:r>
      <w:r>
        <w:rPr>
          <w:rFonts w:eastAsia="宋体"/>
          <w:b w:val="0"/>
          <w:kern w:val="0"/>
          <w:sz w:val="22"/>
          <w:szCs w:val="22"/>
        </w:rPr>
        <w:t>]</w:t>
      </w:r>
      <w:r>
        <w:rPr>
          <w:rFonts w:eastAsia="宋体"/>
          <w:b w:val="0"/>
          <w:kern w:val="0"/>
          <w:sz w:val="22"/>
          <w:szCs w:val="22"/>
          <w:vertAlign w:val="superscript"/>
        </w:rPr>
        <w:t>+</w:t>
      </w:r>
      <w:r>
        <w:rPr>
          <w:rFonts w:eastAsia="宋体"/>
          <w:b w:val="0"/>
          <w:kern w:val="0"/>
          <w:sz w:val="22"/>
          <w:szCs w:val="22"/>
        </w:rPr>
        <w:t>.</w:t>
      </w:r>
    </w:p>
    <w:p w14:paraId="100298D7">
      <w:pPr>
        <w:autoSpaceDE w:val="0"/>
        <w:autoSpaceDN w:val="0"/>
        <w:adjustRightInd w:val="0"/>
        <w:spacing w:line="300" w:lineRule="auto"/>
        <w:rPr>
          <w:rFonts w:eastAsia="宋体"/>
          <w:b w:val="0"/>
          <w:kern w:val="0"/>
          <w:sz w:val="22"/>
          <w:szCs w:val="22"/>
        </w:rPr>
      </w:pPr>
      <w:r>
        <w:rPr>
          <w:b w:val="0"/>
          <w:bCs w:val="0"/>
          <w:sz w:val="22"/>
          <w:szCs w:val="22"/>
        </w:rPr>
        <w:drawing>
          <wp:anchor distT="0" distB="0" distL="114300" distR="114300" simplePos="0" relativeHeight="251662336" behindDoc="0" locked="0" layoutInCell="1" allowOverlap="1">
            <wp:simplePos x="0" y="0"/>
            <wp:positionH relativeFrom="column">
              <wp:posOffset>-355600</wp:posOffset>
            </wp:positionH>
            <wp:positionV relativeFrom="paragraph">
              <wp:posOffset>-216535</wp:posOffset>
            </wp:positionV>
            <wp:extent cx="5805170" cy="4104005"/>
            <wp:effectExtent l="0" t="0" r="5080" b="12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1" cstate="print">
                      <a:extLst>
                        <a:ext uri="{28A0092B-C50C-407E-A947-70E740481C1C}">
                          <a14:useLocalDpi xmlns:a14="http://schemas.microsoft.com/office/drawing/2010/main" val="0"/>
                        </a:ext>
                      </a:extLst>
                    </a:blip>
                    <a:srcRect r="569"/>
                    <a:stretch>
                      <a:fillRect/>
                    </a:stretch>
                  </pic:blipFill>
                  <pic:spPr>
                    <a:xfrm>
                      <a:off x="0" y="0"/>
                      <a:ext cx="5805170" cy="4104005"/>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Fig</w:t>
      </w:r>
      <w:r>
        <w:rPr>
          <w:rFonts w:hint="eastAsia"/>
          <w:sz w:val="22"/>
          <w:szCs w:val="22"/>
        </w:rPr>
        <w:t>ure</w:t>
      </w:r>
      <w:r>
        <w:rPr>
          <w:sz w:val="22"/>
          <w:szCs w:val="22"/>
        </w:rPr>
        <w:t xml:space="preserve"> 3</w:t>
      </w:r>
      <w:r>
        <w:rPr>
          <w:rFonts w:hint="eastAsia"/>
          <w:sz w:val="22"/>
          <w:szCs w:val="22"/>
        </w:rPr>
        <w:t>.</w:t>
      </w:r>
      <w:r>
        <w:rPr>
          <w:sz w:val="22"/>
          <w:szCs w:val="22"/>
        </w:rPr>
        <w:t xml:space="preserve"> Analysis of the </w:t>
      </w:r>
      <w:r>
        <w:rPr>
          <w:rFonts w:hint="eastAsia"/>
          <w:sz w:val="22"/>
          <w:szCs w:val="22"/>
        </w:rPr>
        <w:t>m</w:t>
      </w:r>
      <w:r>
        <w:rPr>
          <w:sz w:val="22"/>
          <w:szCs w:val="22"/>
        </w:rPr>
        <w:t xml:space="preserve">olecular structure and functional group of </w:t>
      </w:r>
      <w:r>
        <w:rPr>
          <w:rFonts w:hint="eastAsia"/>
          <w:sz w:val="22"/>
          <w:szCs w:val="22"/>
        </w:rPr>
        <w:t xml:space="preserve">the </w:t>
      </w:r>
      <w:r>
        <w:rPr>
          <w:sz w:val="22"/>
          <w:szCs w:val="22"/>
        </w:rPr>
        <w:t>synthesized phenyl-β-D-glucuronide.</w:t>
      </w:r>
      <w:r>
        <w:rPr>
          <w:b w:val="0"/>
          <w:bCs w:val="0"/>
          <w:sz w:val="22"/>
          <w:szCs w:val="22"/>
        </w:rPr>
        <w:t xml:space="preserve"> </w:t>
      </w:r>
      <w:r>
        <w:rPr>
          <w:rFonts w:hint="eastAsia" w:eastAsia="宋体"/>
          <w:color w:val="000000"/>
          <w:kern w:val="0"/>
          <w:sz w:val="22"/>
          <w:szCs w:val="22"/>
        </w:rPr>
        <w:t>a</w:t>
      </w:r>
      <w:r>
        <w:rPr>
          <w:rFonts w:hint="eastAsia"/>
          <w:b w:val="0"/>
          <w:bCs w:val="0"/>
          <w:sz w:val="22"/>
          <w:szCs w:val="22"/>
        </w:rPr>
        <w:t>,</w:t>
      </w:r>
      <w:r>
        <w:rPr>
          <w:b w:val="0"/>
          <w:bCs w:val="0"/>
          <w:sz w:val="22"/>
          <w:szCs w:val="22"/>
        </w:rPr>
        <w:t xml:space="preserve"> HMR </w:t>
      </w:r>
      <w:r>
        <w:rPr>
          <w:rFonts w:eastAsia="宋体"/>
          <w:b w:val="0"/>
          <w:bCs w:val="0"/>
          <w:sz w:val="22"/>
          <w:szCs w:val="22"/>
        </w:rPr>
        <w:t>and</w:t>
      </w:r>
      <w:r>
        <w:rPr>
          <w:rFonts w:eastAsia="宋体"/>
          <w:color w:val="000000"/>
          <w:kern w:val="0"/>
          <w:sz w:val="22"/>
          <w:szCs w:val="22"/>
        </w:rPr>
        <w:t xml:space="preserve"> </w:t>
      </w:r>
      <w:r>
        <w:rPr>
          <w:rFonts w:hint="eastAsia" w:eastAsia="宋体"/>
          <w:color w:val="000000"/>
          <w:kern w:val="0"/>
          <w:sz w:val="22"/>
          <w:szCs w:val="22"/>
        </w:rPr>
        <w:t>b</w:t>
      </w:r>
      <w:r>
        <w:rPr>
          <w:rFonts w:hint="eastAsia"/>
          <w:b w:val="0"/>
          <w:bCs w:val="0"/>
          <w:sz w:val="22"/>
          <w:szCs w:val="22"/>
        </w:rPr>
        <w:t>,</w:t>
      </w:r>
      <w:r>
        <w:rPr>
          <w:rFonts w:eastAsia="宋体"/>
          <w:color w:val="000000"/>
          <w:kern w:val="0"/>
          <w:sz w:val="22"/>
          <w:szCs w:val="22"/>
        </w:rPr>
        <w:t xml:space="preserve"> </w:t>
      </w:r>
      <w:r>
        <w:rPr>
          <w:rFonts w:eastAsia="宋体"/>
          <w:b w:val="0"/>
          <w:bCs w:val="0"/>
          <w:color w:val="000000"/>
          <w:kern w:val="0"/>
          <w:sz w:val="22"/>
          <w:szCs w:val="22"/>
        </w:rPr>
        <w:t xml:space="preserve">CNMR </w:t>
      </w:r>
      <w:r>
        <w:rPr>
          <w:b w:val="0"/>
          <w:bCs w:val="0"/>
          <w:color w:val="24292F"/>
          <w:sz w:val="22"/>
          <w:szCs w:val="22"/>
        </w:rPr>
        <w:t>spec</w:t>
      </w:r>
      <w:r>
        <w:rPr>
          <w:rFonts w:eastAsia="宋体"/>
          <w:b w:val="0"/>
          <w:bCs w:val="0"/>
          <w:color w:val="000000"/>
          <w:kern w:val="0"/>
          <w:sz w:val="22"/>
          <w:szCs w:val="22"/>
        </w:rPr>
        <w:t xml:space="preserve">tra of the </w:t>
      </w:r>
      <w:r>
        <w:rPr>
          <w:b w:val="0"/>
          <w:bCs w:val="0"/>
          <w:sz w:val="22"/>
          <w:szCs w:val="22"/>
        </w:rPr>
        <w:t xml:space="preserve">synthesized phenyl-β-D-glucuronide. </w:t>
      </w:r>
      <w:r>
        <w:rPr>
          <w:rFonts w:eastAsia="宋体"/>
          <w:b w:val="0"/>
          <w:bCs w:val="0"/>
          <w:sz w:val="22"/>
          <w:szCs w:val="22"/>
          <w:vertAlign w:val="superscript"/>
        </w:rPr>
        <w:t>1</w:t>
      </w:r>
      <w:r>
        <w:rPr>
          <w:rFonts w:eastAsia="宋体"/>
          <w:b w:val="0"/>
          <w:bCs w:val="0"/>
          <w:sz w:val="22"/>
          <w:szCs w:val="22"/>
        </w:rPr>
        <w:t>H NMR (400 MHz, D</w:t>
      </w:r>
      <w:r>
        <w:rPr>
          <w:rFonts w:eastAsia="宋体"/>
          <w:b w:val="0"/>
          <w:bCs w:val="0"/>
          <w:sz w:val="22"/>
          <w:szCs w:val="22"/>
          <w:vertAlign w:val="subscript"/>
        </w:rPr>
        <w:t>2</w:t>
      </w:r>
      <w:r>
        <w:rPr>
          <w:rFonts w:eastAsia="宋体"/>
          <w:b w:val="0"/>
          <w:bCs w:val="0"/>
          <w:sz w:val="22"/>
          <w:szCs w:val="22"/>
        </w:rPr>
        <w:t xml:space="preserve">O), δ 7.44 (t, </w:t>
      </w:r>
      <w:r>
        <w:rPr>
          <w:rFonts w:eastAsia="宋体"/>
          <w:b w:val="0"/>
          <w:bCs w:val="0"/>
          <w:i/>
          <w:iCs/>
          <w:sz w:val="22"/>
          <w:szCs w:val="22"/>
        </w:rPr>
        <w:t>J</w:t>
      </w:r>
      <w:r>
        <w:rPr>
          <w:rFonts w:eastAsia="宋体"/>
          <w:b w:val="0"/>
          <w:bCs w:val="0"/>
          <w:sz w:val="22"/>
          <w:szCs w:val="22"/>
        </w:rPr>
        <w:t xml:space="preserve"> = 7.7 Hz, 2H), 7.24 – 7.15 (m, 3H), 5.22 – 5.16 (m, 1H), 4.03 (dd, </w:t>
      </w:r>
      <w:r>
        <w:rPr>
          <w:rFonts w:eastAsia="宋体"/>
          <w:b w:val="0"/>
          <w:bCs w:val="0"/>
          <w:i/>
          <w:iCs/>
          <w:sz w:val="22"/>
          <w:szCs w:val="22"/>
        </w:rPr>
        <w:t>J</w:t>
      </w:r>
      <w:r>
        <w:rPr>
          <w:rFonts w:eastAsia="宋体"/>
          <w:b w:val="0"/>
          <w:bCs w:val="0"/>
          <w:sz w:val="22"/>
          <w:szCs w:val="22"/>
        </w:rPr>
        <w:t xml:space="preserve"> = 6.4, 3.7 Hz, 1H), 3.72 – 3.61 (m, 3H). </w:t>
      </w:r>
      <w:r>
        <w:rPr>
          <w:rFonts w:eastAsia="宋体"/>
          <w:b w:val="0"/>
          <w:bCs w:val="0"/>
          <w:sz w:val="22"/>
          <w:szCs w:val="22"/>
          <w:vertAlign w:val="superscript"/>
        </w:rPr>
        <w:t>13</w:t>
      </w:r>
      <w:r>
        <w:rPr>
          <w:rFonts w:eastAsia="宋体"/>
          <w:b w:val="0"/>
          <w:bCs w:val="0"/>
          <w:sz w:val="22"/>
          <w:szCs w:val="22"/>
        </w:rPr>
        <w:t>C NMR (101 MHz, D</w:t>
      </w:r>
      <w:r>
        <w:rPr>
          <w:rFonts w:eastAsia="宋体"/>
          <w:b w:val="0"/>
          <w:bCs w:val="0"/>
          <w:sz w:val="22"/>
          <w:szCs w:val="22"/>
          <w:vertAlign w:val="subscript"/>
        </w:rPr>
        <w:t>2</w:t>
      </w:r>
      <w:r>
        <w:rPr>
          <w:rFonts w:eastAsia="宋体"/>
          <w:b w:val="0"/>
          <w:bCs w:val="0"/>
          <w:sz w:val="22"/>
          <w:szCs w:val="22"/>
        </w:rPr>
        <w:t xml:space="preserve">O) δ 174.19, 156.54, 129.96, 123.45, 116.71, 100.15, 75.57, 75.24, 72.72, 71.54. </w:t>
      </w:r>
      <w:r>
        <w:rPr>
          <w:rFonts w:hint="eastAsia" w:eastAsia="宋体"/>
          <w:color w:val="000000"/>
          <w:kern w:val="0"/>
          <w:sz w:val="22"/>
          <w:szCs w:val="22"/>
        </w:rPr>
        <w:t>c</w:t>
      </w:r>
      <w:r>
        <w:rPr>
          <w:rFonts w:hint="eastAsia"/>
          <w:b w:val="0"/>
          <w:bCs w:val="0"/>
          <w:sz w:val="22"/>
          <w:szCs w:val="22"/>
        </w:rPr>
        <w:t>,</w:t>
      </w:r>
      <w:r>
        <w:rPr>
          <w:rFonts w:eastAsia="宋体"/>
          <w:b w:val="0"/>
          <w:bCs w:val="0"/>
          <w:color w:val="000000"/>
          <w:kern w:val="0"/>
          <w:sz w:val="22"/>
          <w:szCs w:val="22"/>
        </w:rPr>
        <w:t xml:space="preserve"> </w:t>
      </w:r>
      <w:r>
        <w:rPr>
          <w:rFonts w:eastAsia="Arial"/>
          <w:b w:val="0"/>
          <w:bCs w:val="0"/>
          <w:color w:val="262626"/>
          <w:sz w:val="22"/>
          <w:szCs w:val="22"/>
          <w:shd w:val="clear" w:color="auto" w:fill="FFFFFF"/>
        </w:rPr>
        <w:t>FT-IR spectra</w:t>
      </w:r>
      <w:r>
        <w:rPr>
          <w:rFonts w:eastAsia="宋体"/>
          <w:b w:val="0"/>
          <w:bCs w:val="0"/>
          <w:color w:val="262626"/>
          <w:sz w:val="22"/>
          <w:szCs w:val="22"/>
          <w:shd w:val="clear" w:color="auto" w:fill="FFFFFF"/>
        </w:rPr>
        <w:t xml:space="preserve"> and </w:t>
      </w:r>
      <w:r>
        <w:rPr>
          <w:rFonts w:hint="eastAsia" w:eastAsia="宋体"/>
          <w:color w:val="000000"/>
          <w:kern w:val="0"/>
          <w:sz w:val="22"/>
          <w:szCs w:val="22"/>
        </w:rPr>
        <w:t>d</w:t>
      </w:r>
      <w:r>
        <w:rPr>
          <w:rFonts w:hint="eastAsia"/>
          <w:b w:val="0"/>
          <w:bCs w:val="0"/>
          <w:sz w:val="22"/>
          <w:szCs w:val="22"/>
        </w:rPr>
        <w:t>,</w:t>
      </w:r>
      <w:r>
        <w:rPr>
          <w:rFonts w:eastAsia="宋体"/>
          <w:b w:val="0"/>
          <w:bCs w:val="0"/>
          <w:color w:val="262626"/>
          <w:sz w:val="22"/>
          <w:szCs w:val="22"/>
          <w:shd w:val="clear" w:color="auto" w:fill="FFFFFF"/>
        </w:rPr>
        <w:t xml:space="preserve">MS for the </w:t>
      </w:r>
      <w:r>
        <w:rPr>
          <w:b w:val="0"/>
          <w:bCs w:val="0"/>
          <w:sz w:val="22"/>
          <w:szCs w:val="22"/>
        </w:rPr>
        <w:t xml:space="preserve">synthesized phenyl-β-D-glucuronide. </w:t>
      </w:r>
      <w:r>
        <w:rPr>
          <w:b w:val="0"/>
          <w:sz w:val="22"/>
          <w:szCs w:val="22"/>
        </w:rPr>
        <w:t>IR (</w:t>
      </w:r>
      <w:r>
        <w:rPr>
          <w:rFonts w:eastAsia="宋体"/>
          <w:b w:val="0"/>
          <w:kern w:val="0"/>
          <w:sz w:val="22"/>
          <w:szCs w:val="22"/>
        </w:rPr>
        <w:t>neat, cm</w:t>
      </w:r>
      <w:r>
        <w:rPr>
          <w:rFonts w:eastAsia="宋体"/>
          <w:b w:val="0"/>
          <w:kern w:val="0"/>
          <w:sz w:val="22"/>
          <w:szCs w:val="22"/>
          <w:vertAlign w:val="superscript"/>
        </w:rPr>
        <w:t>-1</w:t>
      </w:r>
      <w:r>
        <w:rPr>
          <w:rFonts w:eastAsia="宋体"/>
          <w:b w:val="0"/>
          <w:kern w:val="0"/>
          <w:sz w:val="22"/>
          <w:szCs w:val="22"/>
        </w:rPr>
        <w:t>): 3502, 3456, 2900, 1743, 1600, 1492, 1415, 1226, 1080, 752, 690, 636</w:t>
      </w:r>
      <w:r>
        <w:rPr>
          <w:sz w:val="22"/>
          <w:szCs w:val="22"/>
        </w:rPr>
        <w:t xml:space="preserve">. </w:t>
      </w:r>
      <w:r>
        <w:rPr>
          <w:rFonts w:eastAsia="宋体"/>
          <w:b w:val="0"/>
          <w:kern w:val="0"/>
          <w:sz w:val="22"/>
          <w:szCs w:val="22"/>
        </w:rPr>
        <w:t>MS ESI: 288.1 [M+NH</w:t>
      </w:r>
      <w:r>
        <w:rPr>
          <w:rFonts w:eastAsia="宋体"/>
          <w:b w:val="0"/>
          <w:kern w:val="0"/>
          <w:sz w:val="22"/>
          <w:szCs w:val="22"/>
          <w:vertAlign w:val="subscript"/>
        </w:rPr>
        <w:t>4</w:t>
      </w:r>
      <w:r>
        <w:rPr>
          <w:rFonts w:eastAsia="宋体"/>
          <w:b w:val="0"/>
          <w:kern w:val="0"/>
          <w:sz w:val="22"/>
          <w:szCs w:val="22"/>
        </w:rPr>
        <w:t>]</w:t>
      </w:r>
      <w:r>
        <w:rPr>
          <w:rFonts w:eastAsia="宋体"/>
          <w:b w:val="0"/>
          <w:kern w:val="0"/>
          <w:sz w:val="22"/>
          <w:szCs w:val="22"/>
          <w:vertAlign w:val="superscript"/>
        </w:rPr>
        <w:t>+</w:t>
      </w:r>
      <w:r>
        <w:rPr>
          <w:rFonts w:eastAsia="宋体"/>
          <w:b w:val="0"/>
          <w:kern w:val="0"/>
          <w:sz w:val="22"/>
          <w:szCs w:val="22"/>
        </w:rPr>
        <w:t>.</w:t>
      </w:r>
    </w:p>
    <w:p w14:paraId="05B88561">
      <w:pPr>
        <w:autoSpaceDE w:val="0"/>
        <w:autoSpaceDN w:val="0"/>
        <w:adjustRightInd w:val="0"/>
        <w:spacing w:line="300" w:lineRule="auto"/>
        <w:rPr>
          <w:b w:val="0"/>
          <w:bCs w:val="0"/>
          <w:color w:val="24292F"/>
          <w:sz w:val="22"/>
          <w:szCs w:val="22"/>
        </w:rPr>
      </w:pPr>
      <w:r>
        <w:rPr>
          <w:sz w:val="22"/>
          <w:szCs w:val="22"/>
        </w:rPr>
        <w:drawing>
          <wp:anchor distT="0" distB="0" distL="114300" distR="114300" simplePos="0" relativeHeight="251663360" behindDoc="0" locked="0" layoutInCell="1" allowOverlap="1">
            <wp:simplePos x="0" y="0"/>
            <wp:positionH relativeFrom="column">
              <wp:posOffset>-163195</wp:posOffset>
            </wp:positionH>
            <wp:positionV relativeFrom="paragraph">
              <wp:posOffset>17780</wp:posOffset>
            </wp:positionV>
            <wp:extent cx="5630545" cy="3378200"/>
            <wp:effectExtent l="0" t="0" r="0" b="317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2"/>
                    <a:srcRect l="2086" r="1071" b="5425"/>
                    <a:stretch>
                      <a:fillRect/>
                    </a:stretch>
                  </pic:blipFill>
                  <pic:spPr>
                    <a:xfrm>
                      <a:off x="0" y="0"/>
                      <a:ext cx="5630545" cy="3378200"/>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Fig</w:t>
      </w:r>
      <w:r>
        <w:rPr>
          <w:rFonts w:hint="eastAsia"/>
          <w:sz w:val="22"/>
          <w:szCs w:val="22"/>
        </w:rPr>
        <w:t>ure</w:t>
      </w:r>
      <w:r>
        <w:rPr>
          <w:sz w:val="22"/>
          <w:szCs w:val="22"/>
        </w:rPr>
        <w:t xml:space="preserve"> 4</w:t>
      </w:r>
      <w:r>
        <w:rPr>
          <w:rFonts w:hint="eastAsia"/>
          <w:sz w:val="22"/>
          <w:szCs w:val="22"/>
        </w:rPr>
        <w:t>.</w:t>
      </w:r>
      <w:r>
        <w:rPr>
          <w:sz w:val="22"/>
          <w:szCs w:val="22"/>
        </w:rPr>
        <w:t xml:space="preserve"> Chemical properties of </w:t>
      </w:r>
      <w:r>
        <w:rPr>
          <w:color w:val="24292F"/>
          <w:sz w:val="22"/>
          <w:szCs w:val="22"/>
        </w:rPr>
        <w:t xml:space="preserve">phenyl-β-D-glucuronide. </w:t>
      </w:r>
      <w:r>
        <w:rPr>
          <w:rFonts w:hint="eastAsia" w:eastAsia="宋体"/>
          <w:color w:val="000000"/>
          <w:kern w:val="0"/>
          <w:sz w:val="22"/>
          <w:szCs w:val="22"/>
        </w:rPr>
        <w:t>a</w:t>
      </w:r>
      <w:r>
        <w:rPr>
          <w:rFonts w:hint="eastAsia"/>
          <w:b w:val="0"/>
          <w:bCs w:val="0"/>
          <w:sz w:val="22"/>
          <w:szCs w:val="22"/>
        </w:rPr>
        <w:t xml:space="preserve">, </w:t>
      </w:r>
      <w:r>
        <w:rPr>
          <w:b w:val="0"/>
          <w:bCs w:val="0"/>
          <w:sz w:val="22"/>
          <w:szCs w:val="22"/>
        </w:rPr>
        <w:t xml:space="preserve">GC spectra of the compounds in upper gas phase derived from </w:t>
      </w:r>
      <w:r>
        <w:rPr>
          <w:b w:val="0"/>
          <w:bCs w:val="0"/>
          <w:color w:val="24292F"/>
          <w:sz w:val="22"/>
          <w:szCs w:val="22"/>
        </w:rPr>
        <w:t xml:space="preserve">phenyl-β-D-glucuronide </w:t>
      </w:r>
      <w:r>
        <w:rPr>
          <w:b w:val="0"/>
          <w:bCs w:val="0"/>
          <w:sz w:val="22"/>
          <w:szCs w:val="22"/>
        </w:rPr>
        <w:t>and its enzymatic hydrolysis products. Vaporized phenol is solely found in the upper gas phase of the sample containing enzymatic hydrolysis products</w:t>
      </w:r>
      <w:r>
        <w:rPr>
          <w:rFonts w:hint="eastAsia"/>
          <w:b w:val="0"/>
          <w:bCs w:val="0"/>
          <w:sz w:val="22"/>
          <w:szCs w:val="22"/>
          <w:lang w:val="en-US" w:eastAsia="zh-CN"/>
        </w:rPr>
        <w:t>.</w:t>
      </w:r>
      <w:r>
        <w:rPr>
          <w:b w:val="0"/>
          <w:bCs w:val="0"/>
          <w:sz w:val="22"/>
          <w:szCs w:val="22"/>
        </w:rPr>
        <w:t xml:space="preserve"> </w:t>
      </w:r>
      <w:r>
        <w:rPr>
          <w:rFonts w:hint="eastAsia" w:eastAsia="宋体"/>
          <w:color w:val="000000"/>
          <w:kern w:val="0"/>
          <w:sz w:val="22"/>
          <w:szCs w:val="22"/>
        </w:rPr>
        <w:t>b</w:t>
      </w:r>
      <w:r>
        <w:rPr>
          <w:rFonts w:hint="eastAsia"/>
          <w:b w:val="0"/>
          <w:bCs w:val="0"/>
          <w:sz w:val="22"/>
          <w:szCs w:val="22"/>
        </w:rPr>
        <w:t xml:space="preserve">, </w:t>
      </w:r>
      <w:r>
        <w:rPr>
          <w:rFonts w:eastAsia="宋体"/>
          <w:b w:val="0"/>
          <w:bCs w:val="0"/>
          <w:sz w:val="22"/>
          <w:szCs w:val="22"/>
        </w:rPr>
        <w:t xml:space="preserve">UPLC-MS-PDA (at 280nm) spectra </w:t>
      </w:r>
      <w:r>
        <w:rPr>
          <w:b w:val="0"/>
          <w:bCs w:val="0"/>
          <w:color w:val="000000" w:themeColor="text1"/>
          <w:sz w:val="22"/>
          <w:szCs w:val="22"/>
          <w14:textFill>
            <w14:solidFill>
              <w14:schemeClr w14:val="tx1"/>
            </w14:solidFill>
          </w14:textFill>
        </w:rPr>
        <w:t>phenyl-β-D-glucuronide</w:t>
      </w:r>
      <w:r>
        <w:rPr>
          <w:rFonts w:eastAsia="宋体"/>
          <w:b w:val="0"/>
          <w:bCs w:val="0"/>
          <w:color w:val="000000" w:themeColor="text1"/>
          <w:sz w:val="22"/>
          <w:szCs w:val="22"/>
          <w14:textFill>
            <w14:solidFill>
              <w14:schemeClr w14:val="tx1"/>
            </w14:solidFill>
          </w14:textFill>
        </w:rPr>
        <w:t xml:space="preserve"> solutions</w:t>
      </w:r>
      <w:r>
        <w:rPr>
          <w:rFonts w:eastAsia="宋体"/>
          <w:b w:val="0"/>
          <w:bCs w:val="0"/>
          <w:sz w:val="22"/>
          <w:szCs w:val="22"/>
        </w:rPr>
        <w:t xml:space="preserve"> under different treatment. The similar peak area suggests the </w:t>
      </w:r>
      <w:r>
        <w:rPr>
          <w:b w:val="0"/>
          <w:bCs w:val="0"/>
          <w:color w:val="000000" w:themeColor="text1"/>
          <w:sz w:val="22"/>
          <w:szCs w:val="22"/>
          <w14:textFill>
            <w14:solidFill>
              <w14:schemeClr w14:val="tx1"/>
            </w14:solidFill>
          </w14:textFill>
        </w:rPr>
        <w:t>phenyl-β-D-glucuronide solution are stable under the aforementioned treatment.</w:t>
      </w:r>
      <w:r>
        <w:rPr>
          <w:rFonts w:eastAsia="宋体"/>
          <w:sz w:val="22"/>
          <w:szCs w:val="22"/>
        </w:rPr>
        <w:t xml:space="preserve"> </w:t>
      </w:r>
      <w:r>
        <w:rPr>
          <w:rFonts w:hint="eastAsia" w:eastAsia="宋体"/>
          <w:color w:val="000000"/>
          <w:kern w:val="0"/>
          <w:sz w:val="22"/>
          <w:szCs w:val="22"/>
        </w:rPr>
        <w:t>c</w:t>
      </w:r>
      <w:r>
        <w:rPr>
          <w:rFonts w:hint="eastAsia"/>
          <w:b w:val="0"/>
          <w:bCs w:val="0"/>
          <w:sz w:val="22"/>
          <w:szCs w:val="22"/>
        </w:rPr>
        <w:t xml:space="preserve">, </w:t>
      </w:r>
      <w:r>
        <w:rPr>
          <w:rFonts w:eastAsia="宋体"/>
          <w:b w:val="0"/>
          <w:bCs w:val="0"/>
          <w:sz w:val="22"/>
          <w:szCs w:val="22"/>
        </w:rPr>
        <w:t xml:space="preserve">Comparison of peak intensity for phenol vapor standard and upper vapor components of </w:t>
      </w:r>
      <w:r>
        <w:rPr>
          <w:b w:val="0"/>
          <w:bCs w:val="0"/>
          <w:color w:val="000000" w:themeColor="text1"/>
          <w:sz w:val="22"/>
          <w:szCs w:val="22"/>
          <w14:textFill>
            <w14:solidFill>
              <w14:schemeClr w14:val="tx1"/>
            </w14:solidFill>
          </w14:textFill>
        </w:rPr>
        <w:t>phenyl-β-D-glucuronide</w:t>
      </w:r>
      <w:r>
        <w:rPr>
          <w:rFonts w:eastAsia="宋体"/>
          <w:b w:val="0"/>
          <w:bCs w:val="0"/>
          <w:color w:val="000000" w:themeColor="text1"/>
          <w:sz w:val="22"/>
          <w:szCs w:val="22"/>
          <w14:textFill>
            <w14:solidFill>
              <w14:schemeClr w14:val="tx1"/>
            </w14:solidFill>
          </w14:textFill>
        </w:rPr>
        <w:t xml:space="preserve"> solutions</w:t>
      </w:r>
      <w:r>
        <w:rPr>
          <w:rFonts w:eastAsia="宋体"/>
          <w:b w:val="0"/>
          <w:bCs w:val="0"/>
          <w:sz w:val="22"/>
          <w:szCs w:val="22"/>
        </w:rPr>
        <w:t xml:space="preserve"> under different treatment. </w:t>
      </w:r>
      <w:r>
        <w:rPr>
          <w:b w:val="0"/>
          <w:bCs w:val="0"/>
          <w:color w:val="000000" w:themeColor="text1"/>
          <w:sz w:val="22"/>
          <w:szCs w:val="22"/>
          <w14:textFill>
            <w14:solidFill>
              <w14:schemeClr w14:val="tx1"/>
            </w14:solidFill>
          </w14:textFill>
        </w:rPr>
        <w:t>No obvious phenol peak observed for the treated phenyl-β-D-glucuronide</w:t>
      </w:r>
      <w:r>
        <w:rPr>
          <w:rFonts w:eastAsia="宋体"/>
          <w:b w:val="0"/>
          <w:bCs w:val="0"/>
          <w:color w:val="000000" w:themeColor="text1"/>
          <w:sz w:val="22"/>
          <w:szCs w:val="22"/>
          <w14:textFill>
            <w14:solidFill>
              <w14:schemeClr w14:val="tx1"/>
            </w14:solidFill>
          </w14:textFill>
        </w:rPr>
        <w:t xml:space="preserve"> solutions further indicates good stability of </w:t>
      </w:r>
      <w:r>
        <w:rPr>
          <w:b w:val="0"/>
          <w:bCs w:val="0"/>
          <w:color w:val="000000" w:themeColor="text1"/>
          <w:sz w:val="22"/>
          <w:szCs w:val="22"/>
          <w14:textFill>
            <w14:solidFill>
              <w14:schemeClr w14:val="tx1"/>
            </w14:solidFill>
          </w14:textFill>
        </w:rPr>
        <w:t>phenyl-β-D-glucuronide</w:t>
      </w:r>
      <w:r>
        <w:rPr>
          <w:rFonts w:eastAsia="宋体"/>
          <w:b w:val="0"/>
          <w:bCs w:val="0"/>
          <w:color w:val="000000" w:themeColor="text1"/>
          <w:sz w:val="22"/>
          <w:szCs w:val="22"/>
          <w14:textFill>
            <w14:solidFill>
              <w14:schemeClr w14:val="tx1"/>
            </w14:solidFill>
          </w14:textFill>
        </w:rPr>
        <w:t xml:space="preserve"> solutions. These results imply that </w:t>
      </w:r>
      <w:r>
        <w:rPr>
          <w:b w:val="0"/>
          <w:bCs w:val="0"/>
          <w:sz w:val="22"/>
          <w:szCs w:val="22"/>
        </w:rPr>
        <w:t xml:space="preserve">the </w:t>
      </w:r>
      <w:r>
        <w:rPr>
          <w:b w:val="0"/>
          <w:bCs w:val="0"/>
          <w:sz w:val="22"/>
          <w:szCs w:val="22"/>
        </w:rPr>
        <w:t>r</w:t>
      </w:r>
      <w:r>
        <w:rPr>
          <w:b w:val="0"/>
          <w:bCs w:val="0"/>
          <w:sz w:val="22"/>
          <w:szCs w:val="22"/>
        </w:rPr>
        <w:t xml:space="preserve">elease of phenol is entirely derived from the enzymatic hydrolysis reaction, since </w:t>
      </w:r>
      <w:r>
        <w:rPr>
          <w:b w:val="0"/>
          <w:bCs w:val="0"/>
          <w:color w:val="24292F"/>
          <w:sz w:val="22"/>
          <w:szCs w:val="22"/>
        </w:rPr>
        <w:t xml:space="preserve">it </w:t>
      </w:r>
      <w:r>
        <w:rPr>
          <w:rFonts w:hint="eastAsia"/>
          <w:b w:val="0"/>
          <w:bCs w:val="0"/>
          <w:color w:val="24292F"/>
          <w:sz w:val="22"/>
          <w:szCs w:val="22"/>
        </w:rPr>
        <w:t>is</w:t>
      </w:r>
      <w:r>
        <w:rPr>
          <w:b w:val="0"/>
          <w:bCs w:val="0"/>
          <w:sz w:val="22"/>
          <w:szCs w:val="22"/>
        </w:rPr>
        <w:t xml:space="preserve"> experimentally evidenced that phenyl-β-D-glucuronide remained stable without decomposition for 2 weeks when stored at 4</w:t>
      </w:r>
      <w:r>
        <w:rPr>
          <w:b w:val="0"/>
          <w:bCs w:val="0"/>
          <w:sz w:val="22"/>
          <w:szCs w:val="22"/>
          <w:vertAlign w:val="superscript"/>
        </w:rPr>
        <w:t>o</w:t>
      </w:r>
      <w:r>
        <w:rPr>
          <w:b w:val="0"/>
          <w:bCs w:val="0"/>
          <w:sz w:val="22"/>
          <w:szCs w:val="22"/>
        </w:rPr>
        <w:t>C and for 7 hours kept at 38.5</w:t>
      </w:r>
      <w:r>
        <w:rPr>
          <w:b w:val="0"/>
          <w:bCs w:val="0"/>
          <w:sz w:val="22"/>
          <w:szCs w:val="22"/>
          <w:vertAlign w:val="superscript"/>
        </w:rPr>
        <w:t>o</w:t>
      </w:r>
      <w:r>
        <w:rPr>
          <w:b w:val="0"/>
          <w:bCs w:val="0"/>
          <w:sz w:val="22"/>
          <w:szCs w:val="22"/>
        </w:rPr>
        <w:t>C.</w:t>
      </w:r>
    </w:p>
    <w:p w14:paraId="185426CA">
      <w:pPr>
        <w:autoSpaceDE w:val="0"/>
        <w:autoSpaceDN w:val="0"/>
        <w:adjustRightInd w:val="0"/>
        <w:spacing w:line="300" w:lineRule="auto"/>
        <w:rPr>
          <w:b w:val="0"/>
          <w:bCs w:val="0"/>
          <w:sz w:val="22"/>
          <w:szCs w:val="22"/>
        </w:rPr>
      </w:pPr>
      <w:r>
        <w:rPr>
          <w:sz w:val="22"/>
          <w:szCs w:val="22"/>
        </w:rPr>
        <w:drawing>
          <wp:anchor distT="0" distB="0" distL="114300" distR="114300" simplePos="0" relativeHeight="251664384" behindDoc="0" locked="0" layoutInCell="1" allowOverlap="1">
            <wp:simplePos x="0" y="0"/>
            <wp:positionH relativeFrom="column">
              <wp:posOffset>57150</wp:posOffset>
            </wp:positionH>
            <wp:positionV relativeFrom="paragraph">
              <wp:posOffset>64135</wp:posOffset>
            </wp:positionV>
            <wp:extent cx="5121910" cy="4121150"/>
            <wp:effectExtent l="0" t="0" r="2540" b="317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3"/>
                    <a:srcRect l="1644" t="970" r="3906" b="1745"/>
                    <a:stretch>
                      <a:fillRect/>
                    </a:stretch>
                  </pic:blipFill>
                  <pic:spPr>
                    <a:xfrm>
                      <a:off x="0" y="0"/>
                      <a:ext cx="5121910" cy="4121150"/>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Fig</w:t>
      </w:r>
      <w:r>
        <w:rPr>
          <w:rFonts w:hint="eastAsia"/>
          <w:sz w:val="22"/>
          <w:szCs w:val="22"/>
        </w:rPr>
        <w:t xml:space="preserve">ure </w:t>
      </w:r>
      <w:r>
        <w:rPr>
          <w:sz w:val="22"/>
          <w:szCs w:val="22"/>
        </w:rPr>
        <w:t>5</w:t>
      </w:r>
      <w:r>
        <w:rPr>
          <w:rFonts w:hint="eastAsia"/>
          <w:sz w:val="22"/>
          <w:szCs w:val="22"/>
        </w:rPr>
        <w:t>.</w:t>
      </w:r>
      <w:r>
        <w:rPr>
          <w:sz w:val="22"/>
          <w:szCs w:val="22"/>
        </w:rPr>
        <w:t xml:space="preserve"> Analysis of phenol level in </w:t>
      </w:r>
      <w:r>
        <w:rPr>
          <w:rFonts w:hint="eastAsia"/>
          <w:sz w:val="22"/>
          <w:szCs w:val="22"/>
        </w:rPr>
        <w:t>exhaled breath</w:t>
      </w:r>
      <w:r>
        <w:rPr>
          <w:sz w:val="22"/>
          <w:szCs w:val="22"/>
        </w:rPr>
        <w:t xml:space="preserve">. </w:t>
      </w:r>
      <w:r>
        <w:rPr>
          <w:rFonts w:hint="eastAsia"/>
          <w:sz w:val="22"/>
          <w:szCs w:val="22"/>
        </w:rPr>
        <w:t>a</w:t>
      </w:r>
      <w:r>
        <w:rPr>
          <w:rFonts w:hint="eastAsia"/>
          <w:b w:val="0"/>
          <w:bCs w:val="0"/>
          <w:sz w:val="22"/>
          <w:szCs w:val="22"/>
        </w:rPr>
        <w:t xml:space="preserve">, </w:t>
      </w:r>
      <w:r>
        <w:rPr>
          <w:b w:val="0"/>
          <w:bCs w:val="0"/>
          <w:sz w:val="22"/>
          <w:szCs w:val="22"/>
        </w:rPr>
        <w:t xml:space="preserve">Illustration of extracting and analyzing phenol-based breath marker </w:t>
      </w:r>
      <w:r>
        <w:rPr>
          <w:rFonts w:hint="eastAsia"/>
          <w:b w:val="0"/>
          <w:bCs w:val="0"/>
          <w:sz w:val="22"/>
          <w:szCs w:val="22"/>
        </w:rPr>
        <w:t xml:space="preserve">in </w:t>
      </w:r>
      <w:r>
        <w:rPr>
          <w:b w:val="0"/>
          <w:bCs w:val="0"/>
          <w:sz w:val="22"/>
          <w:szCs w:val="22"/>
        </w:rPr>
        <w:t>breath</w:t>
      </w:r>
      <w:r>
        <w:rPr>
          <w:rFonts w:hint="eastAsia"/>
          <w:b w:val="0"/>
          <w:bCs w:val="0"/>
          <w:sz w:val="22"/>
          <w:szCs w:val="22"/>
        </w:rPr>
        <w:t xml:space="preserve"> sample</w:t>
      </w:r>
      <w:r>
        <w:rPr>
          <w:b w:val="0"/>
          <w:bCs w:val="0"/>
          <w:sz w:val="22"/>
          <w:szCs w:val="22"/>
        </w:rPr>
        <w:t>.</w:t>
      </w:r>
      <w:r>
        <w:rPr>
          <w:sz w:val="22"/>
          <w:szCs w:val="22"/>
        </w:rPr>
        <w:t xml:space="preserve"> </w:t>
      </w:r>
      <w:r>
        <w:rPr>
          <w:rFonts w:hint="eastAsia"/>
          <w:sz w:val="22"/>
          <w:szCs w:val="22"/>
        </w:rPr>
        <w:t>b</w:t>
      </w:r>
      <w:r>
        <w:rPr>
          <w:rFonts w:hint="eastAsia"/>
          <w:b w:val="0"/>
          <w:bCs w:val="0"/>
          <w:sz w:val="22"/>
          <w:szCs w:val="22"/>
        </w:rPr>
        <w:t xml:space="preserve">, </w:t>
      </w:r>
      <w:r>
        <w:rPr>
          <w:b w:val="0"/>
          <w:bCs w:val="0"/>
          <w:sz w:val="22"/>
          <w:szCs w:val="22"/>
        </w:rPr>
        <w:t>Variation of the induced phenol level in breath sample derived from health mice (n = 5 for each administration)</w:t>
      </w:r>
      <w:r>
        <w:rPr>
          <w:rFonts w:hint="eastAsia"/>
          <w:b w:val="0"/>
          <w:bCs w:val="0"/>
          <w:sz w:val="22"/>
          <w:szCs w:val="22"/>
        </w:rPr>
        <w:t>,</w:t>
      </w:r>
      <w:r>
        <w:rPr>
          <w:b w:val="0"/>
          <w:bCs w:val="0"/>
          <w:sz w:val="22"/>
          <w:szCs w:val="22"/>
        </w:rPr>
        <w:t xml:space="preserve"> at the </w:t>
      </w:r>
      <w:r>
        <w:rPr>
          <w:b w:val="0"/>
          <w:bCs w:val="0"/>
          <w:color w:val="24292F"/>
          <w:sz w:val="22"/>
          <w:szCs w:val="22"/>
        </w:rPr>
        <w:t xml:space="preserve">phenyl-β-D-glucuronide dosage in the range </w:t>
      </w:r>
      <w:r>
        <w:rPr>
          <w:b w:val="0"/>
          <w:bCs w:val="0"/>
          <w:sz w:val="22"/>
          <w:szCs w:val="22"/>
        </w:rPr>
        <w:t xml:space="preserve">of 0-2500μg/kg. A minimal background signal of phenol in exhaled breath of healthy </w:t>
      </w:r>
      <w:r>
        <w:rPr>
          <w:rFonts w:hint="eastAsia"/>
          <w:b w:val="0"/>
          <w:bCs w:val="0"/>
          <w:sz w:val="22"/>
          <w:szCs w:val="22"/>
        </w:rPr>
        <w:t>mice</w:t>
      </w:r>
      <w:r>
        <w:rPr>
          <w:b w:val="0"/>
          <w:bCs w:val="0"/>
          <w:sz w:val="22"/>
          <w:szCs w:val="22"/>
        </w:rPr>
        <w:t xml:space="preserve"> </w:t>
      </w:r>
      <w:r>
        <w:rPr>
          <w:rFonts w:hint="eastAsia"/>
          <w:b w:val="0"/>
          <w:bCs w:val="0"/>
          <w:sz w:val="22"/>
          <w:szCs w:val="22"/>
        </w:rPr>
        <w:t>was</w:t>
      </w:r>
      <w:r>
        <w:rPr>
          <w:b w:val="0"/>
          <w:bCs w:val="0"/>
          <w:sz w:val="22"/>
          <w:szCs w:val="22"/>
        </w:rPr>
        <w:t xml:space="preserve"> found at the </w:t>
      </w:r>
      <w:r>
        <w:rPr>
          <w:b w:val="0"/>
          <w:bCs w:val="0"/>
          <w:color w:val="24292F"/>
          <w:sz w:val="22"/>
          <w:szCs w:val="22"/>
        </w:rPr>
        <w:t>phenyl-β-D-glucuronide</w:t>
      </w:r>
      <w:r>
        <w:rPr>
          <w:rFonts w:hint="eastAsia"/>
          <w:b w:val="0"/>
          <w:bCs w:val="0"/>
          <w:color w:val="24292F"/>
          <w:sz w:val="22"/>
          <w:szCs w:val="22"/>
        </w:rPr>
        <w:t xml:space="preserve"> dosage up to </w:t>
      </w:r>
      <w:r>
        <w:rPr>
          <w:b w:val="0"/>
          <w:bCs w:val="0"/>
          <w:sz w:val="22"/>
          <w:szCs w:val="22"/>
        </w:rPr>
        <w:t>200 μg/kg</w:t>
      </w:r>
      <w:r>
        <w:rPr>
          <w:b w:val="0"/>
          <w:bCs w:val="0"/>
          <w:color w:val="24292F"/>
          <w:sz w:val="22"/>
          <w:szCs w:val="22"/>
        </w:rPr>
        <w:t>, suggesting the optimal dosage is around 200</w:t>
      </w:r>
      <w:r>
        <w:rPr>
          <w:b w:val="0"/>
          <w:bCs w:val="0"/>
          <w:sz w:val="22"/>
          <w:szCs w:val="22"/>
        </w:rPr>
        <w:t>μg/kg.</w:t>
      </w:r>
      <w:r>
        <w:rPr>
          <w:sz w:val="22"/>
          <w:szCs w:val="22"/>
        </w:rPr>
        <w:t xml:space="preserve"> </w:t>
      </w:r>
      <w:r>
        <w:rPr>
          <w:rFonts w:hint="eastAsia"/>
          <w:sz w:val="22"/>
          <w:szCs w:val="22"/>
        </w:rPr>
        <w:t>c</w:t>
      </w:r>
      <w:r>
        <w:rPr>
          <w:rFonts w:hint="eastAsia"/>
          <w:b w:val="0"/>
          <w:bCs w:val="0"/>
          <w:sz w:val="22"/>
          <w:szCs w:val="22"/>
        </w:rPr>
        <w:t>,</w:t>
      </w:r>
      <w:r>
        <w:rPr>
          <w:rFonts w:hint="eastAsia"/>
          <w:sz w:val="22"/>
          <w:szCs w:val="22"/>
        </w:rPr>
        <w:t xml:space="preserve"> </w:t>
      </w:r>
      <w:r>
        <w:rPr>
          <w:b w:val="0"/>
          <w:bCs w:val="0"/>
          <w:sz w:val="22"/>
          <w:szCs w:val="22"/>
        </w:rPr>
        <w:t>Impact of</w:t>
      </w:r>
      <w:r>
        <w:rPr>
          <w:rFonts w:hint="eastAsia"/>
          <w:b w:val="0"/>
          <w:bCs w:val="0"/>
          <w:sz w:val="22"/>
          <w:szCs w:val="22"/>
        </w:rPr>
        <w:t xml:space="preserve"> </w:t>
      </w:r>
      <w:r>
        <w:rPr>
          <w:b w:val="0"/>
          <w:bCs w:val="0"/>
          <w:color w:val="24292F"/>
          <w:sz w:val="22"/>
          <w:szCs w:val="22"/>
        </w:rPr>
        <w:t>mouse incubator temperature during sampling on phenol level</w:t>
      </w:r>
      <w:r>
        <w:rPr>
          <w:rFonts w:hint="eastAsia"/>
          <w:b w:val="0"/>
          <w:bCs w:val="0"/>
          <w:color w:val="24292F"/>
          <w:sz w:val="22"/>
          <w:szCs w:val="22"/>
        </w:rPr>
        <w:t xml:space="preserve">. The </w:t>
      </w:r>
      <w:r>
        <w:rPr>
          <w:b w:val="0"/>
          <w:bCs w:val="0"/>
          <w:color w:val="24292F"/>
          <w:sz w:val="22"/>
          <w:szCs w:val="22"/>
        </w:rPr>
        <w:t xml:space="preserve">gastric tumor bearing mice (n = 5) </w:t>
      </w:r>
      <w:r>
        <w:rPr>
          <w:rFonts w:hint="eastAsia"/>
          <w:b w:val="0"/>
          <w:bCs w:val="0"/>
          <w:color w:val="24292F"/>
          <w:sz w:val="22"/>
          <w:szCs w:val="22"/>
        </w:rPr>
        <w:t>was</w:t>
      </w:r>
      <w:r>
        <w:rPr>
          <w:b w:val="0"/>
          <w:bCs w:val="0"/>
          <w:color w:val="24292F"/>
          <w:sz w:val="22"/>
          <w:szCs w:val="22"/>
        </w:rPr>
        <w:t xml:space="preserve"> </w:t>
      </w:r>
      <w:r>
        <w:rPr>
          <w:rFonts w:hint="eastAsia"/>
          <w:b w:val="0"/>
          <w:bCs w:val="0"/>
          <w:color w:val="24292F"/>
          <w:sz w:val="22"/>
          <w:szCs w:val="22"/>
        </w:rPr>
        <w:t xml:space="preserve">administrated with </w:t>
      </w:r>
      <w:r>
        <w:rPr>
          <w:b w:val="0"/>
          <w:bCs w:val="0"/>
          <w:sz w:val="22"/>
          <w:szCs w:val="22"/>
        </w:rPr>
        <w:t xml:space="preserve">200μg/kg of </w:t>
      </w:r>
      <w:r>
        <w:rPr>
          <w:b w:val="0"/>
          <w:bCs w:val="0"/>
          <w:color w:val="24292F"/>
          <w:sz w:val="22"/>
          <w:szCs w:val="22"/>
        </w:rPr>
        <w:t>phenyl-β-D-glucuronide</w:t>
      </w:r>
      <w:r>
        <w:rPr>
          <w:rFonts w:hint="eastAsia"/>
          <w:b w:val="0"/>
          <w:bCs w:val="0"/>
          <w:color w:val="24292F"/>
          <w:sz w:val="22"/>
          <w:szCs w:val="22"/>
        </w:rPr>
        <w:t xml:space="preserve">. It can be deduced that the optimal </w:t>
      </w:r>
      <w:r>
        <w:rPr>
          <w:b w:val="0"/>
          <w:bCs w:val="0"/>
          <w:sz w:val="22"/>
          <w:szCs w:val="22"/>
        </w:rPr>
        <w:t>incubator temperature</w:t>
      </w:r>
      <w:r>
        <w:rPr>
          <w:rFonts w:hint="eastAsia"/>
          <w:b w:val="0"/>
          <w:bCs w:val="0"/>
          <w:color w:val="24292F"/>
          <w:sz w:val="22"/>
          <w:szCs w:val="22"/>
        </w:rPr>
        <w:t xml:space="preserve"> is 28</w:t>
      </w:r>
      <w:r>
        <w:rPr>
          <w:b w:val="0"/>
          <w:bCs w:val="0"/>
          <w:color w:val="24292F"/>
          <w:sz w:val="22"/>
          <w:szCs w:val="22"/>
          <w:vertAlign w:val="superscript"/>
        </w:rPr>
        <w:t>o</w:t>
      </w:r>
      <w:r>
        <w:rPr>
          <w:b w:val="0"/>
          <w:bCs w:val="0"/>
          <w:color w:val="24292F"/>
          <w:sz w:val="22"/>
          <w:szCs w:val="22"/>
        </w:rPr>
        <w:t>C</w:t>
      </w:r>
      <w:r>
        <w:rPr>
          <w:rFonts w:hint="eastAsia"/>
          <w:b w:val="0"/>
          <w:bCs w:val="0"/>
          <w:color w:val="24292F"/>
          <w:sz w:val="22"/>
          <w:szCs w:val="22"/>
        </w:rPr>
        <w:t xml:space="preserve">. </w:t>
      </w:r>
      <w:r>
        <w:rPr>
          <w:rFonts w:hint="eastAsia"/>
          <w:sz w:val="22"/>
          <w:szCs w:val="22"/>
        </w:rPr>
        <w:t>d</w:t>
      </w:r>
      <w:r>
        <w:rPr>
          <w:rFonts w:hint="eastAsia"/>
          <w:b w:val="0"/>
          <w:bCs w:val="0"/>
          <w:sz w:val="22"/>
          <w:szCs w:val="22"/>
        </w:rPr>
        <w:t>,</w:t>
      </w:r>
      <w:r>
        <w:rPr>
          <w:rFonts w:hint="eastAsia"/>
          <w:sz w:val="22"/>
          <w:szCs w:val="22"/>
        </w:rPr>
        <w:t xml:space="preserve"> </w:t>
      </w:r>
      <w:r>
        <w:rPr>
          <w:b w:val="0"/>
          <w:bCs w:val="0"/>
          <w:color w:val="24292F"/>
          <w:sz w:val="22"/>
          <w:szCs w:val="22"/>
        </w:rPr>
        <w:t xml:space="preserve">Dependence of </w:t>
      </w:r>
      <w:r>
        <w:rPr>
          <w:b w:val="0"/>
          <w:bCs w:val="0"/>
          <w:sz w:val="22"/>
          <w:szCs w:val="22"/>
        </w:rPr>
        <w:t xml:space="preserve">the induced phenol </w:t>
      </w:r>
      <w:r>
        <w:rPr>
          <w:rFonts w:hint="eastAsia"/>
          <w:b w:val="0"/>
          <w:bCs w:val="0"/>
          <w:sz w:val="22"/>
          <w:szCs w:val="22"/>
        </w:rPr>
        <w:t>level</w:t>
      </w:r>
      <w:r>
        <w:rPr>
          <w:b w:val="0"/>
          <w:bCs w:val="0"/>
          <w:color w:val="24292F"/>
          <w:sz w:val="22"/>
          <w:szCs w:val="22"/>
        </w:rPr>
        <w:t xml:space="preserve"> </w:t>
      </w:r>
      <w:r>
        <w:rPr>
          <w:rFonts w:hint="eastAsia"/>
          <w:b w:val="0"/>
          <w:bCs w:val="0"/>
          <w:color w:val="24292F"/>
          <w:sz w:val="22"/>
          <w:szCs w:val="22"/>
        </w:rPr>
        <w:t xml:space="preserve">in breath sample </w:t>
      </w:r>
      <w:r>
        <w:rPr>
          <w:b w:val="0"/>
          <w:bCs w:val="0"/>
          <w:color w:val="24292F"/>
          <w:sz w:val="22"/>
          <w:szCs w:val="22"/>
        </w:rPr>
        <w:t xml:space="preserve">on the sampling time, after </w:t>
      </w:r>
      <w:r>
        <w:rPr>
          <w:rFonts w:hint="eastAsia"/>
          <w:b w:val="0"/>
          <w:bCs w:val="0"/>
          <w:color w:val="24292F"/>
          <w:sz w:val="22"/>
          <w:szCs w:val="22"/>
        </w:rPr>
        <w:t xml:space="preserve">the mice were </w:t>
      </w:r>
      <w:r>
        <w:rPr>
          <w:b w:val="0"/>
          <w:bCs w:val="0"/>
          <w:color w:val="24292F"/>
          <w:sz w:val="22"/>
          <w:szCs w:val="22"/>
        </w:rPr>
        <w:t>administrat</w:t>
      </w:r>
      <w:r>
        <w:rPr>
          <w:rFonts w:hint="eastAsia"/>
          <w:b w:val="0"/>
          <w:bCs w:val="0"/>
          <w:color w:val="24292F"/>
          <w:sz w:val="22"/>
          <w:szCs w:val="22"/>
        </w:rPr>
        <w:t>ed</w:t>
      </w:r>
      <w:r>
        <w:rPr>
          <w:b w:val="0"/>
          <w:bCs w:val="0"/>
          <w:color w:val="24292F"/>
          <w:sz w:val="22"/>
          <w:szCs w:val="22"/>
        </w:rPr>
        <w:t xml:space="preserve"> </w:t>
      </w:r>
      <w:r>
        <w:rPr>
          <w:rFonts w:hint="eastAsia"/>
          <w:b w:val="0"/>
          <w:bCs w:val="0"/>
          <w:color w:val="24292F"/>
          <w:sz w:val="22"/>
          <w:szCs w:val="22"/>
        </w:rPr>
        <w:t xml:space="preserve">with </w:t>
      </w:r>
      <w:r>
        <w:rPr>
          <w:b w:val="0"/>
          <w:bCs w:val="0"/>
          <w:sz w:val="22"/>
          <w:szCs w:val="22"/>
        </w:rPr>
        <w:t xml:space="preserve">200μg/kg </w:t>
      </w:r>
      <w:r>
        <w:rPr>
          <w:b w:val="0"/>
          <w:bCs w:val="0"/>
          <w:color w:val="24292F"/>
          <w:sz w:val="22"/>
          <w:szCs w:val="22"/>
        </w:rPr>
        <w:t xml:space="preserve">exogenous agent </w:t>
      </w:r>
      <w:r>
        <w:rPr>
          <w:rFonts w:hint="eastAsia"/>
          <w:b w:val="0"/>
          <w:bCs w:val="0"/>
          <w:color w:val="24292F"/>
          <w:sz w:val="22"/>
          <w:szCs w:val="22"/>
        </w:rPr>
        <w:t xml:space="preserve">and kept </w:t>
      </w:r>
      <w:r>
        <w:rPr>
          <w:b w:val="0"/>
          <w:bCs w:val="0"/>
          <w:color w:val="24292F"/>
          <w:sz w:val="22"/>
          <w:szCs w:val="22"/>
        </w:rPr>
        <w:t>at the</w:t>
      </w:r>
      <w:r>
        <w:rPr>
          <w:color w:val="24292F"/>
          <w:sz w:val="22"/>
          <w:szCs w:val="22"/>
        </w:rPr>
        <w:t xml:space="preserve"> </w:t>
      </w:r>
      <w:r>
        <w:rPr>
          <w:b w:val="0"/>
          <w:bCs w:val="0"/>
          <w:color w:val="24292F"/>
          <w:sz w:val="22"/>
          <w:szCs w:val="22"/>
        </w:rPr>
        <w:t>incubator temperature</w:t>
      </w:r>
      <w:r>
        <w:rPr>
          <w:color w:val="24292F"/>
          <w:sz w:val="22"/>
          <w:szCs w:val="22"/>
        </w:rPr>
        <w:t xml:space="preserve"> </w:t>
      </w:r>
      <w:r>
        <w:rPr>
          <w:b w:val="0"/>
          <w:bCs w:val="0"/>
          <w:color w:val="24292F"/>
          <w:sz w:val="22"/>
          <w:szCs w:val="22"/>
        </w:rPr>
        <w:t>of 28</w:t>
      </w:r>
      <w:r>
        <w:rPr>
          <w:b w:val="0"/>
          <w:bCs w:val="0"/>
          <w:color w:val="24292F"/>
          <w:sz w:val="22"/>
          <w:szCs w:val="22"/>
          <w:vertAlign w:val="superscript"/>
        </w:rPr>
        <w:t>o</w:t>
      </w:r>
      <w:r>
        <w:rPr>
          <w:b w:val="0"/>
          <w:bCs w:val="0"/>
          <w:color w:val="24292F"/>
          <w:sz w:val="22"/>
          <w:szCs w:val="22"/>
        </w:rPr>
        <w:t>C (n = 5). Phenol level in exhaled breath almost reach</w:t>
      </w:r>
      <w:r>
        <w:rPr>
          <w:rFonts w:hint="eastAsia"/>
          <w:b w:val="0"/>
          <w:bCs w:val="0"/>
          <w:color w:val="24292F"/>
          <w:sz w:val="22"/>
          <w:szCs w:val="22"/>
        </w:rPr>
        <w:t>ed</w:t>
      </w:r>
      <w:r>
        <w:rPr>
          <w:b w:val="0"/>
          <w:bCs w:val="0"/>
          <w:color w:val="24292F"/>
          <w:sz w:val="22"/>
          <w:szCs w:val="22"/>
        </w:rPr>
        <w:t xml:space="preserve"> the maximum value at 1h. </w:t>
      </w:r>
      <w:r>
        <w:rPr>
          <w:b w:val="0"/>
          <w:bCs w:val="0"/>
          <w:sz w:val="22"/>
          <w:szCs w:val="22"/>
        </w:rPr>
        <w:t xml:space="preserve">Dependence of GC peak intensity on phenol level in the range of </w:t>
      </w:r>
      <w:r>
        <w:rPr>
          <w:rFonts w:hint="eastAsia"/>
          <w:sz w:val="22"/>
          <w:szCs w:val="22"/>
        </w:rPr>
        <w:t>e</w:t>
      </w:r>
      <w:r>
        <w:rPr>
          <w:rFonts w:hint="eastAsia"/>
          <w:b w:val="0"/>
          <w:bCs w:val="0"/>
          <w:sz w:val="22"/>
          <w:szCs w:val="22"/>
        </w:rPr>
        <w:t>,</w:t>
      </w:r>
      <w:r>
        <w:rPr>
          <w:sz w:val="22"/>
          <w:szCs w:val="22"/>
        </w:rPr>
        <w:t xml:space="preserve"> </w:t>
      </w:r>
      <w:r>
        <w:rPr>
          <w:b w:val="0"/>
          <w:bCs w:val="0"/>
          <w:sz w:val="22"/>
          <w:szCs w:val="22"/>
        </w:rPr>
        <w:t>0-500ppb</w:t>
      </w:r>
      <w:r>
        <w:rPr>
          <w:rFonts w:hint="eastAsia"/>
          <w:b w:val="0"/>
          <w:bCs w:val="0"/>
          <w:sz w:val="22"/>
          <w:szCs w:val="22"/>
        </w:rPr>
        <w:t xml:space="preserve"> and </w:t>
      </w:r>
      <w:r>
        <w:rPr>
          <w:rFonts w:hint="eastAsia"/>
          <w:sz w:val="22"/>
          <w:szCs w:val="22"/>
        </w:rPr>
        <w:t>f</w:t>
      </w:r>
      <w:r>
        <w:rPr>
          <w:rFonts w:hint="eastAsia"/>
          <w:b w:val="0"/>
          <w:bCs w:val="0"/>
          <w:sz w:val="22"/>
          <w:szCs w:val="22"/>
        </w:rPr>
        <w:t>,</w:t>
      </w:r>
      <w:r>
        <w:rPr>
          <w:rFonts w:hint="eastAsia"/>
          <w:sz w:val="22"/>
          <w:szCs w:val="22"/>
        </w:rPr>
        <w:t xml:space="preserve"> </w:t>
      </w:r>
      <w:r>
        <w:rPr>
          <w:b w:val="0"/>
          <w:bCs w:val="0"/>
          <w:sz w:val="22"/>
          <w:szCs w:val="22"/>
        </w:rPr>
        <w:t xml:space="preserve">0-250ppb, </w:t>
      </w:r>
      <w:r>
        <w:rPr>
          <w:rFonts w:hint="eastAsia"/>
          <w:b w:val="0"/>
          <w:bCs w:val="0"/>
          <w:sz w:val="22"/>
          <w:szCs w:val="22"/>
        </w:rPr>
        <w:t>i</w:t>
      </w:r>
      <w:r>
        <w:rPr>
          <w:b w:val="0"/>
          <w:bCs w:val="0"/>
          <w:sz w:val="22"/>
          <w:szCs w:val="22"/>
        </w:rPr>
        <w:t>nset: 0-50ppb.</w:t>
      </w:r>
    </w:p>
    <w:p w14:paraId="28FF7A0E">
      <w:pPr>
        <w:autoSpaceDE w:val="0"/>
        <w:autoSpaceDN w:val="0"/>
        <w:adjustRightInd w:val="0"/>
        <w:spacing w:line="300" w:lineRule="auto"/>
        <w:rPr>
          <w:b w:val="0"/>
          <w:bCs w:val="0"/>
          <w:sz w:val="22"/>
          <w:szCs w:val="22"/>
        </w:rPr>
      </w:pPr>
      <w:r>
        <w:rPr>
          <w:sz w:val="22"/>
          <w:szCs w:val="22"/>
        </w:rPr>
        <w:drawing>
          <wp:anchor distT="0" distB="0" distL="114300" distR="114300" simplePos="0" relativeHeight="251665408" behindDoc="0" locked="0" layoutInCell="1" allowOverlap="1">
            <wp:simplePos x="0" y="0"/>
            <wp:positionH relativeFrom="column">
              <wp:posOffset>175895</wp:posOffset>
            </wp:positionH>
            <wp:positionV relativeFrom="paragraph">
              <wp:posOffset>77470</wp:posOffset>
            </wp:positionV>
            <wp:extent cx="4871085" cy="6794500"/>
            <wp:effectExtent l="0" t="0" r="5715" b="635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4"/>
                    <a:srcRect l="2267"/>
                    <a:stretch>
                      <a:fillRect/>
                    </a:stretch>
                  </pic:blipFill>
                  <pic:spPr>
                    <a:xfrm>
                      <a:off x="0" y="0"/>
                      <a:ext cx="4871085" cy="6794500"/>
                    </a:xfrm>
                    <a:prstGeom prst="rect">
                      <a:avLst/>
                    </a:prstGeom>
                    <a:noFill/>
                    <a:ln>
                      <a:noFill/>
                    </a:ln>
                  </pic:spPr>
                </pic:pic>
              </a:graphicData>
            </a:graphic>
          </wp:anchor>
        </w:drawing>
      </w:r>
      <w:r>
        <w:rPr>
          <w:rFonts w:hint="eastAsia"/>
          <w:sz w:val="22"/>
          <w:szCs w:val="22"/>
        </w:rPr>
        <w:t xml:space="preserve">Supplementary </w:t>
      </w:r>
      <w:r>
        <w:rPr>
          <w:sz w:val="22"/>
          <w:szCs w:val="22"/>
        </w:rPr>
        <w:t xml:space="preserve">Figure </w:t>
      </w:r>
      <w:r>
        <w:rPr>
          <w:rFonts w:hint="eastAsia"/>
          <w:sz w:val="22"/>
          <w:szCs w:val="22"/>
        </w:rPr>
        <w:t xml:space="preserve">6. </w:t>
      </w:r>
      <w:r>
        <w:rPr>
          <w:sz w:val="22"/>
          <w:szCs w:val="22"/>
        </w:rPr>
        <w:t>Pharmacokinetics</w:t>
      </w:r>
      <w:r>
        <w:rPr>
          <w:rFonts w:hint="eastAsia"/>
          <w:sz w:val="22"/>
          <w:szCs w:val="22"/>
        </w:rPr>
        <w:t xml:space="preserve"> properties of </w:t>
      </w:r>
      <w:r>
        <w:rPr>
          <w:sz w:val="22"/>
          <w:szCs w:val="22"/>
        </w:rPr>
        <w:t>phenyl-β-D-glucuronide</w:t>
      </w:r>
      <w:r>
        <w:rPr>
          <w:rFonts w:hint="eastAsia"/>
          <w:sz w:val="22"/>
          <w:szCs w:val="22"/>
        </w:rPr>
        <w:t>. a</w:t>
      </w:r>
      <w:r>
        <w:rPr>
          <w:rFonts w:hint="eastAsia"/>
          <w:b w:val="0"/>
          <w:bCs w:val="0"/>
          <w:sz w:val="22"/>
          <w:szCs w:val="22"/>
        </w:rPr>
        <w:t xml:space="preserve">, </w:t>
      </w:r>
      <w:r>
        <w:rPr>
          <w:b w:val="0"/>
          <w:bCs w:val="0"/>
          <w:sz w:val="22"/>
          <w:szCs w:val="22"/>
        </w:rPr>
        <w:t xml:space="preserve">Mean </w:t>
      </w:r>
      <w:r>
        <w:rPr>
          <w:rFonts w:hint="eastAsia"/>
          <w:b w:val="0"/>
          <w:bCs w:val="0"/>
          <w:sz w:val="22"/>
          <w:szCs w:val="22"/>
        </w:rPr>
        <w:t>phenol</w:t>
      </w:r>
      <w:r>
        <w:rPr>
          <w:b w:val="0"/>
          <w:bCs w:val="0"/>
          <w:sz w:val="22"/>
          <w:szCs w:val="22"/>
        </w:rPr>
        <w:t xml:space="preserve"> concentration-time pr</w:t>
      </w:r>
      <w:r>
        <w:rPr>
          <w:rFonts w:hint="eastAsia"/>
          <w:b w:val="0"/>
          <w:bCs w:val="0"/>
          <w:sz w:val="22"/>
          <w:szCs w:val="22"/>
        </w:rPr>
        <w:t xml:space="preserve">ofile </w:t>
      </w:r>
      <w:r>
        <w:rPr>
          <w:b w:val="0"/>
          <w:bCs w:val="0"/>
          <w:sz w:val="22"/>
          <w:szCs w:val="22"/>
        </w:rPr>
        <w:t xml:space="preserve">in </w:t>
      </w:r>
      <w:r>
        <w:rPr>
          <w:rFonts w:hint="eastAsia"/>
          <w:b w:val="0"/>
          <w:bCs w:val="0"/>
          <w:sz w:val="22"/>
          <w:szCs w:val="22"/>
        </w:rPr>
        <w:t>exhaled breath</w:t>
      </w:r>
      <w:r>
        <w:rPr>
          <w:b w:val="0"/>
          <w:bCs w:val="0"/>
          <w:sz w:val="22"/>
          <w:szCs w:val="22"/>
        </w:rPr>
        <w:t xml:space="preserve"> following a single </w:t>
      </w:r>
      <w:r>
        <w:rPr>
          <w:rFonts w:hint="eastAsia"/>
          <w:b w:val="0"/>
          <w:bCs w:val="0"/>
          <w:sz w:val="22"/>
          <w:szCs w:val="22"/>
        </w:rPr>
        <w:t>i</w:t>
      </w:r>
      <w:r>
        <w:rPr>
          <w:b w:val="0"/>
          <w:bCs w:val="0"/>
          <w:sz w:val="22"/>
          <w:szCs w:val="22"/>
        </w:rPr>
        <w:t xml:space="preserve">ntravenous administration </w:t>
      </w:r>
      <w:r>
        <w:rPr>
          <w:rFonts w:hint="eastAsia"/>
          <w:b w:val="0"/>
          <w:bCs w:val="0"/>
          <w:sz w:val="22"/>
          <w:szCs w:val="22"/>
        </w:rPr>
        <w:t xml:space="preserve">(2mg/kg) </w:t>
      </w:r>
      <w:r>
        <w:rPr>
          <w:b w:val="0"/>
          <w:bCs w:val="0"/>
          <w:sz w:val="22"/>
          <w:szCs w:val="22"/>
        </w:rPr>
        <w:t xml:space="preserve">of phenyl-β-D-glucuronide in </w:t>
      </w:r>
      <w:r>
        <w:rPr>
          <w:rFonts w:hint="eastAsia"/>
          <w:b w:val="0"/>
          <w:bCs w:val="0"/>
          <w:sz w:val="22"/>
          <w:szCs w:val="22"/>
        </w:rPr>
        <w:t>mice</w:t>
      </w:r>
      <w:r>
        <w:rPr>
          <w:b w:val="0"/>
          <w:bCs w:val="0"/>
          <w:sz w:val="22"/>
          <w:szCs w:val="22"/>
        </w:rPr>
        <w:t xml:space="preserve"> (n = </w:t>
      </w:r>
      <w:r>
        <w:rPr>
          <w:rFonts w:hint="eastAsia"/>
          <w:b w:val="0"/>
          <w:bCs w:val="0"/>
          <w:sz w:val="22"/>
          <w:szCs w:val="22"/>
        </w:rPr>
        <w:t>4</w:t>
      </w:r>
      <w:r>
        <w:rPr>
          <w:b w:val="0"/>
          <w:bCs w:val="0"/>
          <w:sz w:val="22"/>
          <w:szCs w:val="22"/>
        </w:rPr>
        <w:t>).</w:t>
      </w:r>
      <w:r>
        <w:rPr>
          <w:rFonts w:hint="eastAsia"/>
          <w:b w:val="0"/>
          <w:bCs w:val="0"/>
          <w:sz w:val="22"/>
          <w:szCs w:val="22"/>
        </w:rPr>
        <w:t xml:space="preserve"> </w:t>
      </w:r>
      <w:r>
        <w:rPr>
          <w:rFonts w:hint="eastAsia"/>
          <w:sz w:val="22"/>
          <w:szCs w:val="22"/>
        </w:rPr>
        <w:t>b</w:t>
      </w:r>
      <w:r>
        <w:rPr>
          <w:rFonts w:hint="eastAsia"/>
          <w:b w:val="0"/>
          <w:bCs w:val="0"/>
          <w:sz w:val="22"/>
          <w:szCs w:val="22"/>
        </w:rPr>
        <w:t>,</w:t>
      </w:r>
      <w:r>
        <w:rPr>
          <w:rFonts w:hint="eastAsia"/>
          <w:sz w:val="22"/>
          <w:szCs w:val="22"/>
        </w:rPr>
        <w:t xml:space="preserve"> </w:t>
      </w:r>
      <w:r>
        <w:rPr>
          <w:b w:val="0"/>
          <w:bCs w:val="0"/>
          <w:sz w:val="22"/>
          <w:szCs w:val="22"/>
        </w:rPr>
        <w:t xml:space="preserve">Concentration (mean ± SD) levels of phenyl-β-D-glucuronide in rat tissues at </w:t>
      </w:r>
      <w:r>
        <w:rPr>
          <w:rFonts w:hint="eastAsia"/>
          <w:b w:val="0"/>
          <w:bCs w:val="0"/>
          <w:sz w:val="22"/>
          <w:szCs w:val="22"/>
        </w:rPr>
        <w:t xml:space="preserve">0.5, </w:t>
      </w:r>
      <w:r>
        <w:rPr>
          <w:b w:val="0"/>
          <w:bCs w:val="0"/>
          <w:sz w:val="22"/>
          <w:szCs w:val="22"/>
        </w:rPr>
        <w:t xml:space="preserve">1, </w:t>
      </w:r>
      <w:r>
        <w:rPr>
          <w:rFonts w:hint="eastAsia"/>
          <w:b w:val="0"/>
          <w:bCs w:val="0"/>
          <w:sz w:val="22"/>
          <w:szCs w:val="22"/>
        </w:rPr>
        <w:t xml:space="preserve">2, 4, </w:t>
      </w:r>
      <w:r>
        <w:rPr>
          <w:b w:val="0"/>
          <w:bCs w:val="0"/>
          <w:sz w:val="22"/>
          <w:szCs w:val="22"/>
        </w:rPr>
        <w:t xml:space="preserve">6 and 12 h, after </w:t>
      </w:r>
      <w:r>
        <w:rPr>
          <w:rFonts w:hint="eastAsia"/>
          <w:b w:val="0"/>
          <w:bCs w:val="0"/>
          <w:sz w:val="22"/>
          <w:szCs w:val="22"/>
        </w:rPr>
        <w:t>i</w:t>
      </w:r>
      <w:r>
        <w:rPr>
          <w:b w:val="0"/>
          <w:bCs w:val="0"/>
          <w:sz w:val="22"/>
          <w:szCs w:val="22"/>
        </w:rPr>
        <w:t xml:space="preserve">ntragastric (20 mg/kg) administration (n = </w:t>
      </w:r>
      <w:r>
        <w:rPr>
          <w:rFonts w:hint="eastAsia"/>
          <w:b w:val="0"/>
          <w:bCs w:val="0"/>
          <w:sz w:val="22"/>
          <w:szCs w:val="22"/>
        </w:rPr>
        <w:t>5</w:t>
      </w:r>
      <w:r>
        <w:rPr>
          <w:b w:val="0"/>
          <w:bCs w:val="0"/>
          <w:sz w:val="22"/>
          <w:szCs w:val="22"/>
        </w:rPr>
        <w:t>).</w:t>
      </w:r>
      <w:bookmarkStart w:id="0" w:name="_GoBack"/>
      <w:bookmarkEnd w:id="0"/>
    </w:p>
    <w:p w14:paraId="4981FAD0">
      <w:pPr>
        <w:autoSpaceDE w:val="0"/>
        <w:autoSpaceDN w:val="0"/>
        <w:adjustRightInd w:val="0"/>
        <w:spacing w:line="300" w:lineRule="auto"/>
        <w:rPr>
          <w:rFonts w:eastAsia="宋体"/>
          <w:kern w:val="0"/>
          <w:sz w:val="22"/>
          <w:szCs w:val="22"/>
        </w:rPr>
      </w:pPr>
      <w:r>
        <w:rPr>
          <w:sz w:val="22"/>
          <w:szCs w:val="22"/>
        </w:rPr>
        <w:drawing>
          <wp:anchor distT="0" distB="0" distL="114300" distR="114300" simplePos="0" relativeHeight="251666432" behindDoc="0" locked="0" layoutInCell="1" allowOverlap="1">
            <wp:simplePos x="0" y="0"/>
            <wp:positionH relativeFrom="column">
              <wp:posOffset>-146685</wp:posOffset>
            </wp:positionH>
            <wp:positionV relativeFrom="paragraph">
              <wp:posOffset>97155</wp:posOffset>
            </wp:positionV>
            <wp:extent cx="5537200" cy="5239385"/>
            <wp:effectExtent l="0" t="0" r="6350" b="889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5"/>
                    <a:stretch>
                      <a:fillRect/>
                    </a:stretch>
                  </pic:blipFill>
                  <pic:spPr>
                    <a:xfrm>
                      <a:off x="0" y="0"/>
                      <a:ext cx="5537200" cy="5239385"/>
                    </a:xfrm>
                    <a:prstGeom prst="rect">
                      <a:avLst/>
                    </a:prstGeom>
                    <a:noFill/>
                    <a:ln>
                      <a:noFill/>
                    </a:ln>
                  </pic:spPr>
                </pic:pic>
              </a:graphicData>
            </a:graphic>
          </wp:anchor>
        </w:drawing>
      </w:r>
      <w:r>
        <w:rPr>
          <w:rFonts w:hint="eastAsia"/>
          <w:sz w:val="22"/>
          <w:szCs w:val="22"/>
        </w:rPr>
        <w:t xml:space="preserve">Supplementary </w:t>
      </w:r>
      <w:r>
        <w:rPr>
          <w:sz w:val="22"/>
          <w:szCs w:val="22"/>
        </w:rPr>
        <w:t>Fig</w:t>
      </w:r>
      <w:r>
        <w:rPr>
          <w:rFonts w:hint="eastAsia"/>
          <w:sz w:val="22"/>
          <w:szCs w:val="22"/>
        </w:rPr>
        <w:t>ure</w:t>
      </w:r>
      <w:r>
        <w:rPr>
          <w:sz w:val="22"/>
          <w:szCs w:val="22"/>
        </w:rPr>
        <w:t xml:space="preserve"> </w:t>
      </w:r>
      <w:r>
        <w:rPr>
          <w:rFonts w:hint="eastAsia"/>
          <w:sz w:val="22"/>
          <w:szCs w:val="22"/>
        </w:rPr>
        <w:t>7. F</w:t>
      </w:r>
      <w:r>
        <w:rPr>
          <w:sz w:val="22"/>
          <w:szCs w:val="22"/>
        </w:rPr>
        <w:t>abrication and characterization</w:t>
      </w:r>
      <w:r>
        <w:rPr>
          <w:rFonts w:hint="eastAsia"/>
          <w:sz w:val="22"/>
          <w:szCs w:val="22"/>
        </w:rPr>
        <w:t xml:space="preserve"> of p</w:t>
      </w:r>
      <w:r>
        <w:rPr>
          <w:sz w:val="22"/>
          <w:szCs w:val="22"/>
        </w:rPr>
        <w:t xml:space="preserve">henol sensor. </w:t>
      </w:r>
      <w:r>
        <w:rPr>
          <w:rFonts w:hint="eastAsia"/>
          <w:sz w:val="22"/>
          <w:szCs w:val="22"/>
        </w:rPr>
        <w:t>a</w:t>
      </w:r>
      <w:r>
        <w:rPr>
          <w:rFonts w:hint="eastAsia"/>
          <w:b w:val="0"/>
          <w:bCs w:val="0"/>
          <w:sz w:val="22"/>
          <w:szCs w:val="22"/>
        </w:rPr>
        <w:t xml:space="preserve">, </w:t>
      </w:r>
      <w:r>
        <w:rPr>
          <w:b w:val="0"/>
          <w:bCs w:val="0"/>
          <w:sz w:val="22"/>
          <w:szCs w:val="22"/>
        </w:rPr>
        <w:t xml:space="preserve">Illustration and photographic image of the auto-gas blending system for for providing VOCs at pre-set concentration. </w:t>
      </w:r>
      <w:r>
        <w:rPr>
          <w:rFonts w:hint="eastAsia"/>
          <w:sz w:val="22"/>
          <w:szCs w:val="22"/>
        </w:rPr>
        <w:t>b</w:t>
      </w:r>
      <w:r>
        <w:rPr>
          <w:rFonts w:hint="eastAsia"/>
          <w:b w:val="0"/>
          <w:bCs w:val="0"/>
          <w:sz w:val="22"/>
          <w:szCs w:val="22"/>
        </w:rPr>
        <w:t xml:space="preserve">, </w:t>
      </w:r>
      <w:r>
        <w:rPr>
          <w:b w:val="0"/>
          <w:bCs w:val="0"/>
          <w:sz w:val="22"/>
          <w:szCs w:val="22"/>
        </w:rPr>
        <w:t>Comparison of the</w:t>
      </w:r>
      <w:r>
        <w:rPr>
          <w:sz w:val="22"/>
          <w:szCs w:val="22"/>
        </w:rPr>
        <w:t xml:space="preserve"> </w:t>
      </w:r>
      <w:r>
        <w:rPr>
          <w:b w:val="0"/>
          <w:bCs w:val="0"/>
          <w:sz w:val="22"/>
          <w:szCs w:val="22"/>
        </w:rPr>
        <w:t xml:space="preserve">gas adsorption capacity for various metallic oxide-based sensing materials towards acetone, phenol, styrene, hexanal, ethanol, n-hexane and ethylbenzene. </w:t>
      </w:r>
      <w:r>
        <w:rPr>
          <w:rFonts w:hint="eastAsia"/>
          <w:sz w:val="22"/>
          <w:szCs w:val="22"/>
        </w:rPr>
        <w:t>c</w:t>
      </w:r>
      <w:r>
        <w:rPr>
          <w:rFonts w:hint="eastAsia"/>
          <w:b w:val="0"/>
          <w:bCs w:val="0"/>
          <w:sz w:val="22"/>
          <w:szCs w:val="22"/>
        </w:rPr>
        <w:t xml:space="preserve">, </w:t>
      </w:r>
      <w:r>
        <w:rPr>
          <w:b w:val="0"/>
          <w:bCs w:val="0"/>
          <w:sz w:val="22"/>
          <w:szCs w:val="22"/>
        </w:rPr>
        <w:t>Schematic view of fabricating YSZ-based phenol sensor.</w:t>
      </w:r>
      <w:r>
        <w:rPr>
          <w:sz w:val="22"/>
          <w:szCs w:val="22"/>
        </w:rPr>
        <w:t xml:space="preserve"> </w:t>
      </w:r>
      <w:r>
        <w:rPr>
          <w:rFonts w:hint="eastAsia"/>
          <w:sz w:val="22"/>
          <w:szCs w:val="22"/>
        </w:rPr>
        <w:t>d</w:t>
      </w:r>
      <w:r>
        <w:rPr>
          <w:rFonts w:hint="eastAsia"/>
          <w:b w:val="0"/>
          <w:bCs w:val="0"/>
          <w:sz w:val="22"/>
          <w:szCs w:val="22"/>
        </w:rPr>
        <w:t xml:space="preserve">, </w:t>
      </w:r>
      <w:r>
        <w:rPr>
          <w:b w:val="0"/>
          <w:bCs w:val="0"/>
          <w:sz w:val="22"/>
          <w:szCs w:val="22"/>
        </w:rPr>
        <w:t>Impact of calcination and operating temperature</w:t>
      </w:r>
      <w:r>
        <w:rPr>
          <w:sz w:val="22"/>
          <w:szCs w:val="22"/>
        </w:rPr>
        <w:t xml:space="preserve"> </w:t>
      </w:r>
      <w:r>
        <w:rPr>
          <w:b w:val="0"/>
          <w:bCs w:val="0"/>
          <w:sz w:val="22"/>
          <w:szCs w:val="22"/>
        </w:rPr>
        <w:t>on sensing characteristics of the YSZ-based phenol sensor utilizing Cr</w:t>
      </w:r>
      <w:r>
        <w:rPr>
          <w:b w:val="0"/>
          <w:bCs w:val="0"/>
          <w:sz w:val="22"/>
          <w:szCs w:val="22"/>
          <w:vertAlign w:val="subscript"/>
        </w:rPr>
        <w:t>2</w:t>
      </w:r>
      <w:r>
        <w:rPr>
          <w:b w:val="0"/>
          <w:bCs w:val="0"/>
          <w:sz w:val="22"/>
          <w:szCs w:val="22"/>
        </w:rPr>
        <w:t>O</w:t>
      </w:r>
      <w:r>
        <w:rPr>
          <w:b w:val="0"/>
          <w:bCs w:val="0"/>
          <w:sz w:val="22"/>
          <w:szCs w:val="22"/>
          <w:vertAlign w:val="subscript"/>
        </w:rPr>
        <w:t>3</w:t>
      </w:r>
      <w:r>
        <w:rPr>
          <w:b w:val="0"/>
          <w:bCs w:val="0"/>
          <w:sz w:val="22"/>
          <w:szCs w:val="22"/>
        </w:rPr>
        <w:t>-SE</w:t>
      </w:r>
      <w:r>
        <w:rPr>
          <w:rFonts w:hint="eastAsia"/>
          <w:b w:val="0"/>
          <w:bCs w:val="0"/>
          <w:sz w:val="22"/>
          <w:szCs w:val="22"/>
        </w:rPr>
        <w:t>, Pt-CE</w:t>
      </w:r>
      <w:r>
        <w:rPr>
          <w:b w:val="0"/>
          <w:bCs w:val="0"/>
          <w:sz w:val="22"/>
          <w:szCs w:val="22"/>
        </w:rPr>
        <w:t xml:space="preserve"> and Mn-based RE. </w:t>
      </w:r>
      <w:r>
        <w:rPr>
          <w:rFonts w:hint="eastAsia"/>
          <w:sz w:val="22"/>
          <w:szCs w:val="22"/>
        </w:rPr>
        <w:t>e</w:t>
      </w:r>
      <w:r>
        <w:rPr>
          <w:rFonts w:hint="eastAsia"/>
          <w:b w:val="0"/>
          <w:bCs w:val="0"/>
          <w:sz w:val="22"/>
          <w:szCs w:val="22"/>
        </w:rPr>
        <w:t xml:space="preserve">, </w:t>
      </w:r>
      <w:r>
        <w:rPr>
          <w:b w:val="0"/>
          <w:bCs w:val="0"/>
          <w:sz w:val="22"/>
          <w:szCs w:val="22"/>
        </w:rPr>
        <w:t>Step response of the sensor to phenol in the range of 50-600 ppb.</w:t>
      </w:r>
      <w:r>
        <w:rPr>
          <w:rFonts w:hint="eastAsia"/>
          <w:b w:val="0"/>
          <w:bCs w:val="0"/>
          <w:sz w:val="22"/>
          <w:szCs w:val="22"/>
        </w:rPr>
        <w:t xml:space="preserve"> </w:t>
      </w:r>
      <w:r>
        <w:rPr>
          <w:rFonts w:hint="eastAsia"/>
          <w:sz w:val="22"/>
          <w:szCs w:val="22"/>
        </w:rPr>
        <w:t>f</w:t>
      </w:r>
      <w:r>
        <w:rPr>
          <w:rFonts w:hint="eastAsia"/>
          <w:b w:val="0"/>
          <w:bCs w:val="0"/>
          <w:sz w:val="22"/>
          <w:szCs w:val="22"/>
        </w:rPr>
        <w:t xml:space="preserve">, </w:t>
      </w:r>
      <w:r>
        <w:rPr>
          <w:b w:val="0"/>
          <w:bCs w:val="0"/>
          <w:sz w:val="22"/>
          <w:szCs w:val="22"/>
        </w:rPr>
        <w:t>90% response/recovery time of the developed sensor.</w:t>
      </w:r>
      <w:r>
        <w:rPr>
          <w:sz w:val="22"/>
          <w:szCs w:val="22"/>
        </w:rPr>
        <w:t xml:space="preserve"> </w:t>
      </w:r>
      <w:r>
        <w:rPr>
          <w:rFonts w:hint="eastAsia"/>
          <w:sz w:val="22"/>
          <w:szCs w:val="22"/>
        </w:rPr>
        <w:t>g</w:t>
      </w:r>
      <w:r>
        <w:rPr>
          <w:rFonts w:hint="eastAsia"/>
          <w:b w:val="0"/>
          <w:bCs w:val="0"/>
          <w:sz w:val="22"/>
          <w:szCs w:val="22"/>
        </w:rPr>
        <w:t xml:space="preserve">, </w:t>
      </w:r>
      <w:r>
        <w:rPr>
          <w:b w:val="0"/>
          <w:bCs w:val="0"/>
          <w:sz w:val="22"/>
          <w:szCs w:val="22"/>
        </w:rPr>
        <w:t xml:space="preserve">Long term stability of the sensor. </w:t>
      </w:r>
      <w:r>
        <w:rPr>
          <w:rFonts w:hint="eastAsia"/>
          <w:sz w:val="22"/>
          <w:szCs w:val="22"/>
        </w:rPr>
        <w:t>h</w:t>
      </w:r>
      <w:r>
        <w:rPr>
          <w:rFonts w:hint="eastAsia"/>
          <w:b w:val="0"/>
          <w:bCs w:val="0"/>
          <w:sz w:val="22"/>
          <w:szCs w:val="22"/>
        </w:rPr>
        <w:t xml:space="preserve">, </w:t>
      </w:r>
      <w:r>
        <w:rPr>
          <w:b w:val="0"/>
          <w:bCs w:val="0"/>
          <w:sz w:val="22"/>
          <w:szCs w:val="22"/>
        </w:rPr>
        <w:t>Impact of ambient humidity on response behavior.</w:t>
      </w:r>
    </w:p>
    <w:p w14:paraId="4960ECA4">
      <w:pPr>
        <w:keepNext w:val="0"/>
        <w:keepLines w:val="0"/>
        <w:pageBreakBefore w:val="0"/>
        <w:widowControl w:val="0"/>
        <w:kinsoku/>
        <w:wordWrap/>
        <w:overflowPunct/>
        <w:topLinePunct w:val="0"/>
        <w:autoSpaceDE/>
        <w:autoSpaceDN/>
        <w:bidi w:val="0"/>
        <w:adjustRightInd/>
        <w:snapToGrid/>
        <w:spacing w:line="300" w:lineRule="auto"/>
        <w:textAlignment w:val="auto"/>
        <w:rPr>
          <w:b w:val="0"/>
          <w:bCs w:val="0"/>
          <w:sz w:val="22"/>
          <w:szCs w:val="22"/>
        </w:rPr>
      </w:pPr>
      <w:r>
        <w:rPr>
          <w:rFonts w:hint="eastAsia"/>
          <w:sz w:val="22"/>
          <w:szCs w:val="22"/>
        </w:rPr>
        <w:t>Supplementary</w:t>
      </w:r>
      <w:r>
        <w:rPr>
          <w:sz w:val="22"/>
          <w:szCs w:val="22"/>
        </w:rPr>
        <w:drawing>
          <wp:anchor distT="0" distB="0" distL="114300" distR="114300" simplePos="0" relativeHeight="251659264" behindDoc="0" locked="0" layoutInCell="1" allowOverlap="1">
            <wp:simplePos x="0" y="0"/>
            <wp:positionH relativeFrom="column">
              <wp:posOffset>0</wp:posOffset>
            </wp:positionH>
            <wp:positionV relativeFrom="paragraph">
              <wp:posOffset>11430</wp:posOffset>
            </wp:positionV>
            <wp:extent cx="5269230" cy="7503795"/>
            <wp:effectExtent l="0" t="0" r="7620" b="1905"/>
            <wp:wrapTopAndBottom/>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26"/>
                    <a:stretch>
                      <a:fillRect/>
                    </a:stretch>
                  </pic:blipFill>
                  <pic:spPr>
                    <a:xfrm>
                      <a:off x="0" y="0"/>
                      <a:ext cx="5269230" cy="7503795"/>
                    </a:xfrm>
                    <a:prstGeom prst="rect">
                      <a:avLst/>
                    </a:prstGeom>
                    <a:noFill/>
                    <a:ln>
                      <a:noFill/>
                    </a:ln>
                  </pic:spPr>
                </pic:pic>
              </a:graphicData>
            </a:graphic>
          </wp:anchor>
        </w:drawing>
      </w:r>
      <w:r>
        <w:rPr>
          <w:rFonts w:hint="eastAsia"/>
          <w:sz w:val="22"/>
          <w:szCs w:val="22"/>
        </w:rPr>
        <w:t xml:space="preserve"> </w:t>
      </w:r>
      <w:r>
        <w:rPr>
          <w:sz w:val="22"/>
          <w:szCs w:val="22"/>
        </w:rPr>
        <w:t>Fig</w:t>
      </w:r>
      <w:r>
        <w:rPr>
          <w:rFonts w:hint="eastAsia"/>
          <w:sz w:val="22"/>
          <w:szCs w:val="22"/>
        </w:rPr>
        <w:t>ure 8</w:t>
      </w:r>
      <w:r>
        <w:rPr>
          <w:sz w:val="22"/>
          <w:szCs w:val="22"/>
        </w:rPr>
        <w:t xml:space="preserve">. </w:t>
      </w:r>
      <w:r>
        <w:rPr>
          <w:rFonts w:hint="eastAsia"/>
          <w:b w:val="0"/>
          <w:bCs w:val="0"/>
          <w:sz w:val="22"/>
          <w:szCs w:val="22"/>
        </w:rPr>
        <w:t>Schematic diagram of the circuit board for the handheld breath-analyzer.</w:t>
      </w:r>
    </w:p>
    <w:p w14:paraId="046660A1">
      <w:pPr>
        <w:keepNext w:val="0"/>
        <w:keepLines w:val="0"/>
        <w:pageBreakBefore w:val="0"/>
        <w:widowControl w:val="0"/>
        <w:kinsoku/>
        <w:wordWrap/>
        <w:overflowPunct/>
        <w:topLinePunct w:val="0"/>
        <w:autoSpaceDE/>
        <w:autoSpaceDN/>
        <w:bidi w:val="0"/>
        <w:adjustRightInd/>
        <w:snapToGrid/>
        <w:spacing w:line="300" w:lineRule="auto"/>
        <w:textAlignment w:val="auto"/>
      </w:pPr>
      <w:r>
        <w:rPr>
          <w:sz w:val="22"/>
          <w:szCs w:val="22"/>
        </w:rPr>
        <w:drawing>
          <wp:anchor distT="0" distB="0" distL="114300" distR="114300" simplePos="0" relativeHeight="251667456" behindDoc="0" locked="0" layoutInCell="1" allowOverlap="1">
            <wp:simplePos x="0" y="0"/>
            <wp:positionH relativeFrom="column">
              <wp:posOffset>71755</wp:posOffset>
            </wp:positionH>
            <wp:positionV relativeFrom="paragraph">
              <wp:posOffset>78105</wp:posOffset>
            </wp:positionV>
            <wp:extent cx="5083810" cy="6052185"/>
            <wp:effectExtent l="0" t="0" r="2540" b="571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7"/>
                    <a:stretch>
                      <a:fillRect/>
                    </a:stretch>
                  </pic:blipFill>
                  <pic:spPr>
                    <a:xfrm>
                      <a:off x="0" y="0"/>
                      <a:ext cx="5083810" cy="6052185"/>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Fig</w:t>
      </w:r>
      <w:r>
        <w:rPr>
          <w:rFonts w:hint="eastAsia"/>
          <w:sz w:val="22"/>
          <w:szCs w:val="22"/>
        </w:rPr>
        <w:t>ure</w:t>
      </w:r>
      <w:r>
        <w:rPr>
          <w:sz w:val="22"/>
          <w:szCs w:val="22"/>
        </w:rPr>
        <w:t xml:space="preserve"> </w:t>
      </w:r>
      <w:r>
        <w:rPr>
          <w:rFonts w:hint="eastAsia"/>
          <w:sz w:val="22"/>
          <w:szCs w:val="22"/>
        </w:rPr>
        <w:t>9.</w:t>
      </w:r>
      <w:r>
        <w:rPr>
          <w:sz w:val="22"/>
          <w:szCs w:val="22"/>
        </w:rPr>
        <w:t xml:space="preserve"> </w:t>
      </w:r>
      <w:r>
        <w:rPr>
          <w:rFonts w:hint="eastAsia"/>
          <w:sz w:val="22"/>
          <w:szCs w:val="22"/>
        </w:rPr>
        <w:t>Characterization</w:t>
      </w:r>
      <w:r>
        <w:rPr>
          <w:sz w:val="22"/>
          <w:szCs w:val="22"/>
        </w:rPr>
        <w:t xml:space="preserve"> of handheld breath-analyzer. </w:t>
      </w:r>
      <w:r>
        <w:rPr>
          <w:rFonts w:hint="eastAsia"/>
          <w:sz w:val="22"/>
          <w:szCs w:val="22"/>
        </w:rPr>
        <w:t>a</w:t>
      </w:r>
      <w:r>
        <w:rPr>
          <w:rFonts w:hint="eastAsia"/>
          <w:b w:val="0"/>
          <w:bCs w:val="0"/>
          <w:sz w:val="22"/>
          <w:szCs w:val="22"/>
        </w:rPr>
        <w:t>,</w:t>
      </w:r>
      <w:r>
        <w:rPr>
          <w:rFonts w:hint="eastAsia"/>
          <w:sz w:val="22"/>
          <w:szCs w:val="22"/>
        </w:rPr>
        <w:t xml:space="preserve"> </w:t>
      </w:r>
      <w:r>
        <w:rPr>
          <w:b w:val="0"/>
          <w:bCs w:val="0"/>
          <w:sz w:val="22"/>
          <w:szCs w:val="22"/>
        </w:rPr>
        <w:t>Operating diagram of the handheld breath-analyzer.</w:t>
      </w:r>
      <w:r>
        <w:rPr>
          <w:rFonts w:hint="eastAsia"/>
          <w:b w:val="0"/>
          <w:bCs w:val="0"/>
          <w:sz w:val="22"/>
          <w:szCs w:val="22"/>
        </w:rPr>
        <w:t xml:space="preserve"> </w:t>
      </w:r>
      <w:r>
        <w:rPr>
          <w:rFonts w:hint="eastAsia"/>
          <w:sz w:val="22"/>
          <w:szCs w:val="22"/>
        </w:rPr>
        <w:t>b</w:t>
      </w:r>
      <w:r>
        <w:rPr>
          <w:rFonts w:hint="eastAsia"/>
          <w:b w:val="0"/>
          <w:bCs w:val="0"/>
          <w:sz w:val="22"/>
          <w:szCs w:val="22"/>
        </w:rPr>
        <w:t>,</w:t>
      </w:r>
      <w:r>
        <w:rPr>
          <w:rFonts w:hint="eastAsia"/>
          <w:sz w:val="22"/>
          <w:szCs w:val="22"/>
        </w:rPr>
        <w:t xml:space="preserve"> </w:t>
      </w:r>
      <w:r>
        <w:rPr>
          <w:b w:val="0"/>
          <w:bCs w:val="0"/>
          <w:sz w:val="22"/>
          <w:szCs w:val="22"/>
        </w:rPr>
        <w:t>Sample gas transmission path and location of the electrochemical phenol sensor in the breath-analyzer.</w:t>
      </w:r>
      <w:r>
        <w:rPr>
          <w:sz w:val="22"/>
          <w:szCs w:val="22"/>
        </w:rPr>
        <w:t xml:space="preserve"> </w:t>
      </w:r>
      <w:r>
        <w:rPr>
          <w:rFonts w:hint="eastAsia"/>
          <w:sz w:val="22"/>
          <w:szCs w:val="22"/>
        </w:rPr>
        <w:t>c</w:t>
      </w:r>
      <w:r>
        <w:rPr>
          <w:rFonts w:hint="eastAsia"/>
          <w:b w:val="0"/>
          <w:bCs w:val="0"/>
          <w:sz w:val="22"/>
          <w:szCs w:val="22"/>
        </w:rPr>
        <w:t xml:space="preserve">, </w:t>
      </w:r>
      <w:r>
        <w:rPr>
          <w:b w:val="0"/>
          <w:bCs w:val="0"/>
          <w:sz w:val="22"/>
          <w:szCs w:val="22"/>
        </w:rPr>
        <w:t xml:space="preserve">Illustration of tracking the level of induced phenol in breath sample </w:t>
      </w:r>
      <w:r>
        <w:rPr>
          <w:rFonts w:hint="eastAsia"/>
          <w:b w:val="0"/>
          <w:bCs w:val="0"/>
          <w:sz w:val="22"/>
          <w:szCs w:val="22"/>
        </w:rPr>
        <w:t xml:space="preserve">that </w:t>
      </w:r>
      <w:r>
        <w:rPr>
          <w:b w:val="0"/>
          <w:bCs w:val="0"/>
          <w:sz w:val="22"/>
          <w:szCs w:val="22"/>
        </w:rPr>
        <w:t xml:space="preserve">derived from healthy or tumor-bearing mice </w:t>
      </w:r>
      <w:r>
        <w:rPr>
          <w:rFonts w:hint="eastAsia"/>
          <w:b w:val="0"/>
          <w:bCs w:val="0"/>
          <w:sz w:val="22"/>
          <w:szCs w:val="22"/>
        </w:rPr>
        <w:t>through</w:t>
      </w:r>
      <w:r>
        <w:rPr>
          <w:b w:val="0"/>
          <w:bCs w:val="0"/>
          <w:sz w:val="22"/>
          <w:szCs w:val="22"/>
        </w:rPr>
        <w:t xml:space="preserve"> the handheld breath-analyzer. </w:t>
      </w:r>
      <w:r>
        <w:rPr>
          <w:rFonts w:hint="eastAsia"/>
          <w:sz w:val="22"/>
          <w:szCs w:val="22"/>
        </w:rPr>
        <w:t>d</w:t>
      </w:r>
      <w:r>
        <w:rPr>
          <w:rFonts w:hint="eastAsia"/>
          <w:b w:val="0"/>
          <w:bCs w:val="0"/>
          <w:sz w:val="22"/>
          <w:szCs w:val="22"/>
        </w:rPr>
        <w:t xml:space="preserve">, </w:t>
      </w:r>
      <w:r>
        <w:rPr>
          <w:b w:val="0"/>
          <w:bCs w:val="0"/>
          <w:sz w:val="22"/>
          <w:szCs w:val="22"/>
        </w:rPr>
        <w:t>Data deviation for the phenol level recorded by commercial GC-MS and proposed breath-analyzer.</w:t>
      </w:r>
      <w:r>
        <w:rPr>
          <w:rFonts w:hint="eastAsia"/>
          <w:b w:val="0"/>
          <w:bCs w:val="0"/>
          <w:sz w:val="22"/>
          <w:szCs w:val="22"/>
        </w:rPr>
        <w:t xml:space="preserve"> </w:t>
      </w:r>
      <w:r>
        <w:rPr>
          <w:b w:val="0"/>
          <w:bCs w:val="0"/>
          <w:sz w:val="22"/>
          <w:szCs w:val="22"/>
        </w:rPr>
        <w:t>Variation of the breath signal for the breath sample derived from</w:t>
      </w:r>
      <w:r>
        <w:rPr>
          <w:sz w:val="22"/>
          <w:szCs w:val="22"/>
        </w:rPr>
        <w:t xml:space="preserve"> </w:t>
      </w:r>
      <w:r>
        <w:rPr>
          <w:rFonts w:hint="eastAsia"/>
          <w:sz w:val="22"/>
          <w:szCs w:val="22"/>
        </w:rPr>
        <w:t>e</w:t>
      </w:r>
      <w:r>
        <w:rPr>
          <w:rFonts w:hint="eastAsia"/>
          <w:b w:val="0"/>
          <w:bCs w:val="0"/>
          <w:sz w:val="22"/>
          <w:szCs w:val="22"/>
        </w:rPr>
        <w:t xml:space="preserve">, </w:t>
      </w:r>
      <w:r>
        <w:rPr>
          <w:b w:val="0"/>
          <w:bCs w:val="0"/>
          <w:sz w:val="22"/>
          <w:szCs w:val="22"/>
        </w:rPr>
        <w:t xml:space="preserve">healthy or </w:t>
      </w:r>
      <w:r>
        <w:rPr>
          <w:rFonts w:hint="eastAsia"/>
          <w:sz w:val="22"/>
          <w:szCs w:val="22"/>
        </w:rPr>
        <w:t>f</w:t>
      </w:r>
      <w:r>
        <w:rPr>
          <w:rFonts w:hint="eastAsia"/>
          <w:b w:val="0"/>
          <w:bCs w:val="0"/>
          <w:sz w:val="22"/>
          <w:szCs w:val="22"/>
        </w:rPr>
        <w:t>,</w:t>
      </w:r>
      <w:r>
        <w:rPr>
          <w:rFonts w:hint="eastAsia"/>
          <w:sz w:val="22"/>
          <w:szCs w:val="22"/>
        </w:rPr>
        <w:t xml:space="preserve"> </w:t>
      </w:r>
      <w:r>
        <w:rPr>
          <w:b w:val="0"/>
          <w:bCs w:val="0"/>
          <w:sz w:val="22"/>
          <w:szCs w:val="22"/>
        </w:rPr>
        <w:t xml:space="preserve">tumor-bearing mice, after tail injecting PBS solution. The minor difference </w:t>
      </w:r>
      <w:r>
        <w:rPr>
          <w:rFonts w:hint="eastAsia"/>
          <w:b w:val="0"/>
          <w:bCs w:val="0"/>
          <w:sz w:val="22"/>
          <w:szCs w:val="22"/>
        </w:rPr>
        <w:t xml:space="preserve">in response signal </w:t>
      </w:r>
      <w:r>
        <w:rPr>
          <w:b w:val="0"/>
          <w:bCs w:val="0"/>
          <w:sz w:val="22"/>
          <w:szCs w:val="22"/>
        </w:rPr>
        <w:t>suggests negligible impact of PBS administrat</w:t>
      </w:r>
      <w:r>
        <w:rPr>
          <w:rFonts w:hint="eastAsia"/>
          <w:b w:val="0"/>
          <w:bCs w:val="0"/>
          <w:sz w:val="22"/>
          <w:szCs w:val="22"/>
        </w:rPr>
        <w:t>ion</w:t>
      </w:r>
      <w:r>
        <w:rPr>
          <w:b w:val="0"/>
          <w:bCs w:val="0"/>
          <w:sz w:val="22"/>
          <w:szCs w:val="22"/>
        </w:rPr>
        <w:t xml:space="preserve"> on breath signal.</w:t>
      </w:r>
      <w:r>
        <w:rPr>
          <w:sz w:val="22"/>
          <w:szCs w:val="22"/>
        </w:rPr>
        <w:t xml:space="preserve"> </w:t>
      </w:r>
      <w:r>
        <w:rPr>
          <w:rFonts w:hint="eastAsia"/>
          <w:sz w:val="22"/>
          <w:szCs w:val="22"/>
        </w:rPr>
        <w:t>g</w:t>
      </w:r>
      <w:r>
        <w:rPr>
          <w:rFonts w:hint="eastAsia"/>
          <w:b w:val="0"/>
          <w:bCs w:val="0"/>
          <w:sz w:val="22"/>
          <w:szCs w:val="22"/>
        </w:rPr>
        <w:t>,</w:t>
      </w:r>
      <w:r>
        <w:rPr>
          <w:rFonts w:hint="eastAsia"/>
          <w:sz w:val="22"/>
          <w:szCs w:val="22"/>
        </w:rPr>
        <w:t xml:space="preserve"> </w:t>
      </w:r>
      <w:r>
        <w:rPr>
          <w:rFonts w:hint="eastAsia"/>
          <w:b w:val="0"/>
          <w:bCs w:val="0"/>
          <w:sz w:val="22"/>
          <w:szCs w:val="22"/>
        </w:rPr>
        <w:t>Increment</w:t>
      </w:r>
      <w:r>
        <w:rPr>
          <w:b w:val="0"/>
          <w:bCs w:val="0"/>
          <w:sz w:val="22"/>
          <w:szCs w:val="22"/>
        </w:rPr>
        <w:t xml:space="preserve"> of response difference and tumor volume on cultivation time.</w:t>
      </w:r>
    </w:p>
    <w:p w14:paraId="01A4C2B6">
      <w:pPr>
        <w:spacing w:line="300" w:lineRule="auto"/>
        <w:rPr>
          <w:rFonts w:hint="eastAsia"/>
          <w:sz w:val="22"/>
          <w:szCs w:val="22"/>
        </w:rPr>
      </w:pPr>
      <w:r>
        <w:drawing>
          <wp:anchor distT="0" distB="0" distL="114300" distR="114300" simplePos="0" relativeHeight="251668480" behindDoc="0" locked="0" layoutInCell="1" allowOverlap="1">
            <wp:simplePos x="0" y="0"/>
            <wp:positionH relativeFrom="column">
              <wp:posOffset>0</wp:posOffset>
            </wp:positionH>
            <wp:positionV relativeFrom="paragraph">
              <wp:posOffset>18415</wp:posOffset>
            </wp:positionV>
            <wp:extent cx="5266055" cy="6435725"/>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8"/>
                    <a:srcRect b="996"/>
                    <a:stretch>
                      <a:fillRect/>
                    </a:stretch>
                  </pic:blipFill>
                  <pic:spPr>
                    <a:xfrm>
                      <a:off x="0" y="0"/>
                      <a:ext cx="5266055" cy="6435725"/>
                    </a:xfrm>
                    <a:prstGeom prst="rect">
                      <a:avLst/>
                    </a:prstGeom>
                    <a:noFill/>
                    <a:ln>
                      <a:noFill/>
                    </a:ln>
                  </pic:spPr>
                </pic:pic>
              </a:graphicData>
            </a:graphic>
          </wp:anchor>
        </w:drawing>
      </w:r>
      <w:r>
        <w:rPr>
          <w:rFonts w:hint="eastAsia"/>
          <w:sz w:val="22"/>
          <w:szCs w:val="22"/>
        </w:rPr>
        <w:t>Supplementary</w:t>
      </w:r>
      <w:r>
        <w:rPr>
          <w:rFonts w:hint="eastAsia"/>
        </w:rPr>
        <w:t xml:space="preserve"> </w:t>
      </w:r>
      <w:r>
        <w:rPr>
          <w:sz w:val="22"/>
          <w:szCs w:val="22"/>
        </w:rPr>
        <w:t xml:space="preserve">Figure </w:t>
      </w:r>
      <w:r>
        <w:rPr>
          <w:rFonts w:hint="eastAsia"/>
          <w:sz w:val="22"/>
          <w:szCs w:val="22"/>
        </w:rPr>
        <w:t>10. Tissue images for different mouse model.</w:t>
      </w:r>
      <w:r>
        <w:rPr>
          <w:rFonts w:hint="eastAsia"/>
          <w:b w:val="0"/>
          <w:bCs w:val="0"/>
          <w:sz w:val="22"/>
          <w:szCs w:val="22"/>
        </w:rPr>
        <w:t xml:space="preserve"> H</w:t>
      </w:r>
      <w:r>
        <w:rPr>
          <w:b w:val="0"/>
          <w:bCs w:val="0"/>
          <w:sz w:val="22"/>
          <w:szCs w:val="22"/>
        </w:rPr>
        <w:t>ematoxylin-eosin staining</w:t>
      </w:r>
      <w:r>
        <w:rPr>
          <w:rFonts w:hint="eastAsia"/>
          <w:b w:val="0"/>
          <w:bCs w:val="0"/>
          <w:sz w:val="22"/>
          <w:szCs w:val="22"/>
        </w:rPr>
        <w:t xml:space="preserve"> (H&amp;E) images for tissues derived from the mice suffered with </w:t>
      </w:r>
      <w:r>
        <w:rPr>
          <w:rFonts w:hint="eastAsia"/>
          <w:sz w:val="22"/>
          <w:szCs w:val="22"/>
        </w:rPr>
        <w:t>a</w:t>
      </w:r>
      <w:r>
        <w:rPr>
          <w:rFonts w:hint="eastAsia"/>
          <w:b w:val="0"/>
          <w:bCs w:val="0"/>
          <w:sz w:val="22"/>
          <w:szCs w:val="22"/>
        </w:rPr>
        <w:t>,</w:t>
      </w:r>
      <w:r>
        <w:rPr>
          <w:rFonts w:hint="eastAsia"/>
          <w:sz w:val="22"/>
          <w:szCs w:val="22"/>
        </w:rPr>
        <w:t xml:space="preserve"> </w:t>
      </w:r>
      <w:r>
        <w:rPr>
          <w:rFonts w:hint="eastAsia"/>
          <w:b w:val="0"/>
          <w:bCs w:val="0"/>
          <w:sz w:val="22"/>
          <w:szCs w:val="22"/>
        </w:rPr>
        <w:t xml:space="preserve">hepatic fibrosis; </w:t>
      </w:r>
      <w:r>
        <w:rPr>
          <w:rFonts w:hint="eastAsia"/>
          <w:sz w:val="22"/>
          <w:szCs w:val="22"/>
        </w:rPr>
        <w:t>b</w:t>
      </w:r>
      <w:r>
        <w:rPr>
          <w:rFonts w:hint="eastAsia"/>
          <w:b w:val="0"/>
          <w:bCs w:val="0"/>
          <w:sz w:val="22"/>
          <w:szCs w:val="22"/>
        </w:rPr>
        <w:t>,</w:t>
      </w:r>
      <w:r>
        <w:rPr>
          <w:rFonts w:hint="eastAsia"/>
          <w:sz w:val="22"/>
          <w:szCs w:val="22"/>
        </w:rPr>
        <w:t xml:space="preserve"> </w:t>
      </w:r>
      <w:r>
        <w:rPr>
          <w:rFonts w:hint="eastAsia"/>
          <w:b w:val="0"/>
          <w:bCs w:val="0"/>
          <w:sz w:val="22"/>
          <w:szCs w:val="22"/>
        </w:rPr>
        <w:t xml:space="preserve">asthma; </w:t>
      </w:r>
      <w:r>
        <w:rPr>
          <w:rFonts w:hint="eastAsia"/>
          <w:sz w:val="22"/>
          <w:szCs w:val="22"/>
        </w:rPr>
        <w:t>c</w:t>
      </w:r>
      <w:r>
        <w:rPr>
          <w:rFonts w:hint="eastAsia"/>
          <w:b w:val="0"/>
          <w:bCs w:val="0"/>
          <w:sz w:val="22"/>
          <w:szCs w:val="22"/>
        </w:rPr>
        <w:t>,</w:t>
      </w:r>
      <w:r>
        <w:rPr>
          <w:rFonts w:hint="eastAsia"/>
          <w:sz w:val="22"/>
          <w:szCs w:val="22"/>
        </w:rPr>
        <w:t xml:space="preserve"> </w:t>
      </w:r>
      <w:r>
        <w:rPr>
          <w:rFonts w:hint="eastAsia"/>
          <w:b w:val="0"/>
          <w:bCs w:val="0"/>
          <w:sz w:val="22"/>
          <w:szCs w:val="22"/>
        </w:rPr>
        <w:t xml:space="preserve">colitis; </w:t>
      </w:r>
      <w:r>
        <w:rPr>
          <w:rFonts w:hint="eastAsia"/>
          <w:sz w:val="22"/>
          <w:szCs w:val="22"/>
        </w:rPr>
        <w:t>d</w:t>
      </w:r>
      <w:r>
        <w:rPr>
          <w:rFonts w:hint="eastAsia"/>
          <w:b w:val="0"/>
          <w:bCs w:val="0"/>
          <w:sz w:val="22"/>
          <w:szCs w:val="22"/>
        </w:rPr>
        <w:t>,</w:t>
      </w:r>
      <w:r>
        <w:rPr>
          <w:rFonts w:hint="eastAsia"/>
          <w:sz w:val="22"/>
          <w:szCs w:val="22"/>
        </w:rPr>
        <w:t xml:space="preserve"> </w:t>
      </w:r>
      <w:r>
        <w:rPr>
          <w:rFonts w:hint="eastAsia"/>
          <w:b w:val="0"/>
          <w:bCs w:val="0"/>
          <w:sz w:val="22"/>
          <w:szCs w:val="22"/>
        </w:rPr>
        <w:t xml:space="preserve">lupus nephritis (L.N.); </w:t>
      </w:r>
      <w:r>
        <w:rPr>
          <w:rFonts w:hint="eastAsia"/>
          <w:sz w:val="22"/>
          <w:szCs w:val="22"/>
        </w:rPr>
        <w:t>e</w:t>
      </w:r>
      <w:r>
        <w:rPr>
          <w:rFonts w:hint="eastAsia"/>
          <w:b w:val="0"/>
          <w:bCs w:val="0"/>
          <w:sz w:val="22"/>
          <w:szCs w:val="22"/>
        </w:rPr>
        <w:t>,</w:t>
      </w:r>
      <w:r>
        <w:rPr>
          <w:rFonts w:hint="eastAsia"/>
          <w:sz w:val="22"/>
          <w:szCs w:val="22"/>
        </w:rPr>
        <w:t xml:space="preserve"> </w:t>
      </w:r>
      <w:r>
        <w:rPr>
          <w:rFonts w:hint="eastAsia"/>
          <w:b w:val="0"/>
          <w:bCs w:val="0"/>
          <w:sz w:val="22"/>
          <w:szCs w:val="22"/>
        </w:rPr>
        <w:t>actuate ulcer (G.U.).</w:t>
      </w:r>
    </w:p>
    <w:p w14:paraId="30F1A925">
      <w:pPr>
        <w:spacing w:line="300" w:lineRule="auto"/>
        <w:rPr>
          <w:b w:val="0"/>
          <w:bCs w:val="0"/>
          <w:sz w:val="22"/>
          <w:szCs w:val="22"/>
        </w:rPr>
      </w:pPr>
      <w:r>
        <w:rPr>
          <w:rFonts w:hint="eastAsia"/>
          <w:sz w:val="22"/>
          <w:szCs w:val="22"/>
        </w:rPr>
        <w:t>Supplementary</w:t>
      </w:r>
      <w:r>
        <w:rPr>
          <w:sz w:val="22"/>
          <w:szCs w:val="22"/>
        </w:rPr>
        <w:drawing>
          <wp:anchor distT="0" distB="0" distL="114300" distR="114300" simplePos="0" relativeHeight="251660288" behindDoc="0" locked="0" layoutInCell="1" allowOverlap="1">
            <wp:simplePos x="0" y="0"/>
            <wp:positionH relativeFrom="column">
              <wp:posOffset>0</wp:posOffset>
            </wp:positionH>
            <wp:positionV relativeFrom="paragraph">
              <wp:posOffset>27305</wp:posOffset>
            </wp:positionV>
            <wp:extent cx="5268595" cy="4102735"/>
            <wp:effectExtent l="0" t="0" r="8255" b="2540"/>
            <wp:wrapTopAndBottom/>
            <wp:docPr id="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5"/>
                    <pic:cNvPicPr>
                      <a:picLocks noChangeAspect="1"/>
                    </pic:cNvPicPr>
                  </pic:nvPicPr>
                  <pic:blipFill>
                    <a:blip r:embed="rId29"/>
                    <a:stretch>
                      <a:fillRect/>
                    </a:stretch>
                  </pic:blipFill>
                  <pic:spPr>
                    <a:xfrm>
                      <a:off x="0" y="0"/>
                      <a:ext cx="5268595" cy="4102735"/>
                    </a:xfrm>
                    <a:prstGeom prst="rect">
                      <a:avLst/>
                    </a:prstGeom>
                    <a:noFill/>
                    <a:ln>
                      <a:noFill/>
                    </a:ln>
                  </pic:spPr>
                </pic:pic>
              </a:graphicData>
            </a:graphic>
          </wp:anchor>
        </w:drawing>
      </w:r>
      <w:r>
        <w:rPr>
          <w:rFonts w:hint="eastAsia"/>
          <w:sz w:val="22"/>
          <w:szCs w:val="22"/>
        </w:rPr>
        <w:t xml:space="preserve"> </w:t>
      </w:r>
      <w:r>
        <w:rPr>
          <w:sz w:val="22"/>
          <w:szCs w:val="22"/>
        </w:rPr>
        <w:t xml:space="preserve">Figure </w:t>
      </w:r>
      <w:r>
        <w:rPr>
          <w:rFonts w:hint="eastAsia"/>
          <w:sz w:val="22"/>
          <w:szCs w:val="22"/>
        </w:rPr>
        <w:t xml:space="preserve">11. </w:t>
      </w:r>
      <w:r>
        <w:rPr>
          <w:sz w:val="22"/>
          <w:szCs w:val="22"/>
        </w:rPr>
        <w:t xml:space="preserve">Impact of studied confounding diseases. </w:t>
      </w:r>
      <w:r>
        <w:rPr>
          <w:b w:val="0"/>
          <w:bCs w:val="0"/>
          <w:sz w:val="22"/>
          <w:szCs w:val="22"/>
        </w:rPr>
        <w:t>After administration with phenyl-β-D-glucuronide, apparent response difference is solely found for gastric tumor bearing mice when compared with that of the healthy mice and mice suffered with acute G.U.</w:t>
      </w:r>
      <w:r>
        <w:rPr>
          <w:rFonts w:hint="eastAsia"/>
          <w:b w:val="0"/>
          <w:bCs w:val="0"/>
          <w:sz w:val="22"/>
          <w:szCs w:val="22"/>
        </w:rPr>
        <w:t xml:space="preserve">, </w:t>
      </w:r>
      <w:r>
        <w:rPr>
          <w:b w:val="0"/>
          <w:bCs w:val="0"/>
          <w:sz w:val="22"/>
          <w:szCs w:val="22"/>
        </w:rPr>
        <w:t>OVA</w:t>
      </w:r>
      <w:r>
        <w:rPr>
          <w:rFonts w:hint="eastAsia"/>
          <w:b w:val="0"/>
          <w:bCs w:val="0"/>
          <w:sz w:val="22"/>
          <w:szCs w:val="22"/>
        </w:rPr>
        <w:t xml:space="preserve"> induced asthma, CCl</w:t>
      </w:r>
      <w:r>
        <w:rPr>
          <w:rFonts w:hint="eastAsia"/>
          <w:b w:val="0"/>
          <w:bCs w:val="0"/>
          <w:sz w:val="22"/>
          <w:szCs w:val="22"/>
          <w:vertAlign w:val="subscript"/>
        </w:rPr>
        <w:t>4</w:t>
      </w:r>
      <w:r>
        <w:rPr>
          <w:rFonts w:hint="eastAsia"/>
          <w:b w:val="0"/>
          <w:bCs w:val="0"/>
          <w:sz w:val="22"/>
          <w:szCs w:val="22"/>
        </w:rPr>
        <w:t xml:space="preserve"> induced hepatic fibrosis, d</w:t>
      </w:r>
      <w:r>
        <w:rPr>
          <w:b w:val="0"/>
          <w:bCs w:val="0"/>
          <w:sz w:val="22"/>
          <w:szCs w:val="22"/>
        </w:rPr>
        <w:t xml:space="preserve">extran </w:t>
      </w:r>
      <w:r>
        <w:rPr>
          <w:rFonts w:hint="eastAsia"/>
          <w:b w:val="0"/>
          <w:bCs w:val="0"/>
          <w:sz w:val="22"/>
          <w:szCs w:val="22"/>
        </w:rPr>
        <w:t>s</w:t>
      </w:r>
      <w:r>
        <w:rPr>
          <w:b w:val="0"/>
          <w:bCs w:val="0"/>
          <w:sz w:val="22"/>
          <w:szCs w:val="22"/>
        </w:rPr>
        <w:t xml:space="preserve">ulfate </w:t>
      </w:r>
      <w:r>
        <w:rPr>
          <w:rFonts w:hint="eastAsia"/>
          <w:b w:val="0"/>
          <w:bCs w:val="0"/>
          <w:sz w:val="22"/>
          <w:szCs w:val="22"/>
        </w:rPr>
        <w:t>s</w:t>
      </w:r>
      <w:r>
        <w:rPr>
          <w:b w:val="0"/>
          <w:bCs w:val="0"/>
          <w:sz w:val="22"/>
          <w:szCs w:val="22"/>
        </w:rPr>
        <w:t>odium</w:t>
      </w:r>
      <w:r>
        <w:rPr>
          <w:rFonts w:hint="eastAsia"/>
          <w:b w:val="0"/>
          <w:bCs w:val="0"/>
          <w:sz w:val="22"/>
          <w:szCs w:val="22"/>
        </w:rPr>
        <w:t xml:space="preserve"> </w:t>
      </w:r>
      <w:r>
        <w:rPr>
          <w:b w:val="0"/>
          <w:bCs w:val="0"/>
          <w:sz w:val="22"/>
          <w:szCs w:val="22"/>
        </w:rPr>
        <w:t>DSS</w:t>
      </w:r>
      <w:r>
        <w:rPr>
          <w:rFonts w:hint="eastAsia"/>
          <w:b w:val="0"/>
          <w:bCs w:val="0"/>
          <w:sz w:val="22"/>
          <w:szCs w:val="22"/>
        </w:rPr>
        <w:t xml:space="preserve"> induced colitis and B6-hBAFF induced L.N.</w:t>
      </w:r>
      <w:r>
        <w:rPr>
          <w:b w:val="0"/>
          <w:bCs w:val="0"/>
          <w:sz w:val="22"/>
          <w:szCs w:val="22"/>
        </w:rPr>
        <w:t xml:space="preserve"> (n = </w:t>
      </w:r>
      <w:r>
        <w:rPr>
          <w:rFonts w:hint="eastAsia"/>
          <w:b w:val="0"/>
          <w:bCs w:val="0"/>
          <w:sz w:val="22"/>
          <w:szCs w:val="22"/>
        </w:rPr>
        <w:t>4</w:t>
      </w:r>
      <w:r>
        <w:rPr>
          <w:b w:val="0"/>
          <w:bCs w:val="0"/>
          <w:sz w:val="22"/>
          <w:szCs w:val="22"/>
        </w:rPr>
        <w:t xml:space="preserve"> for each</w:t>
      </w:r>
      <w:r>
        <w:rPr>
          <w:rFonts w:hint="eastAsia"/>
          <w:b w:val="0"/>
          <w:bCs w:val="0"/>
          <w:sz w:val="22"/>
          <w:szCs w:val="22"/>
        </w:rPr>
        <w:t xml:space="preserve"> mouse model, "Response difference" = "Response signal recorded after dosing" - "Response signal recorded before dosing"</w:t>
      </w:r>
      <w:r>
        <w:rPr>
          <w:b w:val="0"/>
          <w:bCs w:val="0"/>
          <w:sz w:val="22"/>
          <w:szCs w:val="22"/>
        </w:rPr>
        <w:t>).</w:t>
      </w:r>
    </w:p>
    <w:p w14:paraId="625A6E47">
      <w:pPr>
        <w:spacing w:line="300" w:lineRule="auto"/>
        <w:rPr>
          <w:b w:val="0"/>
          <w:bCs w:val="0"/>
          <w:sz w:val="22"/>
          <w:szCs w:val="22"/>
        </w:rPr>
      </w:pPr>
    </w:p>
    <w:p w14:paraId="15D27589">
      <w:pPr>
        <w:spacing w:line="300" w:lineRule="auto"/>
        <w:rPr>
          <w:b w:val="0"/>
          <w:bCs w:val="0"/>
          <w:sz w:val="22"/>
          <w:szCs w:val="22"/>
        </w:rPr>
      </w:pPr>
    </w:p>
    <w:p w14:paraId="322F09B6">
      <w:pPr>
        <w:spacing w:line="300" w:lineRule="auto"/>
        <w:rPr>
          <w:b w:val="0"/>
          <w:bCs w:val="0"/>
          <w:sz w:val="22"/>
          <w:szCs w:val="22"/>
        </w:rPr>
      </w:pPr>
    </w:p>
    <w:p w14:paraId="033D4B4D">
      <w:pPr>
        <w:spacing w:line="300" w:lineRule="auto"/>
        <w:rPr>
          <w:b w:val="0"/>
          <w:bCs w:val="0"/>
          <w:sz w:val="22"/>
          <w:szCs w:val="22"/>
        </w:rPr>
      </w:pPr>
    </w:p>
    <w:p w14:paraId="5DBF7D85">
      <w:pPr>
        <w:spacing w:line="300" w:lineRule="auto"/>
        <w:rPr>
          <w:b w:val="0"/>
          <w:bCs w:val="0"/>
          <w:sz w:val="22"/>
          <w:szCs w:val="22"/>
        </w:rPr>
      </w:pPr>
    </w:p>
    <w:p w14:paraId="69D6E665">
      <w:pPr>
        <w:spacing w:line="300" w:lineRule="auto"/>
        <w:rPr>
          <w:b w:val="0"/>
          <w:bCs w:val="0"/>
          <w:sz w:val="22"/>
          <w:szCs w:val="22"/>
        </w:rPr>
      </w:pPr>
    </w:p>
    <w:p w14:paraId="240F41AF">
      <w:pPr>
        <w:spacing w:line="300" w:lineRule="auto"/>
        <w:rPr>
          <w:b w:val="0"/>
          <w:bCs w:val="0"/>
          <w:sz w:val="22"/>
          <w:szCs w:val="22"/>
        </w:rPr>
      </w:pPr>
    </w:p>
    <w:p w14:paraId="334222B9">
      <w:pPr>
        <w:spacing w:line="300" w:lineRule="auto"/>
        <w:rPr>
          <w:b w:val="0"/>
          <w:bCs w:val="0"/>
          <w:sz w:val="22"/>
          <w:szCs w:val="22"/>
        </w:rPr>
      </w:pPr>
    </w:p>
    <w:p w14:paraId="54FAFD1D">
      <w:pPr>
        <w:spacing w:line="300" w:lineRule="auto"/>
        <w:rPr>
          <w:b w:val="0"/>
          <w:bCs w:val="0"/>
          <w:sz w:val="22"/>
          <w:szCs w:val="22"/>
        </w:rPr>
      </w:pPr>
    </w:p>
    <w:p w14:paraId="2806F3AA">
      <w:pPr>
        <w:spacing w:line="300" w:lineRule="auto"/>
        <w:rPr>
          <w:b w:val="0"/>
          <w:bCs w:val="0"/>
          <w:sz w:val="22"/>
          <w:szCs w:val="22"/>
        </w:rPr>
      </w:pPr>
    </w:p>
    <w:p w14:paraId="7668AB78">
      <w:pPr>
        <w:spacing w:line="300" w:lineRule="auto"/>
        <w:rPr>
          <w:b w:val="0"/>
          <w:bCs w:val="0"/>
          <w:sz w:val="22"/>
          <w:szCs w:val="22"/>
        </w:rPr>
      </w:pPr>
    </w:p>
    <w:p w14:paraId="67929670">
      <w:pPr>
        <w:rPr>
          <w:sz w:val="28"/>
          <w:szCs w:val="28"/>
        </w:rPr>
      </w:pPr>
      <w:r>
        <w:rPr>
          <w:rFonts w:hint="eastAsia" w:eastAsia="宋体"/>
          <w:kern w:val="0"/>
          <w:sz w:val="28"/>
          <w:szCs w:val="28"/>
        </w:rPr>
        <w:t>SUPPLEMENTARY</w:t>
      </w:r>
      <w:r>
        <w:rPr>
          <w:rFonts w:hint="eastAsia"/>
          <w:sz w:val="28"/>
          <w:szCs w:val="28"/>
        </w:rPr>
        <w:t xml:space="preserve"> TABLES</w:t>
      </w:r>
    </w:p>
    <w:p w14:paraId="5FFF2017">
      <w:pPr>
        <w:snapToGrid w:val="0"/>
        <w:spacing w:line="300" w:lineRule="auto"/>
        <w:jc w:val="center"/>
      </w:pPr>
    </w:p>
    <w:p w14:paraId="333DBED1">
      <w:pPr>
        <w:snapToGrid w:val="0"/>
        <w:spacing w:line="300" w:lineRule="auto"/>
        <w:jc w:val="center"/>
      </w:pPr>
    </w:p>
    <w:p w14:paraId="7C813FAB">
      <w:pPr>
        <w:snapToGrid w:val="0"/>
        <w:spacing w:line="300" w:lineRule="auto"/>
        <w:jc w:val="center"/>
      </w:pPr>
      <w:r>
        <w:rPr>
          <w:rFonts w:hint="eastAsia"/>
        </w:rPr>
        <w:t>Supplementary T</w:t>
      </w:r>
      <w:r>
        <w:t xml:space="preserve">able </w:t>
      </w:r>
      <w:r>
        <w:rPr>
          <w:rFonts w:hint="eastAsia"/>
        </w:rPr>
        <w:t>1.</w:t>
      </w:r>
      <w:r>
        <w:t xml:space="preserve"> </w:t>
      </w:r>
      <w:r>
        <w:rPr>
          <w:b w:val="0"/>
          <w:bCs w:val="0"/>
        </w:rPr>
        <w:t>Chemical list</w:t>
      </w:r>
      <w:r>
        <w:rPr>
          <w:rFonts w:hint="eastAsia"/>
          <w:b w:val="0"/>
          <w:bCs w:val="0"/>
        </w:rPr>
        <w:t xml:space="preserve"> for the research</w:t>
      </w:r>
    </w:p>
    <w:tbl>
      <w:tblPr>
        <w:tblStyle w:val="7"/>
        <w:tblpPr w:leftFromText="180" w:rightFromText="180" w:vertAnchor="text" w:horzAnchor="page" w:tblpX="1776" w:tblpY="21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2156"/>
        <w:gridCol w:w="3430"/>
      </w:tblGrid>
      <w:tr w14:paraId="0BB67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single" w:color="000000" w:sz="12" w:space="0"/>
              <w:left w:val="nil"/>
              <w:bottom w:val="single" w:color="auto" w:sz="8" w:space="0"/>
              <w:right w:val="nil"/>
            </w:tcBorders>
          </w:tcPr>
          <w:p w14:paraId="42E28012">
            <w:pPr>
              <w:spacing w:line="240" w:lineRule="auto"/>
              <w:jc w:val="center"/>
              <w:rPr>
                <w:rFonts w:eastAsia="宋体"/>
                <w:color w:val="000000" w:themeColor="text1"/>
                <w:sz w:val="22"/>
                <w:szCs w:val="22"/>
                <w14:textFill>
                  <w14:solidFill>
                    <w14:schemeClr w14:val="tx1"/>
                  </w14:solidFill>
                </w14:textFill>
              </w:rPr>
            </w:pPr>
            <w:r>
              <w:rPr>
                <w:rFonts w:eastAsia="宋体"/>
                <w:color w:val="000000" w:themeColor="text1"/>
                <w:sz w:val="22"/>
                <w:szCs w:val="22"/>
                <w14:textFill>
                  <w14:solidFill>
                    <w14:schemeClr w14:val="tx1"/>
                  </w14:solidFill>
                </w14:textFill>
              </w:rPr>
              <w:t>Chemicals</w:t>
            </w:r>
          </w:p>
        </w:tc>
        <w:tc>
          <w:tcPr>
            <w:tcW w:w="2156" w:type="dxa"/>
            <w:tcBorders>
              <w:top w:val="single" w:color="000000" w:sz="12" w:space="0"/>
              <w:left w:val="nil"/>
              <w:bottom w:val="single" w:color="auto" w:sz="8" w:space="0"/>
              <w:right w:val="nil"/>
            </w:tcBorders>
          </w:tcPr>
          <w:p w14:paraId="5076C6ED">
            <w:pPr>
              <w:spacing w:line="240" w:lineRule="auto"/>
              <w:jc w:val="center"/>
              <w:rPr>
                <w:rFonts w:eastAsia="宋体"/>
                <w:color w:val="000000" w:themeColor="text1"/>
                <w:sz w:val="22"/>
                <w:szCs w:val="22"/>
                <w14:textFill>
                  <w14:solidFill>
                    <w14:schemeClr w14:val="tx1"/>
                  </w14:solidFill>
                </w14:textFill>
              </w:rPr>
            </w:pPr>
            <w:r>
              <w:rPr>
                <w:rFonts w:eastAsia="宋体"/>
                <w:color w:val="000000" w:themeColor="text1"/>
                <w:sz w:val="22"/>
                <w:szCs w:val="22"/>
                <w14:textFill>
                  <w14:solidFill>
                    <w14:schemeClr w14:val="tx1"/>
                  </w14:solidFill>
                </w14:textFill>
              </w:rPr>
              <w:t>Purity</w:t>
            </w:r>
          </w:p>
        </w:tc>
        <w:tc>
          <w:tcPr>
            <w:tcW w:w="3430" w:type="dxa"/>
            <w:tcBorders>
              <w:top w:val="single" w:color="000000" w:sz="12" w:space="0"/>
              <w:left w:val="nil"/>
              <w:bottom w:val="single" w:color="auto" w:sz="8" w:space="0"/>
              <w:right w:val="nil"/>
            </w:tcBorders>
          </w:tcPr>
          <w:p w14:paraId="5C1B7D07">
            <w:pPr>
              <w:spacing w:line="240" w:lineRule="auto"/>
              <w:jc w:val="center"/>
              <w:rPr>
                <w:rFonts w:eastAsia="宋体"/>
                <w:color w:val="000000" w:themeColor="text1"/>
                <w:sz w:val="22"/>
                <w:szCs w:val="22"/>
                <w14:textFill>
                  <w14:solidFill>
                    <w14:schemeClr w14:val="tx1"/>
                  </w14:solidFill>
                </w14:textFill>
              </w:rPr>
            </w:pPr>
            <w:r>
              <w:rPr>
                <w:rFonts w:eastAsia="宋体"/>
                <w:color w:val="000000" w:themeColor="text1"/>
                <w:sz w:val="22"/>
                <w:szCs w:val="22"/>
                <w14:textFill>
                  <w14:solidFill>
                    <w14:schemeClr w14:val="tx1"/>
                  </w14:solidFill>
                </w14:textFill>
              </w:rPr>
              <w:t>Supplier</w:t>
            </w:r>
          </w:p>
        </w:tc>
      </w:tr>
      <w:tr w14:paraId="300BD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single" w:color="auto" w:sz="8" w:space="0"/>
              <w:left w:val="nil"/>
              <w:bottom w:val="nil"/>
              <w:right w:val="nil"/>
            </w:tcBorders>
            <w:vAlign w:val="center"/>
          </w:tcPr>
          <w:p w14:paraId="17CF10A5">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Phenol</w:t>
            </w:r>
          </w:p>
        </w:tc>
        <w:tc>
          <w:tcPr>
            <w:tcW w:w="2156" w:type="dxa"/>
            <w:tcBorders>
              <w:top w:val="single" w:color="auto" w:sz="8" w:space="0"/>
              <w:left w:val="nil"/>
              <w:bottom w:val="nil"/>
              <w:right w:val="nil"/>
            </w:tcBorders>
            <w:vAlign w:val="center"/>
          </w:tcPr>
          <w:p w14:paraId="7CFC7B80">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 99.5%</w:t>
            </w:r>
          </w:p>
        </w:tc>
        <w:tc>
          <w:tcPr>
            <w:tcW w:w="3430" w:type="dxa"/>
            <w:tcBorders>
              <w:top w:val="single" w:color="auto" w:sz="8" w:space="0"/>
              <w:left w:val="nil"/>
              <w:bottom w:val="nil"/>
              <w:right w:val="nil"/>
            </w:tcBorders>
            <w:vAlign w:val="center"/>
          </w:tcPr>
          <w:p w14:paraId="5062E54A">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Macklin (P. R. China)</w:t>
            </w:r>
          </w:p>
        </w:tc>
      </w:tr>
      <w:tr w14:paraId="5D06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936" w:type="dxa"/>
            <w:tcBorders>
              <w:top w:val="nil"/>
              <w:left w:val="nil"/>
              <w:bottom w:val="nil"/>
              <w:right w:val="nil"/>
            </w:tcBorders>
            <w:vAlign w:val="center"/>
          </w:tcPr>
          <w:p w14:paraId="543FA4A2">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Phenyl-β-D-glucuronide</w:t>
            </w:r>
          </w:p>
        </w:tc>
        <w:tc>
          <w:tcPr>
            <w:tcW w:w="2156" w:type="dxa"/>
            <w:tcBorders>
              <w:top w:val="nil"/>
              <w:left w:val="nil"/>
              <w:bottom w:val="nil"/>
              <w:right w:val="nil"/>
            </w:tcBorders>
            <w:vAlign w:val="center"/>
          </w:tcPr>
          <w:p w14:paraId="1C96ECDF">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 96%</w:t>
            </w:r>
          </w:p>
        </w:tc>
        <w:tc>
          <w:tcPr>
            <w:tcW w:w="3430" w:type="dxa"/>
            <w:vMerge w:val="restart"/>
            <w:tcBorders>
              <w:top w:val="nil"/>
              <w:left w:val="nil"/>
              <w:right w:val="nil"/>
            </w:tcBorders>
            <w:vAlign w:val="center"/>
          </w:tcPr>
          <w:p w14:paraId="051EED68">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Sigma-Aldrich (USA)</w:t>
            </w:r>
          </w:p>
        </w:tc>
      </w:tr>
      <w:tr w14:paraId="1766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79C7D73F">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β-glucuronidase</w:t>
            </w:r>
          </w:p>
        </w:tc>
        <w:tc>
          <w:tcPr>
            <w:tcW w:w="2156" w:type="dxa"/>
            <w:tcBorders>
              <w:top w:val="nil"/>
              <w:left w:val="nil"/>
              <w:bottom w:val="nil"/>
              <w:right w:val="nil"/>
            </w:tcBorders>
            <w:vAlign w:val="center"/>
          </w:tcPr>
          <w:p w14:paraId="1CC007DF">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vMerge w:val="continue"/>
            <w:tcBorders>
              <w:left w:val="nil"/>
              <w:bottom w:val="nil"/>
              <w:right w:val="nil"/>
            </w:tcBorders>
            <w:vAlign w:val="center"/>
          </w:tcPr>
          <w:p w14:paraId="383590BA">
            <w:pPr>
              <w:snapToGrid w:val="0"/>
              <w:spacing w:line="240" w:lineRule="auto"/>
              <w:jc w:val="center"/>
              <w:rPr>
                <w:rFonts w:eastAsia="宋体"/>
                <w:b w:val="0"/>
                <w:bCs w:val="0"/>
                <w:color w:val="000000" w:themeColor="text1"/>
                <w:sz w:val="22"/>
                <w:szCs w:val="22"/>
                <w14:textFill>
                  <w14:solidFill>
                    <w14:schemeClr w14:val="tx1"/>
                  </w14:solidFill>
                </w14:textFill>
              </w:rPr>
            </w:pPr>
          </w:p>
        </w:tc>
      </w:tr>
      <w:tr w14:paraId="211AD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305D37F3">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Bovine serum albumin</w:t>
            </w:r>
          </w:p>
        </w:tc>
        <w:tc>
          <w:tcPr>
            <w:tcW w:w="2156" w:type="dxa"/>
            <w:tcBorders>
              <w:top w:val="nil"/>
              <w:left w:val="nil"/>
              <w:bottom w:val="nil"/>
              <w:right w:val="nil"/>
            </w:tcBorders>
            <w:vAlign w:val="center"/>
          </w:tcPr>
          <w:p w14:paraId="664AD309">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tcBorders>
              <w:top w:val="nil"/>
              <w:left w:val="nil"/>
              <w:bottom w:val="nil"/>
              <w:right w:val="nil"/>
            </w:tcBorders>
            <w:vAlign w:val="center"/>
          </w:tcPr>
          <w:p w14:paraId="452620EF">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ChromatoPur (USA)</w:t>
            </w:r>
          </w:p>
        </w:tc>
      </w:tr>
      <w:tr w14:paraId="68CD0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5FBE6CC2">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High glucose culture medium (DMEM)</w:t>
            </w:r>
          </w:p>
        </w:tc>
        <w:tc>
          <w:tcPr>
            <w:tcW w:w="2156" w:type="dxa"/>
            <w:tcBorders>
              <w:top w:val="nil"/>
              <w:left w:val="nil"/>
              <w:bottom w:val="nil"/>
              <w:right w:val="nil"/>
            </w:tcBorders>
            <w:vAlign w:val="center"/>
          </w:tcPr>
          <w:p w14:paraId="5802EC8D">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vMerge w:val="restart"/>
            <w:tcBorders>
              <w:top w:val="nil"/>
              <w:left w:val="nil"/>
              <w:right w:val="nil"/>
            </w:tcBorders>
            <w:vAlign w:val="center"/>
          </w:tcPr>
          <w:p w14:paraId="3C1DE558">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Hyclone (USA)</w:t>
            </w:r>
          </w:p>
        </w:tc>
      </w:tr>
      <w:tr w14:paraId="2342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3A03F488">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PBS solution</w:t>
            </w:r>
          </w:p>
        </w:tc>
        <w:tc>
          <w:tcPr>
            <w:tcW w:w="2156" w:type="dxa"/>
            <w:tcBorders>
              <w:top w:val="nil"/>
              <w:left w:val="nil"/>
              <w:bottom w:val="nil"/>
              <w:right w:val="nil"/>
            </w:tcBorders>
            <w:vAlign w:val="center"/>
          </w:tcPr>
          <w:p w14:paraId="6782FF14">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vMerge w:val="continue"/>
            <w:tcBorders>
              <w:left w:val="nil"/>
              <w:right w:val="nil"/>
            </w:tcBorders>
            <w:vAlign w:val="center"/>
          </w:tcPr>
          <w:p w14:paraId="3957731E">
            <w:pPr>
              <w:snapToGrid w:val="0"/>
              <w:spacing w:line="240" w:lineRule="auto"/>
              <w:jc w:val="center"/>
              <w:rPr>
                <w:rFonts w:eastAsia="宋体"/>
                <w:b w:val="0"/>
                <w:bCs w:val="0"/>
                <w:color w:val="000000" w:themeColor="text1"/>
                <w:sz w:val="22"/>
                <w:szCs w:val="22"/>
                <w14:textFill>
                  <w14:solidFill>
                    <w14:schemeClr w14:val="tx1"/>
                  </w14:solidFill>
                </w14:textFill>
              </w:rPr>
            </w:pPr>
          </w:p>
        </w:tc>
      </w:tr>
      <w:tr w14:paraId="1C97C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160FB4C9">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Fetal bovine serum (FBS)</w:t>
            </w:r>
          </w:p>
        </w:tc>
        <w:tc>
          <w:tcPr>
            <w:tcW w:w="2156" w:type="dxa"/>
            <w:tcBorders>
              <w:top w:val="nil"/>
              <w:left w:val="nil"/>
              <w:bottom w:val="nil"/>
              <w:right w:val="nil"/>
            </w:tcBorders>
            <w:vAlign w:val="center"/>
          </w:tcPr>
          <w:p w14:paraId="1148C570">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vMerge w:val="continue"/>
            <w:tcBorders>
              <w:left w:val="nil"/>
              <w:bottom w:val="nil"/>
              <w:right w:val="nil"/>
            </w:tcBorders>
            <w:vAlign w:val="center"/>
          </w:tcPr>
          <w:p w14:paraId="40B6BC88">
            <w:pPr>
              <w:snapToGrid w:val="0"/>
              <w:spacing w:line="240" w:lineRule="auto"/>
              <w:jc w:val="center"/>
              <w:rPr>
                <w:rFonts w:eastAsia="宋体"/>
                <w:b w:val="0"/>
                <w:bCs w:val="0"/>
                <w:color w:val="000000" w:themeColor="text1"/>
                <w:sz w:val="22"/>
                <w:szCs w:val="22"/>
                <w14:textFill>
                  <w14:solidFill>
                    <w14:schemeClr w14:val="tx1"/>
                  </w14:solidFill>
                </w14:textFill>
              </w:rPr>
            </w:pPr>
          </w:p>
        </w:tc>
      </w:tr>
      <w:tr w14:paraId="21F37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703617C7">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α-Terpineol</w:t>
            </w:r>
          </w:p>
        </w:tc>
        <w:tc>
          <w:tcPr>
            <w:tcW w:w="2156" w:type="dxa"/>
            <w:tcBorders>
              <w:top w:val="nil"/>
              <w:left w:val="nil"/>
              <w:bottom w:val="nil"/>
              <w:right w:val="nil"/>
            </w:tcBorders>
            <w:vAlign w:val="center"/>
          </w:tcPr>
          <w:p w14:paraId="68A8726A">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98%</w:t>
            </w:r>
          </w:p>
        </w:tc>
        <w:tc>
          <w:tcPr>
            <w:tcW w:w="3430" w:type="dxa"/>
            <w:tcBorders>
              <w:top w:val="nil"/>
              <w:left w:val="nil"/>
              <w:bottom w:val="nil"/>
              <w:right w:val="nil"/>
            </w:tcBorders>
            <w:vAlign w:val="center"/>
          </w:tcPr>
          <w:p w14:paraId="07F1941E">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Macklin (P. R. China)</w:t>
            </w:r>
          </w:p>
        </w:tc>
      </w:tr>
      <w:tr w14:paraId="1C98A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vAlign w:val="center"/>
          </w:tcPr>
          <w:p w14:paraId="6CE8FAF5">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Ethyl cellulose</w:t>
            </w:r>
          </w:p>
        </w:tc>
        <w:tc>
          <w:tcPr>
            <w:tcW w:w="2156" w:type="dxa"/>
            <w:tcBorders>
              <w:top w:val="nil"/>
              <w:left w:val="nil"/>
              <w:bottom w:val="nil"/>
              <w:right w:val="nil"/>
            </w:tcBorders>
            <w:vAlign w:val="center"/>
          </w:tcPr>
          <w:p w14:paraId="52EAE860">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N/A</w:t>
            </w:r>
          </w:p>
        </w:tc>
        <w:tc>
          <w:tcPr>
            <w:tcW w:w="3430" w:type="dxa"/>
            <w:vMerge w:val="restart"/>
            <w:tcBorders>
              <w:top w:val="nil"/>
              <w:left w:val="nil"/>
              <w:right w:val="nil"/>
            </w:tcBorders>
            <w:vAlign w:val="center"/>
          </w:tcPr>
          <w:p w14:paraId="247A5D9B">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Aladdin (P. R. China)</w:t>
            </w:r>
          </w:p>
        </w:tc>
      </w:tr>
      <w:tr w14:paraId="2BA9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0FBF060B">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Mn</w:t>
            </w:r>
            <w:r>
              <w:rPr>
                <w:rFonts w:eastAsia="宋体"/>
                <w:b w:val="0"/>
                <w:bCs w:val="0"/>
                <w:color w:val="000000" w:themeColor="text1"/>
                <w:sz w:val="22"/>
                <w:szCs w:val="22"/>
                <w:vertAlign w:val="subscript"/>
                <w14:textFill>
                  <w14:solidFill>
                    <w14:schemeClr w14:val="tx1"/>
                  </w14:solidFill>
                </w14:textFill>
              </w:rPr>
              <w:t>3</w:t>
            </w:r>
            <w:r>
              <w:rPr>
                <w:rFonts w:eastAsia="宋体"/>
                <w:b w:val="0"/>
                <w:bCs w:val="0"/>
                <w:color w:val="000000" w:themeColor="text1"/>
                <w:sz w:val="22"/>
                <w:szCs w:val="22"/>
                <w14:textFill>
                  <w14:solidFill>
                    <w14:schemeClr w14:val="tx1"/>
                  </w14:solidFill>
                </w14:textFill>
              </w:rPr>
              <w:t>O</w:t>
            </w:r>
            <w:r>
              <w:rPr>
                <w:rFonts w:eastAsia="宋体"/>
                <w:b w:val="0"/>
                <w:bCs w:val="0"/>
                <w:color w:val="000000" w:themeColor="text1"/>
                <w:sz w:val="22"/>
                <w:szCs w:val="22"/>
                <w:vertAlign w:val="subscript"/>
                <w14:textFill>
                  <w14:solidFill>
                    <w14:schemeClr w14:val="tx1"/>
                  </w14:solidFill>
                </w14:textFill>
              </w:rPr>
              <w:t>4</w:t>
            </w:r>
          </w:p>
        </w:tc>
        <w:tc>
          <w:tcPr>
            <w:tcW w:w="2156" w:type="dxa"/>
            <w:vMerge w:val="restart"/>
            <w:tcBorders>
              <w:top w:val="nil"/>
              <w:left w:val="nil"/>
              <w:right w:val="nil"/>
            </w:tcBorders>
            <w:vAlign w:val="center"/>
          </w:tcPr>
          <w:p w14:paraId="20C4328B">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 98%</w:t>
            </w:r>
          </w:p>
        </w:tc>
        <w:tc>
          <w:tcPr>
            <w:tcW w:w="3430" w:type="dxa"/>
            <w:vMerge w:val="continue"/>
            <w:tcBorders>
              <w:left w:val="nil"/>
              <w:right w:val="nil"/>
            </w:tcBorders>
          </w:tcPr>
          <w:p w14:paraId="7A918FD3">
            <w:pPr>
              <w:spacing w:line="240" w:lineRule="auto"/>
              <w:jc w:val="center"/>
              <w:rPr>
                <w:rFonts w:eastAsia="宋体"/>
                <w:b w:val="0"/>
                <w:bCs w:val="0"/>
                <w:color w:val="000000" w:themeColor="text1"/>
                <w:sz w:val="22"/>
                <w:szCs w:val="22"/>
                <w14:textFill>
                  <w14:solidFill>
                    <w14:schemeClr w14:val="tx1"/>
                  </w14:solidFill>
                </w14:textFill>
              </w:rPr>
            </w:pPr>
          </w:p>
        </w:tc>
      </w:tr>
      <w:tr w14:paraId="20A3F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62DEA422">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Cr</w:t>
            </w:r>
            <w:r>
              <w:rPr>
                <w:rFonts w:eastAsia="宋体"/>
                <w:b w:val="0"/>
                <w:bCs w:val="0"/>
                <w:color w:val="000000" w:themeColor="text1"/>
                <w:sz w:val="22"/>
                <w:szCs w:val="22"/>
                <w:vertAlign w:val="subscript"/>
                <w14:textFill>
                  <w14:solidFill>
                    <w14:schemeClr w14:val="tx1"/>
                  </w14:solidFill>
                </w14:textFill>
              </w:rPr>
              <w:t>2</w:t>
            </w:r>
            <w:r>
              <w:rPr>
                <w:rFonts w:eastAsia="宋体"/>
                <w:b w:val="0"/>
                <w:bCs w:val="0"/>
                <w:color w:val="000000" w:themeColor="text1"/>
                <w:sz w:val="22"/>
                <w:szCs w:val="22"/>
                <w14:textFill>
                  <w14:solidFill>
                    <w14:schemeClr w14:val="tx1"/>
                  </w14:solidFill>
                </w14:textFill>
              </w:rPr>
              <w:t>O</w:t>
            </w:r>
            <w:r>
              <w:rPr>
                <w:rFonts w:eastAsia="宋体"/>
                <w:b w:val="0"/>
                <w:bCs w:val="0"/>
                <w:color w:val="000000" w:themeColor="text1"/>
                <w:sz w:val="22"/>
                <w:szCs w:val="22"/>
                <w:vertAlign w:val="subscript"/>
                <w14:textFill>
                  <w14:solidFill>
                    <w14:schemeClr w14:val="tx1"/>
                  </w14:solidFill>
                </w14:textFill>
              </w:rPr>
              <w:t>3</w:t>
            </w:r>
          </w:p>
        </w:tc>
        <w:tc>
          <w:tcPr>
            <w:tcW w:w="2156" w:type="dxa"/>
            <w:vMerge w:val="continue"/>
            <w:tcBorders>
              <w:left w:val="nil"/>
              <w:right w:val="nil"/>
            </w:tcBorders>
          </w:tcPr>
          <w:p w14:paraId="0F75CBA7">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638878B9">
            <w:pPr>
              <w:spacing w:line="240" w:lineRule="auto"/>
              <w:jc w:val="center"/>
              <w:rPr>
                <w:rFonts w:eastAsia="宋体"/>
                <w:b w:val="0"/>
                <w:bCs w:val="0"/>
                <w:color w:val="000000" w:themeColor="text1"/>
                <w:sz w:val="22"/>
                <w:szCs w:val="22"/>
                <w14:textFill>
                  <w14:solidFill>
                    <w14:schemeClr w14:val="tx1"/>
                  </w14:solidFill>
                </w14:textFill>
              </w:rPr>
            </w:pPr>
          </w:p>
        </w:tc>
      </w:tr>
      <w:tr w14:paraId="4BC7E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2B2ED4C9">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Fe</w:t>
            </w:r>
            <w:r>
              <w:rPr>
                <w:rFonts w:eastAsia="宋体"/>
                <w:b w:val="0"/>
                <w:bCs w:val="0"/>
                <w:color w:val="000000" w:themeColor="text1"/>
                <w:sz w:val="22"/>
                <w:szCs w:val="22"/>
                <w:vertAlign w:val="subscript"/>
                <w14:textFill>
                  <w14:solidFill>
                    <w14:schemeClr w14:val="tx1"/>
                  </w14:solidFill>
                </w14:textFill>
              </w:rPr>
              <w:t>2</w:t>
            </w:r>
            <w:r>
              <w:rPr>
                <w:rFonts w:eastAsia="宋体"/>
                <w:b w:val="0"/>
                <w:bCs w:val="0"/>
                <w:color w:val="000000" w:themeColor="text1"/>
                <w:sz w:val="22"/>
                <w:szCs w:val="22"/>
                <w14:textFill>
                  <w14:solidFill>
                    <w14:schemeClr w14:val="tx1"/>
                  </w14:solidFill>
                </w14:textFill>
              </w:rPr>
              <w:t>O</w:t>
            </w:r>
            <w:r>
              <w:rPr>
                <w:rFonts w:eastAsia="宋体"/>
                <w:b w:val="0"/>
                <w:bCs w:val="0"/>
                <w:color w:val="000000" w:themeColor="text1"/>
                <w:sz w:val="22"/>
                <w:szCs w:val="22"/>
                <w:vertAlign w:val="subscript"/>
                <w14:textFill>
                  <w14:solidFill>
                    <w14:schemeClr w14:val="tx1"/>
                  </w14:solidFill>
                </w14:textFill>
              </w:rPr>
              <w:t>3</w:t>
            </w:r>
          </w:p>
        </w:tc>
        <w:tc>
          <w:tcPr>
            <w:tcW w:w="2156" w:type="dxa"/>
            <w:vMerge w:val="continue"/>
            <w:tcBorders>
              <w:left w:val="nil"/>
              <w:right w:val="nil"/>
            </w:tcBorders>
          </w:tcPr>
          <w:p w14:paraId="19D29F78">
            <w:pPr>
              <w:spacing w:line="240" w:lineRule="auto"/>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7A933A43">
            <w:pPr>
              <w:spacing w:line="240" w:lineRule="auto"/>
              <w:jc w:val="center"/>
              <w:rPr>
                <w:rFonts w:eastAsia="宋体"/>
                <w:b w:val="0"/>
                <w:bCs w:val="0"/>
                <w:color w:val="000000" w:themeColor="text1"/>
                <w:sz w:val="22"/>
                <w:szCs w:val="22"/>
                <w14:textFill>
                  <w14:solidFill>
                    <w14:schemeClr w14:val="tx1"/>
                  </w14:solidFill>
                </w14:textFill>
              </w:rPr>
            </w:pPr>
          </w:p>
        </w:tc>
      </w:tr>
      <w:tr w14:paraId="5621D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6EFF043F">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CeO</w:t>
            </w:r>
            <w:r>
              <w:rPr>
                <w:rFonts w:eastAsia="宋体"/>
                <w:b w:val="0"/>
                <w:bCs w:val="0"/>
                <w:color w:val="000000" w:themeColor="text1"/>
                <w:sz w:val="22"/>
                <w:szCs w:val="22"/>
                <w:vertAlign w:val="subscript"/>
                <w14:textFill>
                  <w14:solidFill>
                    <w14:schemeClr w14:val="tx1"/>
                  </w14:solidFill>
                </w14:textFill>
              </w:rPr>
              <w:t>2</w:t>
            </w:r>
          </w:p>
        </w:tc>
        <w:tc>
          <w:tcPr>
            <w:tcW w:w="2156" w:type="dxa"/>
            <w:vMerge w:val="continue"/>
            <w:tcBorders>
              <w:left w:val="nil"/>
              <w:right w:val="nil"/>
            </w:tcBorders>
          </w:tcPr>
          <w:p w14:paraId="17B50B9C">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352CE0D0">
            <w:pPr>
              <w:spacing w:line="240" w:lineRule="auto"/>
              <w:jc w:val="center"/>
              <w:rPr>
                <w:rFonts w:eastAsia="宋体"/>
                <w:b w:val="0"/>
                <w:bCs w:val="0"/>
                <w:color w:val="000000" w:themeColor="text1"/>
                <w:sz w:val="22"/>
                <w:szCs w:val="22"/>
                <w14:textFill>
                  <w14:solidFill>
                    <w14:schemeClr w14:val="tx1"/>
                  </w14:solidFill>
                </w14:textFill>
              </w:rPr>
            </w:pPr>
          </w:p>
        </w:tc>
      </w:tr>
      <w:tr w14:paraId="7709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56B17CAD">
            <w:pPr>
              <w:snapToGrid w:val="0"/>
              <w:spacing w:line="240" w:lineRule="auto"/>
              <w:jc w:val="center"/>
              <w:rPr>
                <w:rFonts w:eastAsia="宋体"/>
                <w:b w:val="0"/>
                <w:bCs w:val="0"/>
                <w:color w:val="000000" w:themeColor="text1"/>
                <w:sz w:val="22"/>
                <w:szCs w:val="22"/>
                <w14:textFill>
                  <w14:solidFill>
                    <w14:schemeClr w14:val="tx1"/>
                  </w14:solidFill>
                </w14:textFill>
              </w:rPr>
            </w:pPr>
            <w:r>
              <w:rPr>
                <w:rFonts w:hint="eastAsia" w:eastAsia="宋体"/>
                <w:b w:val="0"/>
                <w:bCs w:val="0"/>
                <w:color w:val="000000" w:themeColor="text1"/>
                <w:sz w:val="22"/>
                <w:szCs w:val="22"/>
                <w14:textFill>
                  <w14:solidFill>
                    <w14:schemeClr w14:val="tx1"/>
                  </w14:solidFill>
                </w14:textFill>
              </w:rPr>
              <w:t>CuO</w:t>
            </w:r>
          </w:p>
        </w:tc>
        <w:tc>
          <w:tcPr>
            <w:tcW w:w="2156" w:type="dxa"/>
            <w:vMerge w:val="continue"/>
            <w:tcBorders>
              <w:left w:val="nil"/>
              <w:right w:val="nil"/>
            </w:tcBorders>
          </w:tcPr>
          <w:p w14:paraId="4DB05165">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024BC68C">
            <w:pPr>
              <w:spacing w:line="240" w:lineRule="auto"/>
              <w:jc w:val="center"/>
              <w:rPr>
                <w:rFonts w:eastAsia="宋体"/>
                <w:b w:val="0"/>
                <w:bCs w:val="0"/>
                <w:color w:val="000000" w:themeColor="text1"/>
                <w:sz w:val="22"/>
                <w:szCs w:val="22"/>
                <w14:textFill>
                  <w14:solidFill>
                    <w14:schemeClr w14:val="tx1"/>
                  </w14:solidFill>
                </w14:textFill>
              </w:rPr>
            </w:pPr>
          </w:p>
        </w:tc>
      </w:tr>
      <w:tr w14:paraId="18A8A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6BEC35BE">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SnO</w:t>
            </w:r>
            <w:r>
              <w:rPr>
                <w:rFonts w:eastAsia="宋体"/>
                <w:b w:val="0"/>
                <w:bCs w:val="0"/>
                <w:color w:val="000000" w:themeColor="text1"/>
                <w:sz w:val="22"/>
                <w:szCs w:val="22"/>
                <w:vertAlign w:val="subscript"/>
                <w14:textFill>
                  <w14:solidFill>
                    <w14:schemeClr w14:val="tx1"/>
                  </w14:solidFill>
                </w14:textFill>
              </w:rPr>
              <w:t>2</w:t>
            </w:r>
          </w:p>
        </w:tc>
        <w:tc>
          <w:tcPr>
            <w:tcW w:w="2156" w:type="dxa"/>
            <w:vMerge w:val="continue"/>
            <w:tcBorders>
              <w:left w:val="nil"/>
              <w:right w:val="nil"/>
            </w:tcBorders>
          </w:tcPr>
          <w:p w14:paraId="00F863D3">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3104707F">
            <w:pPr>
              <w:spacing w:line="240" w:lineRule="auto"/>
              <w:jc w:val="center"/>
              <w:rPr>
                <w:rFonts w:eastAsia="宋体"/>
                <w:b w:val="0"/>
                <w:bCs w:val="0"/>
                <w:color w:val="000000" w:themeColor="text1"/>
                <w:sz w:val="22"/>
                <w:szCs w:val="22"/>
                <w14:textFill>
                  <w14:solidFill>
                    <w14:schemeClr w14:val="tx1"/>
                  </w14:solidFill>
                </w14:textFill>
              </w:rPr>
            </w:pPr>
          </w:p>
        </w:tc>
      </w:tr>
      <w:tr w14:paraId="2A4E5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747DDEB3">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TiO</w:t>
            </w:r>
            <w:r>
              <w:rPr>
                <w:rFonts w:eastAsia="宋体"/>
                <w:b w:val="0"/>
                <w:bCs w:val="0"/>
                <w:color w:val="000000" w:themeColor="text1"/>
                <w:sz w:val="22"/>
                <w:szCs w:val="22"/>
                <w:vertAlign w:val="subscript"/>
                <w14:textFill>
                  <w14:solidFill>
                    <w14:schemeClr w14:val="tx1"/>
                  </w14:solidFill>
                </w14:textFill>
              </w:rPr>
              <w:t>2</w:t>
            </w:r>
          </w:p>
        </w:tc>
        <w:tc>
          <w:tcPr>
            <w:tcW w:w="2156" w:type="dxa"/>
            <w:vMerge w:val="continue"/>
            <w:tcBorders>
              <w:left w:val="nil"/>
              <w:right w:val="nil"/>
            </w:tcBorders>
          </w:tcPr>
          <w:p w14:paraId="6D47B23E">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3C78BED8">
            <w:pPr>
              <w:spacing w:line="240" w:lineRule="auto"/>
              <w:jc w:val="center"/>
              <w:rPr>
                <w:rFonts w:eastAsia="宋体"/>
                <w:b w:val="0"/>
                <w:bCs w:val="0"/>
                <w:color w:val="000000" w:themeColor="text1"/>
                <w:sz w:val="22"/>
                <w:szCs w:val="22"/>
                <w14:textFill>
                  <w14:solidFill>
                    <w14:schemeClr w14:val="tx1"/>
                  </w14:solidFill>
                </w14:textFill>
              </w:rPr>
            </w:pPr>
          </w:p>
        </w:tc>
      </w:tr>
      <w:tr w14:paraId="3E26F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4363A4AD">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WO</w:t>
            </w:r>
            <w:r>
              <w:rPr>
                <w:rFonts w:eastAsia="宋体"/>
                <w:b w:val="0"/>
                <w:bCs w:val="0"/>
                <w:color w:val="000000" w:themeColor="text1"/>
                <w:sz w:val="22"/>
                <w:szCs w:val="22"/>
                <w:vertAlign w:val="subscript"/>
                <w14:textFill>
                  <w14:solidFill>
                    <w14:schemeClr w14:val="tx1"/>
                  </w14:solidFill>
                </w14:textFill>
              </w:rPr>
              <w:t>3</w:t>
            </w:r>
          </w:p>
        </w:tc>
        <w:tc>
          <w:tcPr>
            <w:tcW w:w="2156" w:type="dxa"/>
            <w:vMerge w:val="continue"/>
            <w:tcBorders>
              <w:left w:val="nil"/>
              <w:right w:val="nil"/>
            </w:tcBorders>
          </w:tcPr>
          <w:p w14:paraId="3AF3EF3E">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3DFE415F">
            <w:pPr>
              <w:spacing w:line="240" w:lineRule="auto"/>
              <w:jc w:val="center"/>
              <w:rPr>
                <w:rFonts w:eastAsia="宋体"/>
                <w:b w:val="0"/>
                <w:bCs w:val="0"/>
                <w:color w:val="000000" w:themeColor="text1"/>
                <w:sz w:val="22"/>
                <w:szCs w:val="22"/>
                <w14:textFill>
                  <w14:solidFill>
                    <w14:schemeClr w14:val="tx1"/>
                  </w14:solidFill>
                </w14:textFill>
              </w:rPr>
            </w:pPr>
          </w:p>
        </w:tc>
      </w:tr>
      <w:tr w14:paraId="30B4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02EC7A63">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Co</w:t>
            </w:r>
            <w:r>
              <w:rPr>
                <w:rFonts w:eastAsia="宋体"/>
                <w:b w:val="0"/>
                <w:bCs w:val="0"/>
                <w:color w:val="000000" w:themeColor="text1"/>
                <w:sz w:val="22"/>
                <w:szCs w:val="22"/>
                <w:vertAlign w:val="subscript"/>
                <w14:textFill>
                  <w14:solidFill>
                    <w14:schemeClr w14:val="tx1"/>
                  </w14:solidFill>
                </w14:textFill>
              </w:rPr>
              <w:t>3</w:t>
            </w:r>
            <w:r>
              <w:rPr>
                <w:rFonts w:eastAsia="宋体"/>
                <w:b w:val="0"/>
                <w:bCs w:val="0"/>
                <w:color w:val="000000" w:themeColor="text1"/>
                <w:sz w:val="22"/>
                <w:szCs w:val="22"/>
                <w14:textFill>
                  <w14:solidFill>
                    <w14:schemeClr w14:val="tx1"/>
                  </w14:solidFill>
                </w14:textFill>
              </w:rPr>
              <w:t>O</w:t>
            </w:r>
            <w:r>
              <w:rPr>
                <w:rFonts w:eastAsia="宋体"/>
                <w:b w:val="0"/>
                <w:bCs w:val="0"/>
                <w:color w:val="000000" w:themeColor="text1"/>
                <w:sz w:val="22"/>
                <w:szCs w:val="22"/>
                <w:vertAlign w:val="subscript"/>
                <w14:textFill>
                  <w14:solidFill>
                    <w14:schemeClr w14:val="tx1"/>
                  </w14:solidFill>
                </w14:textFill>
              </w:rPr>
              <w:t>4</w:t>
            </w:r>
          </w:p>
        </w:tc>
        <w:tc>
          <w:tcPr>
            <w:tcW w:w="2156" w:type="dxa"/>
            <w:vMerge w:val="continue"/>
            <w:tcBorders>
              <w:left w:val="nil"/>
              <w:right w:val="nil"/>
            </w:tcBorders>
          </w:tcPr>
          <w:p w14:paraId="720988D1">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276F03E1">
            <w:pPr>
              <w:spacing w:line="240" w:lineRule="auto"/>
              <w:jc w:val="center"/>
              <w:rPr>
                <w:rFonts w:eastAsia="宋体"/>
                <w:b w:val="0"/>
                <w:bCs w:val="0"/>
                <w:color w:val="000000" w:themeColor="text1"/>
                <w:sz w:val="22"/>
                <w:szCs w:val="22"/>
                <w14:textFill>
                  <w14:solidFill>
                    <w14:schemeClr w14:val="tx1"/>
                  </w14:solidFill>
                </w14:textFill>
              </w:rPr>
            </w:pPr>
          </w:p>
        </w:tc>
      </w:tr>
      <w:tr w14:paraId="702EC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nil"/>
              <w:right w:val="nil"/>
            </w:tcBorders>
          </w:tcPr>
          <w:p w14:paraId="751FE410">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ZnO</w:t>
            </w:r>
          </w:p>
        </w:tc>
        <w:tc>
          <w:tcPr>
            <w:tcW w:w="2156" w:type="dxa"/>
            <w:vMerge w:val="continue"/>
            <w:tcBorders>
              <w:left w:val="nil"/>
              <w:right w:val="nil"/>
            </w:tcBorders>
          </w:tcPr>
          <w:p w14:paraId="58D000CC">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right w:val="nil"/>
            </w:tcBorders>
          </w:tcPr>
          <w:p w14:paraId="0DA39954">
            <w:pPr>
              <w:spacing w:line="240" w:lineRule="auto"/>
              <w:jc w:val="center"/>
              <w:rPr>
                <w:rFonts w:eastAsia="宋体"/>
                <w:b w:val="0"/>
                <w:bCs w:val="0"/>
                <w:color w:val="000000" w:themeColor="text1"/>
                <w:sz w:val="22"/>
                <w:szCs w:val="22"/>
                <w14:textFill>
                  <w14:solidFill>
                    <w14:schemeClr w14:val="tx1"/>
                  </w14:solidFill>
                </w14:textFill>
              </w:rPr>
            </w:pPr>
          </w:p>
        </w:tc>
      </w:tr>
      <w:tr w14:paraId="356E3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tcBorders>
              <w:top w:val="nil"/>
              <w:left w:val="nil"/>
              <w:bottom w:val="single" w:color="auto" w:sz="12" w:space="0"/>
              <w:right w:val="nil"/>
            </w:tcBorders>
          </w:tcPr>
          <w:p w14:paraId="7140A1E4">
            <w:pPr>
              <w:snapToGrid w:val="0"/>
              <w:spacing w:line="240" w:lineRule="auto"/>
              <w:jc w:val="center"/>
              <w:rPr>
                <w:rFonts w:eastAsia="宋体"/>
                <w:b w:val="0"/>
                <w:bCs w:val="0"/>
                <w:color w:val="000000" w:themeColor="text1"/>
                <w:sz w:val="22"/>
                <w:szCs w:val="22"/>
                <w14:textFill>
                  <w14:solidFill>
                    <w14:schemeClr w14:val="tx1"/>
                  </w14:solidFill>
                </w14:textFill>
              </w:rPr>
            </w:pPr>
            <w:r>
              <w:rPr>
                <w:rFonts w:eastAsia="宋体"/>
                <w:b w:val="0"/>
                <w:bCs w:val="0"/>
                <w:color w:val="000000" w:themeColor="text1"/>
                <w:sz w:val="22"/>
                <w:szCs w:val="22"/>
                <w14:textFill>
                  <w14:solidFill>
                    <w14:schemeClr w14:val="tx1"/>
                  </w14:solidFill>
                </w14:textFill>
              </w:rPr>
              <w:t>NiO</w:t>
            </w:r>
          </w:p>
        </w:tc>
        <w:tc>
          <w:tcPr>
            <w:tcW w:w="2156" w:type="dxa"/>
            <w:vMerge w:val="continue"/>
            <w:tcBorders>
              <w:left w:val="nil"/>
              <w:bottom w:val="single" w:color="auto" w:sz="12" w:space="0"/>
              <w:right w:val="nil"/>
            </w:tcBorders>
          </w:tcPr>
          <w:p w14:paraId="3A7C5FAE">
            <w:pPr>
              <w:spacing w:line="240" w:lineRule="auto"/>
              <w:jc w:val="center"/>
              <w:rPr>
                <w:rFonts w:eastAsia="宋体"/>
                <w:b w:val="0"/>
                <w:bCs w:val="0"/>
                <w:color w:val="000000" w:themeColor="text1"/>
                <w:sz w:val="22"/>
                <w:szCs w:val="22"/>
                <w14:textFill>
                  <w14:solidFill>
                    <w14:schemeClr w14:val="tx1"/>
                  </w14:solidFill>
                </w14:textFill>
              </w:rPr>
            </w:pPr>
          </w:p>
        </w:tc>
        <w:tc>
          <w:tcPr>
            <w:tcW w:w="3430" w:type="dxa"/>
            <w:vMerge w:val="continue"/>
            <w:tcBorders>
              <w:left w:val="nil"/>
              <w:bottom w:val="single" w:color="auto" w:sz="12" w:space="0"/>
              <w:right w:val="nil"/>
            </w:tcBorders>
          </w:tcPr>
          <w:p w14:paraId="1CC5FE03">
            <w:pPr>
              <w:spacing w:line="240" w:lineRule="auto"/>
              <w:jc w:val="center"/>
              <w:rPr>
                <w:rFonts w:eastAsia="宋体"/>
                <w:b w:val="0"/>
                <w:bCs w:val="0"/>
                <w:color w:val="000000" w:themeColor="text1"/>
                <w:sz w:val="22"/>
                <w:szCs w:val="22"/>
                <w14:textFill>
                  <w14:solidFill>
                    <w14:schemeClr w14:val="tx1"/>
                  </w14:solidFill>
                </w14:textFill>
              </w:rPr>
            </w:pPr>
          </w:p>
        </w:tc>
      </w:tr>
    </w:tbl>
    <w:p w14:paraId="1B59ABCC">
      <w:pPr>
        <w:rPr>
          <w:b w:val="0"/>
          <w:bCs w:val="0"/>
          <w:sz w:val="22"/>
          <w:szCs w:val="22"/>
        </w:rPr>
      </w:pPr>
    </w:p>
    <w:p w14:paraId="4A43ACFA"/>
    <w:p w14:paraId="402F68D5"/>
    <w:p w14:paraId="3C00F37D"/>
    <w:p w14:paraId="00AC090F">
      <w:pPr>
        <w:jc w:val="center"/>
        <w:rPr>
          <w:rFonts w:eastAsia="宋体"/>
          <w:b w:val="0"/>
          <w:bCs w:val="0"/>
          <w:kern w:val="0"/>
        </w:rPr>
      </w:pPr>
      <w:r>
        <w:rPr>
          <w:rFonts w:hint="eastAsia"/>
        </w:rPr>
        <w:t>Supplementary T</w:t>
      </w:r>
      <w:r>
        <w:t xml:space="preserve">able </w:t>
      </w:r>
      <w:r>
        <w:rPr>
          <w:rFonts w:hint="eastAsia"/>
        </w:rPr>
        <w:t>2.</w:t>
      </w:r>
      <w:r>
        <w:t xml:space="preserve"> </w:t>
      </w:r>
      <w:r>
        <w:rPr>
          <w:rFonts w:hint="eastAsia" w:eastAsia="宋体"/>
          <w:b w:val="0"/>
          <w:bCs w:val="0"/>
          <w:kern w:val="0"/>
        </w:rPr>
        <w:t>Source of tumor cell lines referred in the research</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2393"/>
        <w:gridCol w:w="3837"/>
      </w:tblGrid>
      <w:tr w14:paraId="69BB4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single" w:color="auto" w:sz="12" w:space="0"/>
              <w:left w:val="nil"/>
              <w:bottom w:val="single" w:color="auto" w:sz="8" w:space="0"/>
              <w:right w:val="nil"/>
            </w:tcBorders>
          </w:tcPr>
          <w:p w14:paraId="5EE69BF8">
            <w:pPr>
              <w:snapToGrid w:val="0"/>
              <w:spacing w:line="300" w:lineRule="auto"/>
              <w:jc w:val="center"/>
              <w:rPr>
                <w:sz w:val="22"/>
                <w:szCs w:val="22"/>
              </w:rPr>
            </w:pPr>
            <w:r>
              <w:rPr>
                <w:rFonts w:hint="eastAsia"/>
                <w:sz w:val="22"/>
                <w:szCs w:val="22"/>
              </w:rPr>
              <w:t>Cancer type</w:t>
            </w:r>
          </w:p>
        </w:tc>
        <w:tc>
          <w:tcPr>
            <w:tcW w:w="2393" w:type="dxa"/>
            <w:tcBorders>
              <w:top w:val="single" w:color="auto" w:sz="12" w:space="0"/>
              <w:left w:val="nil"/>
              <w:bottom w:val="single" w:color="auto" w:sz="8" w:space="0"/>
              <w:right w:val="nil"/>
            </w:tcBorders>
          </w:tcPr>
          <w:p w14:paraId="5CC1DAB2">
            <w:pPr>
              <w:snapToGrid w:val="0"/>
              <w:spacing w:line="300" w:lineRule="auto"/>
              <w:jc w:val="center"/>
              <w:rPr>
                <w:sz w:val="22"/>
                <w:szCs w:val="22"/>
              </w:rPr>
            </w:pPr>
            <w:r>
              <w:rPr>
                <w:rFonts w:hint="eastAsia"/>
                <w:sz w:val="22"/>
                <w:szCs w:val="22"/>
              </w:rPr>
              <w:t>Name of cell lines</w:t>
            </w:r>
          </w:p>
        </w:tc>
        <w:tc>
          <w:tcPr>
            <w:tcW w:w="3837" w:type="dxa"/>
            <w:tcBorders>
              <w:top w:val="single" w:color="auto" w:sz="12" w:space="0"/>
              <w:left w:val="nil"/>
              <w:bottom w:val="single" w:color="auto" w:sz="8" w:space="0"/>
              <w:right w:val="nil"/>
            </w:tcBorders>
          </w:tcPr>
          <w:p w14:paraId="7A7E0BF3">
            <w:pPr>
              <w:snapToGrid w:val="0"/>
              <w:spacing w:line="300" w:lineRule="auto"/>
              <w:jc w:val="center"/>
              <w:rPr>
                <w:sz w:val="22"/>
                <w:szCs w:val="22"/>
              </w:rPr>
            </w:pPr>
            <w:r>
              <w:rPr>
                <w:rFonts w:hint="eastAsia"/>
                <w:sz w:val="22"/>
                <w:szCs w:val="22"/>
              </w:rPr>
              <w:t>Derived from human or mouse</w:t>
            </w:r>
          </w:p>
        </w:tc>
      </w:tr>
      <w:tr w14:paraId="543AB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single" w:color="auto" w:sz="8" w:space="0"/>
              <w:left w:val="nil"/>
              <w:bottom w:val="nil"/>
              <w:right w:val="nil"/>
            </w:tcBorders>
            <w:vAlign w:val="center"/>
          </w:tcPr>
          <w:p w14:paraId="128473CF">
            <w:pPr>
              <w:snapToGrid w:val="0"/>
              <w:spacing w:line="300" w:lineRule="auto"/>
              <w:jc w:val="center"/>
              <w:rPr>
                <w:b w:val="0"/>
                <w:bCs w:val="0"/>
                <w:sz w:val="22"/>
                <w:szCs w:val="22"/>
              </w:rPr>
            </w:pPr>
            <w:r>
              <w:rPr>
                <w:rFonts w:hint="eastAsia"/>
                <w:b w:val="0"/>
                <w:bCs w:val="0"/>
                <w:sz w:val="22"/>
                <w:szCs w:val="22"/>
              </w:rPr>
              <w:t>G</w:t>
            </w:r>
            <w:r>
              <w:rPr>
                <w:b w:val="0"/>
                <w:bCs w:val="0"/>
                <w:sz w:val="22"/>
                <w:szCs w:val="22"/>
              </w:rPr>
              <w:t>astric cancer</w:t>
            </w:r>
          </w:p>
        </w:tc>
        <w:tc>
          <w:tcPr>
            <w:tcW w:w="2393" w:type="dxa"/>
            <w:tcBorders>
              <w:top w:val="single" w:color="auto" w:sz="8" w:space="0"/>
              <w:left w:val="nil"/>
              <w:bottom w:val="nil"/>
              <w:right w:val="nil"/>
            </w:tcBorders>
            <w:vAlign w:val="center"/>
          </w:tcPr>
          <w:p w14:paraId="6BB3AF1F">
            <w:pPr>
              <w:snapToGrid w:val="0"/>
              <w:spacing w:line="300" w:lineRule="auto"/>
              <w:jc w:val="center"/>
              <w:rPr>
                <w:b w:val="0"/>
                <w:bCs w:val="0"/>
                <w:sz w:val="22"/>
                <w:szCs w:val="22"/>
              </w:rPr>
            </w:pPr>
            <w:r>
              <w:rPr>
                <w:b w:val="0"/>
                <w:bCs w:val="0"/>
                <w:sz w:val="22"/>
                <w:szCs w:val="22"/>
              </w:rPr>
              <w:t>MGC-803</w:t>
            </w:r>
          </w:p>
        </w:tc>
        <w:tc>
          <w:tcPr>
            <w:tcW w:w="3837" w:type="dxa"/>
            <w:vMerge w:val="restart"/>
            <w:tcBorders>
              <w:top w:val="single" w:color="auto" w:sz="8" w:space="0"/>
              <w:left w:val="nil"/>
              <w:right w:val="nil"/>
            </w:tcBorders>
            <w:vAlign w:val="center"/>
          </w:tcPr>
          <w:p w14:paraId="5782E380">
            <w:pPr>
              <w:snapToGrid w:val="0"/>
              <w:spacing w:line="300" w:lineRule="auto"/>
              <w:jc w:val="center"/>
              <w:rPr>
                <w:b w:val="0"/>
                <w:bCs w:val="0"/>
                <w:sz w:val="22"/>
                <w:szCs w:val="22"/>
              </w:rPr>
            </w:pPr>
            <w:r>
              <w:rPr>
                <w:rFonts w:hint="eastAsia"/>
                <w:b w:val="0"/>
                <w:bCs w:val="0"/>
                <w:sz w:val="22"/>
                <w:szCs w:val="22"/>
              </w:rPr>
              <w:t>Human</w:t>
            </w:r>
          </w:p>
        </w:tc>
      </w:tr>
      <w:tr w14:paraId="7E6A1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nil"/>
              <w:left w:val="nil"/>
              <w:bottom w:val="nil"/>
              <w:right w:val="nil"/>
            </w:tcBorders>
            <w:vAlign w:val="center"/>
          </w:tcPr>
          <w:p w14:paraId="6C2C75CA">
            <w:pPr>
              <w:snapToGrid w:val="0"/>
              <w:spacing w:line="300" w:lineRule="auto"/>
              <w:jc w:val="center"/>
              <w:rPr>
                <w:b w:val="0"/>
                <w:bCs w:val="0"/>
                <w:sz w:val="22"/>
                <w:szCs w:val="22"/>
              </w:rPr>
            </w:pPr>
            <w:r>
              <w:rPr>
                <w:rFonts w:hint="eastAsia"/>
                <w:b w:val="0"/>
                <w:bCs w:val="0"/>
                <w:sz w:val="22"/>
                <w:szCs w:val="22"/>
              </w:rPr>
              <w:t>L</w:t>
            </w:r>
            <w:r>
              <w:rPr>
                <w:b w:val="0"/>
                <w:bCs w:val="0"/>
                <w:sz w:val="22"/>
                <w:szCs w:val="22"/>
              </w:rPr>
              <w:t>ung cancer</w:t>
            </w:r>
          </w:p>
        </w:tc>
        <w:tc>
          <w:tcPr>
            <w:tcW w:w="2393" w:type="dxa"/>
            <w:tcBorders>
              <w:top w:val="nil"/>
              <w:left w:val="nil"/>
              <w:bottom w:val="nil"/>
              <w:right w:val="nil"/>
            </w:tcBorders>
            <w:vAlign w:val="center"/>
          </w:tcPr>
          <w:p w14:paraId="729A0E53">
            <w:pPr>
              <w:snapToGrid w:val="0"/>
              <w:spacing w:line="300" w:lineRule="auto"/>
              <w:jc w:val="center"/>
              <w:rPr>
                <w:b w:val="0"/>
                <w:bCs w:val="0"/>
                <w:sz w:val="22"/>
                <w:szCs w:val="22"/>
              </w:rPr>
            </w:pPr>
            <w:r>
              <w:rPr>
                <w:b w:val="0"/>
                <w:bCs w:val="0"/>
                <w:sz w:val="22"/>
                <w:szCs w:val="22"/>
              </w:rPr>
              <w:t>A549-Luc</w:t>
            </w:r>
          </w:p>
        </w:tc>
        <w:tc>
          <w:tcPr>
            <w:tcW w:w="3837" w:type="dxa"/>
            <w:vMerge w:val="continue"/>
            <w:tcBorders>
              <w:left w:val="nil"/>
              <w:right w:val="nil"/>
            </w:tcBorders>
            <w:vAlign w:val="center"/>
          </w:tcPr>
          <w:p w14:paraId="6AD18C9F">
            <w:pPr>
              <w:snapToGrid w:val="0"/>
              <w:spacing w:line="300" w:lineRule="auto"/>
              <w:jc w:val="center"/>
              <w:rPr>
                <w:b w:val="0"/>
                <w:bCs w:val="0"/>
                <w:sz w:val="22"/>
                <w:szCs w:val="22"/>
              </w:rPr>
            </w:pPr>
          </w:p>
        </w:tc>
      </w:tr>
      <w:tr w14:paraId="551C1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292" w:type="dxa"/>
            <w:tcBorders>
              <w:top w:val="nil"/>
              <w:left w:val="nil"/>
              <w:bottom w:val="nil"/>
              <w:right w:val="nil"/>
            </w:tcBorders>
            <w:vAlign w:val="center"/>
          </w:tcPr>
          <w:p w14:paraId="000A25A7">
            <w:pPr>
              <w:snapToGrid w:val="0"/>
              <w:spacing w:line="300" w:lineRule="auto"/>
              <w:jc w:val="center"/>
              <w:rPr>
                <w:b w:val="0"/>
                <w:bCs w:val="0"/>
                <w:sz w:val="22"/>
                <w:szCs w:val="22"/>
              </w:rPr>
            </w:pPr>
            <w:r>
              <w:rPr>
                <w:rFonts w:hint="eastAsia"/>
                <w:b w:val="0"/>
                <w:bCs w:val="0"/>
                <w:sz w:val="22"/>
                <w:szCs w:val="22"/>
              </w:rPr>
              <w:t>L</w:t>
            </w:r>
            <w:r>
              <w:rPr>
                <w:b w:val="0"/>
                <w:bCs w:val="0"/>
                <w:sz w:val="22"/>
                <w:szCs w:val="22"/>
              </w:rPr>
              <w:t>iver cancer</w:t>
            </w:r>
          </w:p>
        </w:tc>
        <w:tc>
          <w:tcPr>
            <w:tcW w:w="2393" w:type="dxa"/>
            <w:tcBorders>
              <w:top w:val="nil"/>
              <w:left w:val="nil"/>
              <w:bottom w:val="nil"/>
              <w:right w:val="nil"/>
            </w:tcBorders>
            <w:vAlign w:val="center"/>
          </w:tcPr>
          <w:p w14:paraId="097FC862">
            <w:pPr>
              <w:snapToGrid w:val="0"/>
              <w:spacing w:line="300" w:lineRule="auto"/>
              <w:jc w:val="center"/>
              <w:rPr>
                <w:b w:val="0"/>
                <w:bCs w:val="0"/>
                <w:sz w:val="22"/>
                <w:szCs w:val="22"/>
              </w:rPr>
            </w:pPr>
            <w:r>
              <w:rPr>
                <w:b w:val="0"/>
                <w:bCs w:val="0"/>
                <w:sz w:val="22"/>
                <w:szCs w:val="22"/>
              </w:rPr>
              <w:t>Huh7-Luc</w:t>
            </w:r>
          </w:p>
        </w:tc>
        <w:tc>
          <w:tcPr>
            <w:tcW w:w="3837" w:type="dxa"/>
            <w:vMerge w:val="continue"/>
            <w:tcBorders>
              <w:left w:val="nil"/>
              <w:right w:val="nil"/>
            </w:tcBorders>
            <w:vAlign w:val="center"/>
          </w:tcPr>
          <w:p w14:paraId="5A466FE7">
            <w:pPr>
              <w:snapToGrid w:val="0"/>
              <w:spacing w:line="300" w:lineRule="auto"/>
              <w:jc w:val="center"/>
              <w:rPr>
                <w:b w:val="0"/>
                <w:bCs w:val="0"/>
                <w:sz w:val="22"/>
                <w:szCs w:val="22"/>
              </w:rPr>
            </w:pPr>
          </w:p>
        </w:tc>
      </w:tr>
      <w:tr w14:paraId="53131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nil"/>
              <w:left w:val="nil"/>
              <w:bottom w:val="nil"/>
              <w:right w:val="nil"/>
            </w:tcBorders>
            <w:vAlign w:val="center"/>
          </w:tcPr>
          <w:p w14:paraId="112C91FF">
            <w:pPr>
              <w:snapToGrid w:val="0"/>
              <w:spacing w:line="300" w:lineRule="auto"/>
              <w:jc w:val="center"/>
              <w:rPr>
                <w:b w:val="0"/>
                <w:bCs w:val="0"/>
                <w:sz w:val="22"/>
                <w:szCs w:val="22"/>
              </w:rPr>
            </w:pPr>
            <w:r>
              <w:rPr>
                <w:rFonts w:hint="eastAsia"/>
                <w:b w:val="0"/>
                <w:bCs w:val="0"/>
                <w:sz w:val="22"/>
                <w:szCs w:val="22"/>
              </w:rPr>
              <w:t>C</w:t>
            </w:r>
            <w:r>
              <w:rPr>
                <w:b w:val="0"/>
                <w:bCs w:val="0"/>
                <w:sz w:val="22"/>
                <w:szCs w:val="22"/>
              </w:rPr>
              <w:t>olorectal cancer</w:t>
            </w:r>
          </w:p>
        </w:tc>
        <w:tc>
          <w:tcPr>
            <w:tcW w:w="2393" w:type="dxa"/>
            <w:tcBorders>
              <w:top w:val="nil"/>
              <w:left w:val="nil"/>
              <w:bottom w:val="nil"/>
              <w:right w:val="nil"/>
            </w:tcBorders>
            <w:vAlign w:val="center"/>
          </w:tcPr>
          <w:p w14:paraId="0742B0D9">
            <w:pPr>
              <w:snapToGrid w:val="0"/>
              <w:spacing w:line="300" w:lineRule="auto"/>
              <w:jc w:val="center"/>
              <w:rPr>
                <w:b w:val="0"/>
                <w:bCs w:val="0"/>
                <w:sz w:val="22"/>
                <w:szCs w:val="22"/>
              </w:rPr>
            </w:pPr>
            <w:r>
              <w:rPr>
                <w:b w:val="0"/>
                <w:bCs w:val="0"/>
                <w:sz w:val="22"/>
                <w:szCs w:val="22"/>
              </w:rPr>
              <w:t>HCT116-Luc</w:t>
            </w:r>
          </w:p>
        </w:tc>
        <w:tc>
          <w:tcPr>
            <w:tcW w:w="3837" w:type="dxa"/>
            <w:vMerge w:val="continue"/>
            <w:tcBorders>
              <w:left w:val="nil"/>
              <w:right w:val="nil"/>
            </w:tcBorders>
            <w:vAlign w:val="center"/>
          </w:tcPr>
          <w:p w14:paraId="2B0159C6">
            <w:pPr>
              <w:snapToGrid w:val="0"/>
              <w:spacing w:line="300" w:lineRule="auto"/>
              <w:jc w:val="center"/>
              <w:rPr>
                <w:b w:val="0"/>
                <w:bCs w:val="0"/>
                <w:sz w:val="22"/>
                <w:szCs w:val="22"/>
              </w:rPr>
            </w:pPr>
          </w:p>
        </w:tc>
      </w:tr>
      <w:tr w14:paraId="4664A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nil"/>
              <w:left w:val="nil"/>
              <w:bottom w:val="nil"/>
              <w:right w:val="nil"/>
            </w:tcBorders>
            <w:vAlign w:val="center"/>
          </w:tcPr>
          <w:p w14:paraId="2E19D42B">
            <w:pPr>
              <w:snapToGrid w:val="0"/>
              <w:spacing w:line="300" w:lineRule="auto"/>
              <w:jc w:val="center"/>
              <w:rPr>
                <w:b w:val="0"/>
                <w:bCs w:val="0"/>
                <w:sz w:val="22"/>
                <w:szCs w:val="22"/>
              </w:rPr>
            </w:pPr>
            <w:r>
              <w:rPr>
                <w:rFonts w:hint="eastAsia"/>
                <w:b w:val="0"/>
                <w:bCs w:val="0"/>
                <w:sz w:val="22"/>
                <w:szCs w:val="22"/>
              </w:rPr>
              <w:t>B</w:t>
            </w:r>
            <w:r>
              <w:rPr>
                <w:b w:val="0"/>
                <w:bCs w:val="0"/>
                <w:sz w:val="22"/>
                <w:szCs w:val="22"/>
              </w:rPr>
              <w:t>reast cancer</w:t>
            </w:r>
          </w:p>
        </w:tc>
        <w:tc>
          <w:tcPr>
            <w:tcW w:w="2393" w:type="dxa"/>
            <w:tcBorders>
              <w:top w:val="nil"/>
              <w:left w:val="nil"/>
              <w:bottom w:val="nil"/>
              <w:right w:val="nil"/>
            </w:tcBorders>
            <w:vAlign w:val="center"/>
          </w:tcPr>
          <w:p w14:paraId="2F281C8D">
            <w:pPr>
              <w:snapToGrid w:val="0"/>
              <w:spacing w:line="300" w:lineRule="auto"/>
              <w:jc w:val="center"/>
              <w:rPr>
                <w:b w:val="0"/>
                <w:bCs w:val="0"/>
                <w:sz w:val="22"/>
                <w:szCs w:val="22"/>
              </w:rPr>
            </w:pPr>
            <w:r>
              <w:rPr>
                <w:b w:val="0"/>
                <w:bCs w:val="0"/>
                <w:sz w:val="22"/>
                <w:szCs w:val="22"/>
              </w:rPr>
              <w:t>MDA-MB-231-Luc</w:t>
            </w:r>
          </w:p>
        </w:tc>
        <w:tc>
          <w:tcPr>
            <w:tcW w:w="3837" w:type="dxa"/>
            <w:vMerge w:val="continue"/>
            <w:tcBorders>
              <w:left w:val="nil"/>
              <w:bottom w:val="nil"/>
              <w:right w:val="nil"/>
            </w:tcBorders>
            <w:vAlign w:val="center"/>
          </w:tcPr>
          <w:p w14:paraId="12CDCF6A">
            <w:pPr>
              <w:snapToGrid w:val="0"/>
              <w:spacing w:line="300" w:lineRule="auto"/>
              <w:jc w:val="center"/>
              <w:rPr>
                <w:b w:val="0"/>
                <w:bCs w:val="0"/>
                <w:sz w:val="22"/>
                <w:szCs w:val="22"/>
              </w:rPr>
            </w:pPr>
          </w:p>
        </w:tc>
      </w:tr>
      <w:tr w14:paraId="5B02C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dxa"/>
            <w:tcBorders>
              <w:top w:val="nil"/>
              <w:left w:val="nil"/>
              <w:bottom w:val="single" w:color="auto" w:sz="12" w:space="0"/>
              <w:right w:val="nil"/>
            </w:tcBorders>
            <w:vAlign w:val="center"/>
          </w:tcPr>
          <w:p w14:paraId="1342A68B">
            <w:pPr>
              <w:snapToGrid w:val="0"/>
              <w:spacing w:line="300" w:lineRule="auto"/>
              <w:jc w:val="center"/>
              <w:rPr>
                <w:b w:val="0"/>
                <w:bCs w:val="0"/>
                <w:sz w:val="22"/>
                <w:szCs w:val="22"/>
              </w:rPr>
            </w:pPr>
            <w:r>
              <w:rPr>
                <w:rFonts w:hint="eastAsia"/>
                <w:b w:val="0"/>
                <w:bCs w:val="0"/>
                <w:sz w:val="22"/>
                <w:szCs w:val="22"/>
              </w:rPr>
              <w:t>R</w:t>
            </w:r>
            <w:r>
              <w:rPr>
                <w:b w:val="0"/>
                <w:bCs w:val="0"/>
                <w:sz w:val="22"/>
                <w:szCs w:val="22"/>
              </w:rPr>
              <w:t>enal carcinoma</w:t>
            </w:r>
          </w:p>
        </w:tc>
        <w:tc>
          <w:tcPr>
            <w:tcW w:w="2393" w:type="dxa"/>
            <w:tcBorders>
              <w:top w:val="nil"/>
              <w:left w:val="nil"/>
              <w:bottom w:val="single" w:color="auto" w:sz="12" w:space="0"/>
              <w:right w:val="nil"/>
            </w:tcBorders>
            <w:vAlign w:val="center"/>
          </w:tcPr>
          <w:p w14:paraId="45981A20">
            <w:pPr>
              <w:snapToGrid w:val="0"/>
              <w:spacing w:line="300" w:lineRule="auto"/>
              <w:jc w:val="center"/>
              <w:rPr>
                <w:b w:val="0"/>
                <w:bCs w:val="0"/>
                <w:sz w:val="22"/>
                <w:szCs w:val="22"/>
              </w:rPr>
            </w:pPr>
            <w:r>
              <w:rPr>
                <w:b w:val="0"/>
                <w:bCs w:val="0"/>
                <w:sz w:val="22"/>
                <w:szCs w:val="22"/>
              </w:rPr>
              <w:t>Renca-Luc</w:t>
            </w:r>
          </w:p>
        </w:tc>
        <w:tc>
          <w:tcPr>
            <w:tcW w:w="3837" w:type="dxa"/>
            <w:tcBorders>
              <w:top w:val="nil"/>
              <w:left w:val="nil"/>
              <w:bottom w:val="single" w:color="auto" w:sz="12" w:space="0"/>
              <w:right w:val="nil"/>
            </w:tcBorders>
            <w:vAlign w:val="center"/>
          </w:tcPr>
          <w:p w14:paraId="79AB4356">
            <w:pPr>
              <w:snapToGrid w:val="0"/>
              <w:spacing w:line="300" w:lineRule="auto"/>
              <w:jc w:val="center"/>
              <w:rPr>
                <w:b w:val="0"/>
                <w:bCs w:val="0"/>
                <w:sz w:val="22"/>
                <w:szCs w:val="22"/>
              </w:rPr>
            </w:pPr>
            <w:r>
              <w:rPr>
                <w:rFonts w:hint="eastAsia"/>
                <w:b w:val="0"/>
                <w:bCs w:val="0"/>
                <w:sz w:val="22"/>
                <w:szCs w:val="22"/>
              </w:rPr>
              <w:t>Mouse</w:t>
            </w:r>
          </w:p>
        </w:tc>
      </w:tr>
    </w:tbl>
    <w:p w14:paraId="19A4DE80">
      <w:pPr>
        <w:snapToGrid w:val="0"/>
        <w:spacing w:line="300" w:lineRule="auto"/>
        <w:jc w:val="center"/>
      </w:pPr>
    </w:p>
    <w:p w14:paraId="012DFE34"/>
    <w:p w14:paraId="5E4C7CEE"/>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8000012" w:usb3="00000000" w:csb0="0002009F" w:csb1="00000000"/>
  </w:font>
  <w:font w:name="sans-serif">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1C41A">
    <w:pPr>
      <w:pStyle w:val="4"/>
      <w:rPr>
        <w:i/>
        <w:iCs/>
        <w:sz w:val="24"/>
        <w:szCs w:val="24"/>
      </w:rPr>
    </w:pPr>
    <w:r>
      <w:rPr>
        <w:rFonts w:hint="eastAsia"/>
        <w:i/>
        <w:iCs/>
        <w:sz w:val="24"/>
        <w:szCs w:val="24"/>
      </w:rPr>
      <w:t>Supplementary 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6C22A"/>
    <w:multiLevelType w:val="singleLevel"/>
    <w:tmpl w:val="AED6C22A"/>
    <w:lvl w:ilvl="0" w:tentative="0">
      <w:start w:val="1"/>
      <w:numFmt w:val="decimal"/>
      <w:suff w:val="space"/>
      <w:lvlText w:val="(%1)"/>
      <w:lvlJc w:val="left"/>
    </w:lvl>
  </w:abstractNum>
  <w:abstractNum w:abstractNumId="1">
    <w:nsid w:val="BE84DA37"/>
    <w:multiLevelType w:val="singleLevel"/>
    <w:tmpl w:val="BE84DA37"/>
    <w:lvl w:ilvl="0" w:tentative="0">
      <w:start w:val="1"/>
      <w:numFmt w:val="decimal"/>
      <w:lvlText w:val="%1."/>
      <w:lvlJc w:val="left"/>
      <w:pPr>
        <w:tabs>
          <w:tab w:val="left" w:pos="420"/>
        </w:tabs>
      </w:pPr>
    </w:lvl>
  </w:abstractNum>
  <w:abstractNum w:abstractNumId="2">
    <w:nsid w:val="D58CEA07"/>
    <w:multiLevelType w:val="singleLevel"/>
    <w:tmpl w:val="D58CEA07"/>
    <w:lvl w:ilvl="0" w:tentative="0">
      <w:start w:val="1"/>
      <w:numFmt w:val="decimal"/>
      <w:suff w:val="space"/>
      <w:lvlText w:val="(%1)"/>
      <w:lvlJc w:val="left"/>
    </w:lvl>
  </w:abstractNum>
  <w:abstractNum w:abstractNumId="3">
    <w:nsid w:val="DD8ADCAB"/>
    <w:multiLevelType w:val="singleLevel"/>
    <w:tmpl w:val="DD8ADCAB"/>
    <w:lvl w:ilvl="0" w:tentative="0">
      <w:start w:val="1"/>
      <w:numFmt w:val="decimal"/>
      <w:lvlText w:val="%1."/>
      <w:lvlJc w:val="left"/>
      <w:pPr>
        <w:ind w:left="425" w:hanging="425"/>
      </w:pPr>
      <w:rPr>
        <w:rFonts w:hint="default"/>
      </w:rPr>
    </w:lvl>
  </w:abstractNum>
  <w:abstractNum w:abstractNumId="4">
    <w:nsid w:val="1B341C06"/>
    <w:multiLevelType w:val="singleLevel"/>
    <w:tmpl w:val="1B341C06"/>
    <w:lvl w:ilvl="0" w:tentative="0">
      <w:start w:val="1"/>
      <w:numFmt w:val="decimal"/>
      <w:lvlText w:val="%1."/>
      <w:lvlJc w:val="left"/>
      <w:pPr>
        <w:tabs>
          <w:tab w:val="left" w:pos="420"/>
        </w:tabs>
      </w:pPr>
    </w:lvl>
  </w:abstractNum>
  <w:abstractNum w:abstractNumId="5">
    <w:nsid w:val="381B5C9D"/>
    <w:multiLevelType w:val="singleLevel"/>
    <w:tmpl w:val="381B5C9D"/>
    <w:lvl w:ilvl="0" w:tentative="0">
      <w:start w:val="1"/>
      <w:numFmt w:val="decimal"/>
      <w:suff w:val="space"/>
      <w:lvlText w:val="(%1)"/>
      <w:lvlJc w:val="left"/>
    </w:lvl>
  </w:abstractNum>
  <w:abstractNum w:abstractNumId="6">
    <w:nsid w:val="45AEA72A"/>
    <w:multiLevelType w:val="singleLevel"/>
    <w:tmpl w:val="45AEA72A"/>
    <w:lvl w:ilvl="0" w:tentative="0">
      <w:start w:val="1"/>
      <w:numFmt w:val="decimal"/>
      <w:lvlText w:val="%1."/>
      <w:lvlJc w:val="left"/>
      <w:pPr>
        <w:tabs>
          <w:tab w:val="left" w:pos="420"/>
        </w:tabs>
      </w:pPr>
      <w:rPr>
        <w:rFonts w:hint="default"/>
        <w:b w:val="0"/>
        <w:bCs w:val="0"/>
      </w:rPr>
    </w:lvl>
  </w:abstractNum>
  <w:num w:numId="1">
    <w:abstractNumId w:val="3"/>
  </w:num>
  <w:num w:numId="2">
    <w:abstractNumId w:val="6"/>
  </w:num>
  <w:num w:numId="3">
    <w:abstractNumId w:val="4"/>
  </w:num>
  <w:num w:numId="4">
    <w:abstractNumId w:val="1"/>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k4MDdiMzMwMjhmYzc4MzBlMmNhMGMyZTRkNzY3MDEifQ=="/>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5zstseqrdf5re5dft5e02utp0afetzxsdv&quot;&gt;My EndNote Library&lt;record-ids&gt;&lt;item&gt;1&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record-ids&gt;&lt;/item&gt;&lt;/Libraries&gt;"/>
  </w:docVars>
  <w:rsids>
    <w:rsidRoot w:val="00273053"/>
    <w:rsid w:val="000609D1"/>
    <w:rsid w:val="00065C02"/>
    <w:rsid w:val="00082CF7"/>
    <w:rsid w:val="00095016"/>
    <w:rsid w:val="000C205F"/>
    <w:rsid w:val="000D493D"/>
    <w:rsid w:val="00101C9A"/>
    <w:rsid w:val="001042FA"/>
    <w:rsid w:val="00121927"/>
    <w:rsid w:val="001246FA"/>
    <w:rsid w:val="00150DB4"/>
    <w:rsid w:val="00156280"/>
    <w:rsid w:val="0019363C"/>
    <w:rsid w:val="0019458B"/>
    <w:rsid w:val="001B51CE"/>
    <w:rsid w:val="001D4F8C"/>
    <w:rsid w:val="001E6A9F"/>
    <w:rsid w:val="002078A1"/>
    <w:rsid w:val="00273053"/>
    <w:rsid w:val="00285CCC"/>
    <w:rsid w:val="00292D8B"/>
    <w:rsid w:val="002A3654"/>
    <w:rsid w:val="002A370F"/>
    <w:rsid w:val="002A6ABA"/>
    <w:rsid w:val="002A6D2E"/>
    <w:rsid w:val="002C36E3"/>
    <w:rsid w:val="002D2BB3"/>
    <w:rsid w:val="002F490C"/>
    <w:rsid w:val="003319AA"/>
    <w:rsid w:val="00351A0E"/>
    <w:rsid w:val="00375454"/>
    <w:rsid w:val="00380807"/>
    <w:rsid w:val="003A2043"/>
    <w:rsid w:val="003C1C12"/>
    <w:rsid w:val="003D270C"/>
    <w:rsid w:val="003F1166"/>
    <w:rsid w:val="004344B6"/>
    <w:rsid w:val="00434AFB"/>
    <w:rsid w:val="00453A12"/>
    <w:rsid w:val="0048445F"/>
    <w:rsid w:val="00497330"/>
    <w:rsid w:val="004F279D"/>
    <w:rsid w:val="00503C1B"/>
    <w:rsid w:val="005066A1"/>
    <w:rsid w:val="005131B0"/>
    <w:rsid w:val="005320A1"/>
    <w:rsid w:val="005442B6"/>
    <w:rsid w:val="00546242"/>
    <w:rsid w:val="00573419"/>
    <w:rsid w:val="005A5563"/>
    <w:rsid w:val="00642E1C"/>
    <w:rsid w:val="00666CAD"/>
    <w:rsid w:val="006B339E"/>
    <w:rsid w:val="006B4871"/>
    <w:rsid w:val="006E2946"/>
    <w:rsid w:val="007144E9"/>
    <w:rsid w:val="00722E2E"/>
    <w:rsid w:val="00727F92"/>
    <w:rsid w:val="00737591"/>
    <w:rsid w:val="007830B2"/>
    <w:rsid w:val="007A512D"/>
    <w:rsid w:val="007C770C"/>
    <w:rsid w:val="007E7F4F"/>
    <w:rsid w:val="008048B1"/>
    <w:rsid w:val="00817A71"/>
    <w:rsid w:val="00822413"/>
    <w:rsid w:val="00860C5E"/>
    <w:rsid w:val="00865061"/>
    <w:rsid w:val="00865877"/>
    <w:rsid w:val="00870425"/>
    <w:rsid w:val="00881F2C"/>
    <w:rsid w:val="00901436"/>
    <w:rsid w:val="009228A6"/>
    <w:rsid w:val="00960301"/>
    <w:rsid w:val="00961E8D"/>
    <w:rsid w:val="00972B06"/>
    <w:rsid w:val="009730DC"/>
    <w:rsid w:val="0098232A"/>
    <w:rsid w:val="009A0C8A"/>
    <w:rsid w:val="009C380B"/>
    <w:rsid w:val="009E0095"/>
    <w:rsid w:val="00A1693B"/>
    <w:rsid w:val="00A51C33"/>
    <w:rsid w:val="00A52819"/>
    <w:rsid w:val="00A546A1"/>
    <w:rsid w:val="00A90F22"/>
    <w:rsid w:val="00B01F4B"/>
    <w:rsid w:val="00B218A6"/>
    <w:rsid w:val="00B25448"/>
    <w:rsid w:val="00B3620D"/>
    <w:rsid w:val="00B659FC"/>
    <w:rsid w:val="00B81829"/>
    <w:rsid w:val="00BA580E"/>
    <w:rsid w:val="00BC012A"/>
    <w:rsid w:val="00BD4DD7"/>
    <w:rsid w:val="00BD5DC9"/>
    <w:rsid w:val="00BF39D8"/>
    <w:rsid w:val="00C0713E"/>
    <w:rsid w:val="00C16C97"/>
    <w:rsid w:val="00C43BD2"/>
    <w:rsid w:val="00C56D4C"/>
    <w:rsid w:val="00C70BBD"/>
    <w:rsid w:val="00C74BEC"/>
    <w:rsid w:val="00CE7F15"/>
    <w:rsid w:val="00D25E43"/>
    <w:rsid w:val="00D31158"/>
    <w:rsid w:val="00D330E9"/>
    <w:rsid w:val="00D33632"/>
    <w:rsid w:val="00D35500"/>
    <w:rsid w:val="00D51DA2"/>
    <w:rsid w:val="00D67458"/>
    <w:rsid w:val="00D770E7"/>
    <w:rsid w:val="00D84243"/>
    <w:rsid w:val="00DA5067"/>
    <w:rsid w:val="00DE3BFC"/>
    <w:rsid w:val="00E068F6"/>
    <w:rsid w:val="00E1336B"/>
    <w:rsid w:val="00E509B0"/>
    <w:rsid w:val="00E60AEE"/>
    <w:rsid w:val="00E60D72"/>
    <w:rsid w:val="00E623A2"/>
    <w:rsid w:val="00E721A5"/>
    <w:rsid w:val="00E810C2"/>
    <w:rsid w:val="00E81F11"/>
    <w:rsid w:val="00EC7A15"/>
    <w:rsid w:val="00F027EB"/>
    <w:rsid w:val="00F21B52"/>
    <w:rsid w:val="00F23BFA"/>
    <w:rsid w:val="00F611DF"/>
    <w:rsid w:val="00F73B8A"/>
    <w:rsid w:val="00F907F3"/>
    <w:rsid w:val="00FD0092"/>
    <w:rsid w:val="00FF09D8"/>
    <w:rsid w:val="01C20E68"/>
    <w:rsid w:val="01E07299"/>
    <w:rsid w:val="02222A58"/>
    <w:rsid w:val="02315D47"/>
    <w:rsid w:val="02353A89"/>
    <w:rsid w:val="023870D5"/>
    <w:rsid w:val="024F7D9B"/>
    <w:rsid w:val="025F0B06"/>
    <w:rsid w:val="02CB619B"/>
    <w:rsid w:val="03583D3C"/>
    <w:rsid w:val="03795BF7"/>
    <w:rsid w:val="037B54CB"/>
    <w:rsid w:val="03D270B5"/>
    <w:rsid w:val="04E118B3"/>
    <w:rsid w:val="04EC6475"/>
    <w:rsid w:val="04FA5773"/>
    <w:rsid w:val="051F24C1"/>
    <w:rsid w:val="05AE4718"/>
    <w:rsid w:val="05BD613B"/>
    <w:rsid w:val="06294BCD"/>
    <w:rsid w:val="064B5D63"/>
    <w:rsid w:val="065C6392"/>
    <w:rsid w:val="068C16E9"/>
    <w:rsid w:val="069B14FB"/>
    <w:rsid w:val="07007F1F"/>
    <w:rsid w:val="071E02B0"/>
    <w:rsid w:val="072652DB"/>
    <w:rsid w:val="076170CE"/>
    <w:rsid w:val="078D3FF4"/>
    <w:rsid w:val="0897252E"/>
    <w:rsid w:val="08AC25CB"/>
    <w:rsid w:val="08E12275"/>
    <w:rsid w:val="09320D22"/>
    <w:rsid w:val="09713038"/>
    <w:rsid w:val="09ED2E9B"/>
    <w:rsid w:val="0A172DA2"/>
    <w:rsid w:val="0A6C7D4F"/>
    <w:rsid w:val="0A896E53"/>
    <w:rsid w:val="0A8A06EA"/>
    <w:rsid w:val="0A8F7AAE"/>
    <w:rsid w:val="0AAD355C"/>
    <w:rsid w:val="0AF26DCC"/>
    <w:rsid w:val="0B230FE8"/>
    <w:rsid w:val="0B2C354F"/>
    <w:rsid w:val="0B7A639A"/>
    <w:rsid w:val="0B804495"/>
    <w:rsid w:val="0BC04A78"/>
    <w:rsid w:val="0BC65752"/>
    <w:rsid w:val="0C035BE8"/>
    <w:rsid w:val="0C0A73CF"/>
    <w:rsid w:val="0C0F616A"/>
    <w:rsid w:val="0C281C8C"/>
    <w:rsid w:val="0C450D6C"/>
    <w:rsid w:val="0C4D7835"/>
    <w:rsid w:val="0C801DA5"/>
    <w:rsid w:val="0CA912FB"/>
    <w:rsid w:val="0D576FA9"/>
    <w:rsid w:val="0D65759A"/>
    <w:rsid w:val="0D79048F"/>
    <w:rsid w:val="0DB443F4"/>
    <w:rsid w:val="0DFC2E62"/>
    <w:rsid w:val="0E52151F"/>
    <w:rsid w:val="0E7D2ACE"/>
    <w:rsid w:val="0EB8313F"/>
    <w:rsid w:val="0EEF0888"/>
    <w:rsid w:val="0EF32D02"/>
    <w:rsid w:val="0F052A35"/>
    <w:rsid w:val="0F5D7FB3"/>
    <w:rsid w:val="0FEE34C9"/>
    <w:rsid w:val="10375DDC"/>
    <w:rsid w:val="10492599"/>
    <w:rsid w:val="108C6F6A"/>
    <w:rsid w:val="10E56D3F"/>
    <w:rsid w:val="110806D7"/>
    <w:rsid w:val="11136750"/>
    <w:rsid w:val="11755C50"/>
    <w:rsid w:val="118D3D00"/>
    <w:rsid w:val="11B229F9"/>
    <w:rsid w:val="11C37E00"/>
    <w:rsid w:val="120038EF"/>
    <w:rsid w:val="120665B1"/>
    <w:rsid w:val="1218113C"/>
    <w:rsid w:val="122D08D1"/>
    <w:rsid w:val="12A3785C"/>
    <w:rsid w:val="13143247"/>
    <w:rsid w:val="1333423A"/>
    <w:rsid w:val="13BC5DB8"/>
    <w:rsid w:val="141253DE"/>
    <w:rsid w:val="14270D58"/>
    <w:rsid w:val="14303EF8"/>
    <w:rsid w:val="14A86E56"/>
    <w:rsid w:val="14CA62B3"/>
    <w:rsid w:val="162030DB"/>
    <w:rsid w:val="16347BDB"/>
    <w:rsid w:val="16351E52"/>
    <w:rsid w:val="164D2EC6"/>
    <w:rsid w:val="166938A9"/>
    <w:rsid w:val="16A75B40"/>
    <w:rsid w:val="16BF1734"/>
    <w:rsid w:val="16E573D4"/>
    <w:rsid w:val="1711411E"/>
    <w:rsid w:val="1739327C"/>
    <w:rsid w:val="179F5B2C"/>
    <w:rsid w:val="17F923F6"/>
    <w:rsid w:val="1851284F"/>
    <w:rsid w:val="18641014"/>
    <w:rsid w:val="18BD2FE6"/>
    <w:rsid w:val="18FF4051"/>
    <w:rsid w:val="19BA14ED"/>
    <w:rsid w:val="19C03979"/>
    <w:rsid w:val="1A09162B"/>
    <w:rsid w:val="1A586241"/>
    <w:rsid w:val="1A626F8D"/>
    <w:rsid w:val="1A925AE7"/>
    <w:rsid w:val="1ACB68E1"/>
    <w:rsid w:val="1AE752A7"/>
    <w:rsid w:val="1AE84E38"/>
    <w:rsid w:val="1AFC2F3E"/>
    <w:rsid w:val="1B1D4E84"/>
    <w:rsid w:val="1BF52E09"/>
    <w:rsid w:val="1BF70CA4"/>
    <w:rsid w:val="1C6D2191"/>
    <w:rsid w:val="1C821008"/>
    <w:rsid w:val="1C8975D9"/>
    <w:rsid w:val="1DE859FC"/>
    <w:rsid w:val="1E26396D"/>
    <w:rsid w:val="1E764106"/>
    <w:rsid w:val="1E816AD7"/>
    <w:rsid w:val="1E960B39"/>
    <w:rsid w:val="1F297031"/>
    <w:rsid w:val="1F46080D"/>
    <w:rsid w:val="1F602366"/>
    <w:rsid w:val="1F8D3606"/>
    <w:rsid w:val="1FC752CE"/>
    <w:rsid w:val="20427645"/>
    <w:rsid w:val="20461A3D"/>
    <w:rsid w:val="20F546B7"/>
    <w:rsid w:val="211A596E"/>
    <w:rsid w:val="224D3B7D"/>
    <w:rsid w:val="226B40CD"/>
    <w:rsid w:val="22BB36DF"/>
    <w:rsid w:val="22E76282"/>
    <w:rsid w:val="22F32E79"/>
    <w:rsid w:val="22FA5249"/>
    <w:rsid w:val="23040BE2"/>
    <w:rsid w:val="231753C8"/>
    <w:rsid w:val="237F295E"/>
    <w:rsid w:val="23810484"/>
    <w:rsid w:val="23B14FE2"/>
    <w:rsid w:val="23B36402"/>
    <w:rsid w:val="24651B54"/>
    <w:rsid w:val="249261B2"/>
    <w:rsid w:val="24A053E5"/>
    <w:rsid w:val="252235A1"/>
    <w:rsid w:val="2540611D"/>
    <w:rsid w:val="25DA0320"/>
    <w:rsid w:val="260446CA"/>
    <w:rsid w:val="262A4E03"/>
    <w:rsid w:val="263C1566"/>
    <w:rsid w:val="26750755"/>
    <w:rsid w:val="26754647"/>
    <w:rsid w:val="267B44E7"/>
    <w:rsid w:val="26C4513E"/>
    <w:rsid w:val="27207FB4"/>
    <w:rsid w:val="277B168E"/>
    <w:rsid w:val="27B24197"/>
    <w:rsid w:val="27B626C7"/>
    <w:rsid w:val="28357A8F"/>
    <w:rsid w:val="28845299"/>
    <w:rsid w:val="28B179B4"/>
    <w:rsid w:val="28B9246E"/>
    <w:rsid w:val="290D6316"/>
    <w:rsid w:val="296229C5"/>
    <w:rsid w:val="29A0737A"/>
    <w:rsid w:val="2A6D1762"/>
    <w:rsid w:val="2AD57308"/>
    <w:rsid w:val="2B2A31B0"/>
    <w:rsid w:val="2B463BAB"/>
    <w:rsid w:val="2B860F7C"/>
    <w:rsid w:val="2BD870AF"/>
    <w:rsid w:val="2C221134"/>
    <w:rsid w:val="2C775EBE"/>
    <w:rsid w:val="2CDF0108"/>
    <w:rsid w:val="2D6D7CCB"/>
    <w:rsid w:val="2DB43204"/>
    <w:rsid w:val="2E1D349F"/>
    <w:rsid w:val="2EB771E8"/>
    <w:rsid w:val="2F0B1D8C"/>
    <w:rsid w:val="2F914AA7"/>
    <w:rsid w:val="2F917CA1"/>
    <w:rsid w:val="2FBB2F70"/>
    <w:rsid w:val="2FBE036A"/>
    <w:rsid w:val="2FE222AB"/>
    <w:rsid w:val="309B522D"/>
    <w:rsid w:val="31745184"/>
    <w:rsid w:val="31C854D0"/>
    <w:rsid w:val="31E61E4A"/>
    <w:rsid w:val="3219269A"/>
    <w:rsid w:val="322A7F37"/>
    <w:rsid w:val="325F4087"/>
    <w:rsid w:val="32936470"/>
    <w:rsid w:val="33093FF2"/>
    <w:rsid w:val="332F5ADB"/>
    <w:rsid w:val="334B253C"/>
    <w:rsid w:val="33703C86"/>
    <w:rsid w:val="33817C71"/>
    <w:rsid w:val="33833DA5"/>
    <w:rsid w:val="33890C8F"/>
    <w:rsid w:val="33ED6354"/>
    <w:rsid w:val="340A1DD0"/>
    <w:rsid w:val="34667D97"/>
    <w:rsid w:val="34946CA4"/>
    <w:rsid w:val="35474B1C"/>
    <w:rsid w:val="358D5E14"/>
    <w:rsid w:val="363F6D8E"/>
    <w:rsid w:val="36407D2B"/>
    <w:rsid w:val="36E0150E"/>
    <w:rsid w:val="37490E61"/>
    <w:rsid w:val="378C3517"/>
    <w:rsid w:val="37DE5A4E"/>
    <w:rsid w:val="383F5645"/>
    <w:rsid w:val="3905525C"/>
    <w:rsid w:val="390B7E17"/>
    <w:rsid w:val="391C0ED0"/>
    <w:rsid w:val="397321C6"/>
    <w:rsid w:val="397E009F"/>
    <w:rsid w:val="3A345F7E"/>
    <w:rsid w:val="3A537670"/>
    <w:rsid w:val="3A5B66CA"/>
    <w:rsid w:val="3A6372F9"/>
    <w:rsid w:val="3A724206"/>
    <w:rsid w:val="3A9B47D2"/>
    <w:rsid w:val="3AFB6916"/>
    <w:rsid w:val="3B147613"/>
    <w:rsid w:val="3B433D01"/>
    <w:rsid w:val="3B9D177C"/>
    <w:rsid w:val="3BA6629C"/>
    <w:rsid w:val="3C921D82"/>
    <w:rsid w:val="3D6A38DF"/>
    <w:rsid w:val="3D8C41D8"/>
    <w:rsid w:val="3DDA0A65"/>
    <w:rsid w:val="3DEE2891"/>
    <w:rsid w:val="3F634A8A"/>
    <w:rsid w:val="3F744EE9"/>
    <w:rsid w:val="3FFB4A22"/>
    <w:rsid w:val="405F6DCD"/>
    <w:rsid w:val="40610FCA"/>
    <w:rsid w:val="40891216"/>
    <w:rsid w:val="417847B1"/>
    <w:rsid w:val="418015D5"/>
    <w:rsid w:val="41983B48"/>
    <w:rsid w:val="42612547"/>
    <w:rsid w:val="432E36B5"/>
    <w:rsid w:val="435968D0"/>
    <w:rsid w:val="437454B8"/>
    <w:rsid w:val="442C495F"/>
    <w:rsid w:val="443B7D84"/>
    <w:rsid w:val="445A2900"/>
    <w:rsid w:val="446D54A9"/>
    <w:rsid w:val="44826240"/>
    <w:rsid w:val="45091C30"/>
    <w:rsid w:val="454A0C3D"/>
    <w:rsid w:val="45611A6C"/>
    <w:rsid w:val="45845AFC"/>
    <w:rsid w:val="45AF604C"/>
    <w:rsid w:val="464D6B29"/>
    <w:rsid w:val="46555C55"/>
    <w:rsid w:val="46743C3C"/>
    <w:rsid w:val="47DE38C8"/>
    <w:rsid w:val="48CD3679"/>
    <w:rsid w:val="49496A9F"/>
    <w:rsid w:val="49556E68"/>
    <w:rsid w:val="496D6C31"/>
    <w:rsid w:val="49C01457"/>
    <w:rsid w:val="4A5834BD"/>
    <w:rsid w:val="4B6C4CC7"/>
    <w:rsid w:val="4C1E6BF2"/>
    <w:rsid w:val="4C3E2A24"/>
    <w:rsid w:val="4C4A00F0"/>
    <w:rsid w:val="4CB132D9"/>
    <w:rsid w:val="4CE03D36"/>
    <w:rsid w:val="4CF136D5"/>
    <w:rsid w:val="4D04165B"/>
    <w:rsid w:val="4D7560B4"/>
    <w:rsid w:val="4DB71D8E"/>
    <w:rsid w:val="4E611A8D"/>
    <w:rsid w:val="4E633A48"/>
    <w:rsid w:val="4EB83F60"/>
    <w:rsid w:val="4EDE1418"/>
    <w:rsid w:val="4EE6438E"/>
    <w:rsid w:val="4F0C3B37"/>
    <w:rsid w:val="4F6B59C1"/>
    <w:rsid w:val="4FBD3D43"/>
    <w:rsid w:val="502B6EFE"/>
    <w:rsid w:val="50892FDF"/>
    <w:rsid w:val="50E83A2F"/>
    <w:rsid w:val="51220301"/>
    <w:rsid w:val="512A5408"/>
    <w:rsid w:val="5142007D"/>
    <w:rsid w:val="51525A50"/>
    <w:rsid w:val="51B25298"/>
    <w:rsid w:val="51B347C4"/>
    <w:rsid w:val="51D2462F"/>
    <w:rsid w:val="5221680B"/>
    <w:rsid w:val="522C2D32"/>
    <w:rsid w:val="52927709"/>
    <w:rsid w:val="53364538"/>
    <w:rsid w:val="53894497"/>
    <w:rsid w:val="53F814A1"/>
    <w:rsid w:val="5429665D"/>
    <w:rsid w:val="54DD0155"/>
    <w:rsid w:val="551C7EF9"/>
    <w:rsid w:val="553E6E98"/>
    <w:rsid w:val="55D539C3"/>
    <w:rsid w:val="55E4027B"/>
    <w:rsid w:val="56715776"/>
    <w:rsid w:val="56CB3FA2"/>
    <w:rsid w:val="56E10C5F"/>
    <w:rsid w:val="56F617A6"/>
    <w:rsid w:val="572A4CB6"/>
    <w:rsid w:val="57340E45"/>
    <w:rsid w:val="57934272"/>
    <w:rsid w:val="57AB444C"/>
    <w:rsid w:val="5801750C"/>
    <w:rsid w:val="580F7106"/>
    <w:rsid w:val="584E2540"/>
    <w:rsid w:val="58CD6655"/>
    <w:rsid w:val="58CE0D6F"/>
    <w:rsid w:val="58F8172B"/>
    <w:rsid w:val="58FC3B2E"/>
    <w:rsid w:val="59017A33"/>
    <w:rsid w:val="59123351"/>
    <w:rsid w:val="592B61C1"/>
    <w:rsid w:val="593E7CA2"/>
    <w:rsid w:val="59981AA8"/>
    <w:rsid w:val="59F957C2"/>
    <w:rsid w:val="59FD7B5D"/>
    <w:rsid w:val="5A4A412A"/>
    <w:rsid w:val="5A654650"/>
    <w:rsid w:val="5AF251E8"/>
    <w:rsid w:val="5BED351F"/>
    <w:rsid w:val="5C665185"/>
    <w:rsid w:val="5C6E51CE"/>
    <w:rsid w:val="5C9A5B38"/>
    <w:rsid w:val="5CE2128D"/>
    <w:rsid w:val="5CE8101B"/>
    <w:rsid w:val="5CF96FBB"/>
    <w:rsid w:val="5DB45B4B"/>
    <w:rsid w:val="5E59576F"/>
    <w:rsid w:val="5E6E7330"/>
    <w:rsid w:val="5E92076A"/>
    <w:rsid w:val="5EB936AB"/>
    <w:rsid w:val="5EC62C14"/>
    <w:rsid w:val="5F0E45BB"/>
    <w:rsid w:val="5F36141C"/>
    <w:rsid w:val="5FA016B7"/>
    <w:rsid w:val="60367C1F"/>
    <w:rsid w:val="615C0D47"/>
    <w:rsid w:val="61DE0EB4"/>
    <w:rsid w:val="621F60E3"/>
    <w:rsid w:val="62790C88"/>
    <w:rsid w:val="629F77F0"/>
    <w:rsid w:val="62A019CE"/>
    <w:rsid w:val="62E418BB"/>
    <w:rsid w:val="643524E3"/>
    <w:rsid w:val="64700187"/>
    <w:rsid w:val="647F035E"/>
    <w:rsid w:val="65220C11"/>
    <w:rsid w:val="66835AB2"/>
    <w:rsid w:val="66A870A3"/>
    <w:rsid w:val="66B07D06"/>
    <w:rsid w:val="66D734E4"/>
    <w:rsid w:val="66F10A4A"/>
    <w:rsid w:val="670133A7"/>
    <w:rsid w:val="673F17B5"/>
    <w:rsid w:val="67AA5D3B"/>
    <w:rsid w:val="67DE7C6D"/>
    <w:rsid w:val="681A7B2C"/>
    <w:rsid w:val="69AA69B9"/>
    <w:rsid w:val="69E16DF4"/>
    <w:rsid w:val="69F83E9D"/>
    <w:rsid w:val="69FB2B97"/>
    <w:rsid w:val="6A101DD0"/>
    <w:rsid w:val="6A171D48"/>
    <w:rsid w:val="6A576E16"/>
    <w:rsid w:val="6A707ED8"/>
    <w:rsid w:val="6AC02C0D"/>
    <w:rsid w:val="6B5D66AE"/>
    <w:rsid w:val="6BA340FA"/>
    <w:rsid w:val="6BB67B6C"/>
    <w:rsid w:val="6BE315AB"/>
    <w:rsid w:val="6D203549"/>
    <w:rsid w:val="6D571889"/>
    <w:rsid w:val="6D7871F4"/>
    <w:rsid w:val="6D7B2E1B"/>
    <w:rsid w:val="6D94212F"/>
    <w:rsid w:val="6DA2724B"/>
    <w:rsid w:val="6DCF75D9"/>
    <w:rsid w:val="6E407BC1"/>
    <w:rsid w:val="6E5029FB"/>
    <w:rsid w:val="6E533D98"/>
    <w:rsid w:val="6EB70A9C"/>
    <w:rsid w:val="6FCD1397"/>
    <w:rsid w:val="70014222"/>
    <w:rsid w:val="706B5E5C"/>
    <w:rsid w:val="70735112"/>
    <w:rsid w:val="71066EA0"/>
    <w:rsid w:val="71152AE8"/>
    <w:rsid w:val="71535E5D"/>
    <w:rsid w:val="71964096"/>
    <w:rsid w:val="72387AE5"/>
    <w:rsid w:val="725F0F5E"/>
    <w:rsid w:val="732E0930"/>
    <w:rsid w:val="74142642"/>
    <w:rsid w:val="74736F42"/>
    <w:rsid w:val="748A374A"/>
    <w:rsid w:val="748C1DB2"/>
    <w:rsid w:val="749D7B1B"/>
    <w:rsid w:val="750D7B0B"/>
    <w:rsid w:val="75E74F45"/>
    <w:rsid w:val="75F57767"/>
    <w:rsid w:val="76115AB3"/>
    <w:rsid w:val="76534510"/>
    <w:rsid w:val="76D67314"/>
    <w:rsid w:val="76E15473"/>
    <w:rsid w:val="76FF12CD"/>
    <w:rsid w:val="77387FCF"/>
    <w:rsid w:val="77512E3F"/>
    <w:rsid w:val="779A30DE"/>
    <w:rsid w:val="77AF64E3"/>
    <w:rsid w:val="781F4CEB"/>
    <w:rsid w:val="78A059E2"/>
    <w:rsid w:val="79134850"/>
    <w:rsid w:val="795E25FE"/>
    <w:rsid w:val="79AC25AE"/>
    <w:rsid w:val="79B145C2"/>
    <w:rsid w:val="79C63670"/>
    <w:rsid w:val="7A3E7B97"/>
    <w:rsid w:val="7ABD0D40"/>
    <w:rsid w:val="7B424898"/>
    <w:rsid w:val="7B6124A0"/>
    <w:rsid w:val="7BA844F5"/>
    <w:rsid w:val="7C1728A9"/>
    <w:rsid w:val="7C1F175E"/>
    <w:rsid w:val="7C345209"/>
    <w:rsid w:val="7C6652DA"/>
    <w:rsid w:val="7D8B4D89"/>
    <w:rsid w:val="7DEA4049"/>
    <w:rsid w:val="7DEF4458"/>
    <w:rsid w:val="7E5C45A3"/>
    <w:rsid w:val="7E7A1F2D"/>
    <w:rsid w:val="7EA06B86"/>
    <w:rsid w:val="7EA640B5"/>
    <w:rsid w:val="7EE435DA"/>
    <w:rsid w:val="7EEB62BF"/>
    <w:rsid w:val="7F3B240A"/>
    <w:rsid w:val="7F8F1322"/>
    <w:rsid w:val="7FAE551C"/>
    <w:rsid w:val="7FBA6FEC"/>
    <w:rsid w:val="7FDB6324"/>
    <w:rsid w:val="7FE66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Arial" w:hAnsi="Arial" w:cs="Arial" w:eastAsiaTheme="minorEastAsia"/>
      <w:b/>
      <w:bCs/>
      <w:kern w:val="2"/>
      <w:sz w:val="24"/>
      <w:szCs w:val="24"/>
      <w:lang w:val="en-US" w:eastAsia="zh-CN" w:bidi="ar-SA"/>
    </w:rPr>
  </w:style>
  <w:style w:type="paragraph" w:styleId="2">
    <w:name w:val="heading 4"/>
    <w:basedOn w:val="1"/>
    <w:next w:val="1"/>
    <w:autoRedefine/>
    <w:semiHidden/>
    <w:unhideWhenUsed/>
    <w:qFormat/>
    <w:uiPriority w:val="9"/>
    <w:pPr>
      <w:spacing w:beforeAutospacing="1" w:afterAutospacing="1"/>
      <w:jc w:val="left"/>
      <w:outlineLvl w:val="3"/>
    </w:pPr>
    <w:rPr>
      <w:rFonts w:hint="eastAsia" w:ascii="宋体" w:hAnsi="宋体" w:eastAsia="宋体" w:cs="Times New Roman"/>
      <w:kern w:val="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6"/>
    <w:autoRedefine/>
    <w:unhideWhenUsed/>
    <w:qFormat/>
    <w:uiPriority w:val="99"/>
    <w:pPr>
      <w:tabs>
        <w:tab w:val="center" w:pos="4153"/>
        <w:tab w:val="right" w:pos="8306"/>
      </w:tabs>
      <w:snapToGrid w:val="0"/>
      <w:jc w:val="left"/>
    </w:pPr>
    <w:rPr>
      <w:sz w:val="18"/>
      <w:szCs w:val="18"/>
    </w:rPr>
  </w:style>
  <w:style w:type="paragraph" w:styleId="4">
    <w:name w:val="header"/>
    <w:basedOn w:val="1"/>
    <w:link w:val="15"/>
    <w:autoRedefine/>
    <w:unhideWhenUsed/>
    <w:qFormat/>
    <w:uiPriority w:val="99"/>
    <w:pP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Autospacing="1" w:afterAutospacing="1"/>
      <w:jc w:val="left"/>
    </w:pPr>
    <w:rPr>
      <w:rFonts w:cs="Times New Roman"/>
      <w:kern w:val="0"/>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qFormat/>
    <w:uiPriority w:val="99"/>
    <w:rPr>
      <w:color w:val="0000FF"/>
      <w:u w:val="single"/>
    </w:rPr>
  </w:style>
  <w:style w:type="paragraph" w:customStyle="1" w:styleId="10">
    <w:name w:val="EndNote Bibliography Title"/>
    <w:basedOn w:val="1"/>
    <w:link w:val="11"/>
    <w:autoRedefine/>
    <w:qFormat/>
    <w:uiPriority w:val="0"/>
    <w:pPr>
      <w:jc w:val="center"/>
    </w:pPr>
    <w:rPr>
      <w:rFonts w:ascii="等线" w:hAnsi="等线" w:eastAsia="等线"/>
      <w:sz w:val="20"/>
    </w:rPr>
  </w:style>
  <w:style w:type="character" w:customStyle="1" w:styleId="11">
    <w:name w:val="EndNote Bibliography Title 字符"/>
    <w:basedOn w:val="8"/>
    <w:link w:val="10"/>
    <w:autoRedefine/>
    <w:qFormat/>
    <w:uiPriority w:val="0"/>
    <w:rPr>
      <w:rFonts w:ascii="等线" w:hAnsi="等线" w:eastAsia="等线" w:cstheme="minorBidi"/>
      <w:kern w:val="2"/>
      <w:szCs w:val="22"/>
    </w:rPr>
  </w:style>
  <w:style w:type="paragraph" w:customStyle="1" w:styleId="12">
    <w:name w:val="EndNote Bibliography"/>
    <w:basedOn w:val="1"/>
    <w:link w:val="13"/>
    <w:autoRedefine/>
    <w:qFormat/>
    <w:uiPriority w:val="0"/>
    <w:rPr>
      <w:rFonts w:ascii="等线" w:hAnsi="等线" w:eastAsia="等线"/>
      <w:sz w:val="20"/>
    </w:rPr>
  </w:style>
  <w:style w:type="character" w:customStyle="1" w:styleId="13">
    <w:name w:val="EndNote Bibliography 字符"/>
    <w:basedOn w:val="8"/>
    <w:link w:val="12"/>
    <w:autoRedefine/>
    <w:qFormat/>
    <w:uiPriority w:val="0"/>
    <w:rPr>
      <w:rFonts w:ascii="等线" w:hAnsi="等线" w:eastAsia="等线" w:cstheme="minorBidi"/>
      <w:kern w:val="2"/>
      <w:szCs w:val="22"/>
    </w:rPr>
  </w:style>
  <w:style w:type="paragraph" w:customStyle="1" w:styleId="14">
    <w:name w:val="Addresses"/>
    <w:basedOn w:val="1"/>
    <w:autoRedefine/>
    <w:qFormat/>
    <w:uiPriority w:val="0"/>
    <w:pPr>
      <w:widowControl/>
      <w:jc w:val="left"/>
    </w:pPr>
    <w:rPr>
      <w:rFonts w:ascii="Times New Roman" w:hAnsi="Times New Roman" w:eastAsia="MS Mincho" w:cs="Times New Roman"/>
      <w:kern w:val="0"/>
      <w:lang w:eastAsia="ja-JP"/>
    </w:rPr>
  </w:style>
  <w:style w:type="character" w:customStyle="1" w:styleId="15">
    <w:name w:val="页眉 字符"/>
    <w:basedOn w:val="8"/>
    <w:link w:val="4"/>
    <w:autoRedefine/>
    <w:qFormat/>
    <w:uiPriority w:val="99"/>
    <w:rPr>
      <w:rFonts w:asciiTheme="minorHAnsi" w:hAnsiTheme="minorHAnsi" w:eastAsiaTheme="minorEastAsia" w:cstheme="minorBidi"/>
      <w:kern w:val="2"/>
      <w:sz w:val="18"/>
      <w:szCs w:val="18"/>
    </w:rPr>
  </w:style>
  <w:style w:type="character" w:customStyle="1" w:styleId="16">
    <w:name w:val="页脚 字符"/>
    <w:basedOn w:val="8"/>
    <w:link w:val="3"/>
    <w:autoRedefine/>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wmf"/><Relationship Id="rId17" Type="http://schemas.openxmlformats.org/officeDocument/2006/relationships/oleObject" Target="embeddings/oleObject6.bin"/><Relationship Id="rId16" Type="http://schemas.openxmlformats.org/officeDocument/2006/relationships/image" Target="media/image5.wmf"/><Relationship Id="rId15" Type="http://schemas.openxmlformats.org/officeDocument/2006/relationships/oleObject" Target="embeddings/oleObject5.bin"/><Relationship Id="rId14" Type="http://schemas.openxmlformats.org/officeDocument/2006/relationships/image" Target="media/image4.wmf"/><Relationship Id="rId13" Type="http://schemas.openxmlformats.org/officeDocument/2006/relationships/oleObject" Target="embeddings/oleObject4.bin"/><Relationship Id="rId12" Type="http://schemas.openxmlformats.org/officeDocument/2006/relationships/image" Target="media/image3.wmf"/><Relationship Id="rId11" Type="http://schemas.openxmlformats.org/officeDocument/2006/relationships/oleObject" Target="embeddings/oleObject3.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4123</Words>
  <Characters>23693</Characters>
  <Lines>201</Lines>
  <Paragraphs>56</Paragraphs>
  <TotalTime>6</TotalTime>
  <ScaleCrop>false</ScaleCrop>
  <LinksUpToDate>false</LinksUpToDate>
  <CharactersWithSpaces>27694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2023-08-22T13:59:00Z</dcterms:created>
  <dc:creator>han jin</dc:creator>
  <cp:lastModifiedBy>忧郁兔</cp:lastModifiedBy>
  <dcterms:modified xsi:type="dcterms:W3CDTF">2024-08-26T08:20:05Z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27385640813B4231A2B6415556972D8F_12</vt:lpwstr>
  </property>
</Properties>
</file>