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AEAC2" w14:textId="77777777" w:rsidR="00414504" w:rsidRDefault="00414504" w:rsidP="00414504">
      <w:pPr>
        <w:spacing w:line="320" w:lineRule="exact"/>
        <w:ind w:firstLineChars="50" w:firstLine="120"/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Table 1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|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 Binding affinity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neutralization potency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characterization of the selected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NAbs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.</w:t>
      </w:r>
    </w:p>
    <w:p w14:paraId="372DA118" w14:textId="77777777" w:rsidR="00414504" w:rsidRDefault="00414504" w:rsidP="00414504">
      <w:pP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object w:dxaOrig="8200" w:dyaOrig="6330" w14:anchorId="55E9E82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0.25pt;height:316.5pt" o:ole="">
            <v:imagedata r:id="rId4" o:title=""/>
          </v:shape>
          <o:OLEObject Type="Embed" ProgID="Excel.Sheet.12" ShapeID="_x0000_i1025" DrawAspect="Content" ObjectID="_1681806684" r:id="rId5"/>
        </w:objec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</w:p>
    <w:p w14:paraId="43DEC4C8" w14:textId="0E7FBAC5" w:rsidR="00414504" w:rsidRDefault="00414504" w:rsidP="00414504">
      <w:pP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N.D.,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not determined; three previously described CB6, CR3022 and S309 were used as control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22,26,27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4301375" w14:textId="77777777" w:rsidR="00414504" w:rsidRDefault="00414504" w:rsidP="00414504">
      <w:pPr>
        <w:ind w:firstLineChars="250" w:firstLine="60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Table 2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|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Epitope binning for the selected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NAbs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by competitive ELISA</w:t>
      </w:r>
    </w:p>
    <w:p w14:paraId="5367516F" w14:textId="77777777" w:rsidR="00414504" w:rsidRDefault="00414504" w:rsidP="00414504">
      <w:pPr>
        <w:rPr>
          <w:rFonts w:ascii="Times New Roman" w:hAnsi="Times New Roman" w:cs="Times New Roman"/>
          <w:szCs w:val="21"/>
        </w:rPr>
      </w:pPr>
      <w:r>
        <w:object w:dxaOrig="1440" w:dyaOrig="1440" w14:anchorId="7053B23E">
          <v:shape id="_x0000_s1026" type="#_x0000_t75" style="position:absolute;left:0;text-align:left;margin-left:-11.3pt;margin-top:6.75pt;width:429.7pt;height:281.1pt;z-index:251658240;mso-position-horizontal-relative:text;mso-position-vertical-relative:text">
            <v:imagedata r:id="rId6" o:title=""/>
          </v:shape>
          <o:OLEObject Type="Embed" ProgID="Excel.Sheet.12" ShapeID="_x0000_s1026" DrawAspect="Content" ObjectID="_1681806685" r:id="rId7"/>
        </w:object>
      </w:r>
    </w:p>
    <w:p w14:paraId="3DABF8AD" w14:textId="77777777" w:rsidR="00414504" w:rsidRDefault="00414504" w:rsidP="00414504">
      <w:pPr>
        <w:rPr>
          <w:rFonts w:ascii="Times New Roman" w:hAnsi="Times New Roman" w:cs="Times New Roman"/>
          <w:szCs w:val="21"/>
        </w:rPr>
      </w:pPr>
    </w:p>
    <w:p w14:paraId="096FC72A" w14:textId="77777777" w:rsidR="00414504" w:rsidRDefault="00414504" w:rsidP="00414504">
      <w:pPr>
        <w:rPr>
          <w:rFonts w:ascii="Times New Roman" w:hAnsi="Times New Roman" w:cs="Times New Roman"/>
          <w:szCs w:val="21"/>
        </w:rPr>
      </w:pPr>
    </w:p>
    <w:p w14:paraId="20384038" w14:textId="77777777" w:rsidR="00414504" w:rsidRDefault="00414504" w:rsidP="00414504">
      <w:pPr>
        <w:rPr>
          <w:rFonts w:ascii="Times New Roman" w:hAnsi="Times New Roman" w:cs="Times New Roman"/>
          <w:szCs w:val="21"/>
        </w:rPr>
      </w:pPr>
    </w:p>
    <w:p w14:paraId="29047365" w14:textId="77777777" w:rsidR="00414504" w:rsidRDefault="00414504" w:rsidP="00414504">
      <w:pPr>
        <w:rPr>
          <w:rFonts w:ascii="Times New Roman" w:hAnsi="Times New Roman" w:cs="Times New Roman"/>
          <w:szCs w:val="21"/>
        </w:rPr>
      </w:pPr>
    </w:p>
    <w:p w14:paraId="2ACBB55F" w14:textId="77777777" w:rsidR="00414504" w:rsidRDefault="00414504" w:rsidP="00414504">
      <w:pPr>
        <w:rPr>
          <w:rFonts w:ascii="Times New Roman" w:hAnsi="Times New Roman" w:cs="Times New Roman"/>
          <w:szCs w:val="21"/>
        </w:rPr>
      </w:pPr>
    </w:p>
    <w:p w14:paraId="63F9C285" w14:textId="77777777" w:rsidR="00414504" w:rsidRDefault="00414504" w:rsidP="00414504">
      <w:pPr>
        <w:rPr>
          <w:rFonts w:ascii="Times New Roman" w:hAnsi="Times New Roman" w:cs="Times New Roman"/>
          <w:szCs w:val="21"/>
        </w:rPr>
      </w:pPr>
    </w:p>
    <w:p w14:paraId="7FA84D51" w14:textId="77777777" w:rsidR="00414504" w:rsidRDefault="00414504" w:rsidP="00414504">
      <w:pPr>
        <w:rPr>
          <w:rFonts w:ascii="Times New Roman" w:hAnsi="Times New Roman" w:cs="Times New Roman"/>
          <w:szCs w:val="21"/>
        </w:rPr>
      </w:pPr>
    </w:p>
    <w:p w14:paraId="76AB16EE" w14:textId="77777777" w:rsidR="00414504" w:rsidRDefault="00414504" w:rsidP="00414504">
      <w:pPr>
        <w:rPr>
          <w:rFonts w:ascii="Times New Roman" w:hAnsi="Times New Roman" w:cs="Times New Roman"/>
          <w:szCs w:val="21"/>
        </w:rPr>
      </w:pPr>
    </w:p>
    <w:p w14:paraId="1C9BA811" w14:textId="77777777" w:rsidR="00414504" w:rsidRDefault="00414504" w:rsidP="00414504">
      <w:pPr>
        <w:rPr>
          <w:rFonts w:ascii="Times New Roman" w:hAnsi="Times New Roman" w:cs="Times New Roman"/>
          <w:szCs w:val="21"/>
        </w:rPr>
      </w:pPr>
    </w:p>
    <w:p w14:paraId="1A8B548B" w14:textId="77777777" w:rsidR="00414504" w:rsidRDefault="00414504" w:rsidP="00414504">
      <w:pPr>
        <w:rPr>
          <w:rFonts w:ascii="Times New Roman" w:hAnsi="Times New Roman" w:cs="Times New Roman"/>
          <w:szCs w:val="21"/>
        </w:rPr>
      </w:pPr>
    </w:p>
    <w:p w14:paraId="6E370D18" w14:textId="77777777" w:rsidR="00414504" w:rsidRDefault="00414504" w:rsidP="00414504">
      <w:pPr>
        <w:rPr>
          <w:rFonts w:ascii="Times New Roman" w:hAnsi="Times New Roman" w:cs="Times New Roman"/>
          <w:szCs w:val="21"/>
        </w:rPr>
      </w:pPr>
    </w:p>
    <w:p w14:paraId="50FE3F30" w14:textId="77777777" w:rsidR="00414504" w:rsidRDefault="00414504" w:rsidP="00414504">
      <w:pPr>
        <w:rPr>
          <w:rFonts w:ascii="Times New Roman" w:hAnsi="Times New Roman" w:cs="Times New Roman"/>
          <w:szCs w:val="21"/>
        </w:rPr>
      </w:pPr>
    </w:p>
    <w:p w14:paraId="44CAFCD0" w14:textId="77777777" w:rsidR="00414504" w:rsidRDefault="00414504" w:rsidP="00414504">
      <w:pPr>
        <w:rPr>
          <w:rFonts w:ascii="Times New Roman" w:hAnsi="Times New Roman" w:cs="Times New Roman"/>
          <w:szCs w:val="21"/>
        </w:rPr>
      </w:pPr>
    </w:p>
    <w:p w14:paraId="3A519260" w14:textId="77777777" w:rsidR="00414504" w:rsidRDefault="00414504" w:rsidP="00414504">
      <w:pPr>
        <w:rPr>
          <w:rFonts w:ascii="Times New Roman" w:hAnsi="Times New Roman" w:cs="Times New Roman"/>
          <w:szCs w:val="21"/>
        </w:rPr>
      </w:pPr>
    </w:p>
    <w:p w14:paraId="66694C68" w14:textId="77777777" w:rsidR="00414504" w:rsidRDefault="00414504" w:rsidP="00414504">
      <w:pPr>
        <w:rPr>
          <w:rFonts w:ascii="Times New Roman" w:hAnsi="Times New Roman" w:cs="Times New Roman"/>
          <w:szCs w:val="21"/>
        </w:rPr>
      </w:pPr>
    </w:p>
    <w:p w14:paraId="70A52252" w14:textId="77777777" w:rsidR="00414504" w:rsidRDefault="00414504" w:rsidP="00414504">
      <w:pPr>
        <w:rPr>
          <w:rFonts w:ascii="Times New Roman" w:hAnsi="Times New Roman" w:cs="Times New Roman"/>
          <w:szCs w:val="21"/>
        </w:rPr>
      </w:pPr>
    </w:p>
    <w:p w14:paraId="0A229D40" w14:textId="77777777" w:rsidR="00414504" w:rsidRDefault="00414504" w:rsidP="00414504">
      <w:pPr>
        <w:rPr>
          <w:rFonts w:ascii="Times New Roman" w:hAnsi="Times New Roman" w:cs="Times New Roman"/>
          <w:szCs w:val="21"/>
        </w:rPr>
      </w:pPr>
    </w:p>
    <w:p w14:paraId="6CF764A8" w14:textId="552CC952" w:rsidR="00414504" w:rsidRDefault="00414504" w:rsidP="00414504">
      <w:pPr>
        <w:rPr>
          <w:rFonts w:ascii="Times New Roman" w:hAnsi="Times New Roman" w:cs="Times New Roman"/>
          <w:szCs w:val="21"/>
        </w:rPr>
      </w:pPr>
    </w:p>
    <w:p w14:paraId="32342525" w14:textId="1581D037" w:rsidR="00414504" w:rsidRDefault="00414504" w:rsidP="00414504">
      <w:pPr>
        <w:rPr>
          <w:rFonts w:ascii="Times New Roman" w:hAnsi="Times New Roman" w:cs="Times New Roman"/>
          <w:szCs w:val="21"/>
        </w:rPr>
      </w:pPr>
    </w:p>
    <w:p w14:paraId="69DD7B03" w14:textId="77777777" w:rsidR="00414504" w:rsidRDefault="00414504" w:rsidP="00414504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Data indicate the percent binding of the second antibody in the presence of the blocking antibody, as compared to that of the second antibody alone. </w:t>
      </w:r>
      <w:r>
        <w:rPr>
          <w:rFonts w:ascii="Times New Roman" w:hAnsi="Times New Roman" w:cs="Times New Roman"/>
          <w:sz w:val="24"/>
          <w:szCs w:val="24"/>
        </w:rPr>
        <w:t xml:space="preserve">Cells </w:t>
      </w:r>
      <w:r>
        <w:rPr>
          <w:rFonts w:ascii="Times New Roman" w:eastAsia="AdvOTea1a7398+fb" w:hAnsi="Times New Roman" w:cs="Times New Roman"/>
          <w:sz w:val="24"/>
          <w:szCs w:val="24"/>
        </w:rPr>
        <w:t>fi</w:t>
      </w:r>
      <w:r>
        <w:rPr>
          <w:rFonts w:ascii="Times New Roman" w:hAnsi="Times New Roman" w:cs="Times New Roman"/>
          <w:sz w:val="24"/>
          <w:szCs w:val="24"/>
        </w:rPr>
        <w:t xml:space="preserve">lled in black indicate full competition, in which </w:t>
      </w:r>
      <w:r>
        <w:rPr>
          <w:rFonts w:ascii="Times New Roman" w:eastAsia="AdvOT8608a8d1+22" w:hAnsi="Times New Roman" w:cs="Times New Roman"/>
          <w:sz w:val="24"/>
          <w:szCs w:val="24"/>
        </w:rPr>
        <w:t xml:space="preserve">≤ </w:t>
      </w:r>
      <w:r>
        <w:rPr>
          <w:rFonts w:ascii="Times New Roman" w:hAnsi="Times New Roman" w:cs="Times New Roman"/>
          <w:sz w:val="24"/>
          <w:szCs w:val="24"/>
        </w:rPr>
        <w:t xml:space="preserve">30 %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uncompeted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signal is observed, grey indicates intermediate competition, if the signal is between 30 and 70%, and white indicates non-competing, if the signal is </w:t>
      </w:r>
      <w:r>
        <w:rPr>
          <w:rFonts w:ascii="Times New Roman" w:eastAsia="AdvOT8608a8d1+22" w:hAnsi="Times New Roman" w:cs="Times New Roman"/>
          <w:sz w:val="24"/>
          <w:szCs w:val="24"/>
        </w:rPr>
        <w:t xml:space="preserve">≥ </w:t>
      </w:r>
      <w:r>
        <w:rPr>
          <w:rFonts w:ascii="Times New Roman" w:hAnsi="Times New Roman" w:cs="Times New Roman"/>
          <w:sz w:val="24"/>
          <w:szCs w:val="24"/>
        </w:rPr>
        <w:t>70%. Antibodies are classified into five groups in different colors.</w:t>
      </w:r>
    </w:p>
    <w:p w14:paraId="77AE0CC1" w14:textId="77777777" w:rsidR="00680122" w:rsidRDefault="00680122"/>
    <w:sectPr w:rsidR="006801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ea1a7398+fb">
    <w:altName w:val="Microsoft YaHei"/>
    <w:charset w:val="86"/>
    <w:family w:val="auto"/>
    <w:pitch w:val="default"/>
    <w:sig w:usb0="00000000" w:usb1="00000000" w:usb2="00000010" w:usb3="00000000" w:csb0="00040000" w:csb1="00000000"/>
  </w:font>
  <w:font w:name="AdvOT8608a8d1+22">
    <w:altName w:val="Microsoft YaHei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504"/>
    <w:rsid w:val="00414504"/>
    <w:rsid w:val="00680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B526F06"/>
  <w15:chartTrackingRefBased/>
  <w15:docId w15:val="{FF9378F9-3A4B-41EE-82B2-A3F43A138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4504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qFormat/>
    <w:rsid w:val="00414504"/>
    <w:rPr>
      <w:rFonts w:ascii="Times-Roman" w:hAnsi="Times-Roman" w:hint="default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946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2021-05-06T15:43:00Z</dcterms:created>
  <dcterms:modified xsi:type="dcterms:W3CDTF">2021-05-06T15:45:00Z</dcterms:modified>
</cp:coreProperties>
</file>