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C155">
      <w:pPr>
        <w:pStyle w:val="52"/>
        <w:jc w:val="left"/>
        <w:rPr>
          <w:rFonts w:hint="eastAsia" w:eastAsiaTheme="minorEastAsia"/>
          <w:lang w:eastAsia="zh-CN"/>
        </w:rPr>
      </w:pPr>
    </w:p>
    <w:p w14:paraId="2375A9F0">
      <w:pPr>
        <w:pStyle w:val="52"/>
        <w:rPr>
          <w:rFonts w:eastAsiaTheme="minorEastAsia"/>
          <w:lang w:eastAsia="zh-CN"/>
        </w:rPr>
      </w:pPr>
      <w:r>
        <w:t>Supplementary Material</w:t>
      </w:r>
    </w:p>
    <w:p w14:paraId="38A54A6C">
      <w:pPr>
        <w:pStyle w:val="18"/>
        <w:rPr>
          <w:rFonts w:hint="eastAsia" w:eastAsiaTheme="minorEastAsia"/>
          <w:lang w:eastAsia="zh-CN"/>
        </w:rPr>
      </w:pPr>
    </w:p>
    <w:p w14:paraId="1D6D385F">
      <w:pPr>
        <w:pStyle w:val="17"/>
        <w:keepNext w:val="0"/>
        <w:keepLines w:val="0"/>
        <w:widowControl/>
        <w:suppressLineNumbers/>
        <w:spacing w:before="240" w:beforeAutospacing="0" w:after="360" w:afterAutospacing="0"/>
        <w:ind w:left="0" w:right="0"/>
        <w:jc w:val="center"/>
        <w:rPr>
          <w:lang w:val="en-US" w:eastAsia="zh-CN"/>
        </w:rPr>
      </w:pPr>
      <w:r>
        <w:rPr>
          <w:rFonts w:hint="default" w:ascii="Times New Roman" w:hAnsi="Times New Roman" w:eastAsia="Calibri" w:cs="Times New Roman"/>
          <w:b/>
          <w:bCs w:val="0"/>
          <w:kern w:val="0"/>
          <w:sz w:val="32"/>
          <w:szCs w:val="32"/>
          <w:lang w:val="en-US" w:eastAsia="zh-CN" w:bidi="ar"/>
        </w:rPr>
        <w:t>The oxidative balance score impacts serum FT4 levels and all-cause mortality in Euthyroid Participants</w:t>
      </w:r>
    </w:p>
    <w:p w14:paraId="06E0882E">
      <w:pPr>
        <w:pStyle w:val="34"/>
        <w:rPr>
          <w:rFonts w:hint="eastAsia" w:eastAsiaTheme="minorEastAsia"/>
          <w:lang w:eastAsia="zh-CN"/>
        </w:rPr>
      </w:pPr>
      <w:bookmarkStart w:id="2" w:name="_GoBack"/>
      <w:bookmarkEnd w:id="2"/>
      <w:r>
        <w:rPr>
          <w:rFonts w:hint="eastAsia"/>
        </w:rPr>
        <w:t xml:space="preserve">Qianqian Xiao </w:t>
      </w:r>
      <w:r>
        <w:rPr>
          <w:rFonts w:hint="eastAsia"/>
          <w:vertAlign w:val="superscript"/>
        </w:rPr>
        <w:t>1,2,†</w:t>
      </w:r>
      <w:r>
        <w:rPr>
          <w:rFonts w:hint="eastAsia"/>
        </w:rPr>
        <w:t xml:space="preserve">, Zhanqin Zhang </w:t>
      </w:r>
      <w:r>
        <w:rPr>
          <w:rFonts w:hint="eastAsia"/>
          <w:vertAlign w:val="superscript"/>
        </w:rPr>
        <w:t>3,†</w:t>
      </w:r>
      <w:r>
        <w:rPr>
          <w:rFonts w:hint="eastAsia"/>
        </w:rPr>
        <w:t xml:space="preserve">, Shuman Ji 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 xml:space="preserve">, Muzi Li 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, Bohua Zhang 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, Qing Xu 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 xml:space="preserve">, Chang Xiao 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, Huaijin Guan 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, Lei Ma</w:t>
      </w:r>
      <w:r>
        <w:rPr>
          <w:rFonts w:hint="eastAsia"/>
          <w:vertAlign w:val="superscript"/>
        </w:rPr>
        <w:t xml:space="preserve">2 </w:t>
      </w:r>
      <w:r>
        <w:t>*</w:t>
      </w:r>
      <w:r>
        <w:rPr>
          <w:rFonts w:hint="eastAsia"/>
        </w:rPr>
        <w:t xml:space="preserve">, Xiaopeng Mei </w:t>
      </w:r>
      <w:r>
        <w:rPr>
          <w:rFonts w:hint="eastAsia"/>
          <w:vertAlign w:val="superscript"/>
        </w:rPr>
        <w:t xml:space="preserve">1 </w:t>
      </w:r>
      <w:r>
        <w:t>*</w:t>
      </w:r>
      <w:r>
        <w:rPr>
          <w:rFonts w:hint="eastAsia"/>
        </w:rPr>
        <w:t xml:space="preserve"> </w:t>
      </w:r>
    </w:p>
    <w:tbl>
      <w:tblPr>
        <w:tblStyle w:val="20"/>
        <w:tblW w:w="1013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510"/>
        <w:gridCol w:w="1020"/>
        <w:gridCol w:w="1520"/>
        <w:gridCol w:w="3909"/>
      </w:tblGrid>
      <w:tr w14:paraId="7C5B2445">
        <w:trPr>
          <w:trHeight w:val="295" w:hRule="atLeast"/>
        </w:trPr>
        <w:tc>
          <w:tcPr>
            <w:tcW w:w="101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ED4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Hlk17011646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S1.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Oxidative balance score (OBS) items and score assignment</w:t>
            </w:r>
          </w:p>
        </w:tc>
      </w:tr>
      <w:tr w14:paraId="1FEE7D54">
        <w:trPr>
          <w:trHeight w:val="295" w:hRule="atLeast"/>
        </w:trPr>
        <w:tc>
          <w:tcPr>
            <w:tcW w:w="3176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</w:tcPr>
          <w:p w14:paraId="4F8B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OBS components</w:t>
            </w:r>
          </w:p>
        </w:tc>
        <w:tc>
          <w:tcPr>
            <w:tcW w:w="6959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noWrap/>
          </w:tcPr>
          <w:p w14:paraId="325F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Assignment Scheme</w:t>
            </w:r>
          </w:p>
        </w:tc>
      </w:tr>
      <w:tr w14:paraId="1DB62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86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noWrap/>
          </w:tcPr>
          <w:p w14:paraId="1B4AC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Dietary OBS components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</w:tcPr>
          <w:p w14:paraId="1DE9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</w:tcPr>
          <w:p w14:paraId="1FF2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</w:tcPr>
          <w:p w14:paraId="230F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</w:p>
        </w:tc>
      </w:tr>
      <w:tr w14:paraId="6108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4C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 Dietary fiber (g/d)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13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D0EE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1B4D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84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 Carotene (RE/d)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CCE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6C9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411B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30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 Riboflavin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C0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445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49A10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12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 Niacin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79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97DC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7A57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AF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 Vitamin B6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F0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121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5C8D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9D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 Total folate (mcg/d)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C4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EB6F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34E1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8E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 Vitamin B12 (mcg/d)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C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866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12052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7A9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 Vitamin C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73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2549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0E12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F0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 Vitamin E (ATE)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DE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592D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77B43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FE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 Calcium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8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020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1747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523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 Magnesium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61F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366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30BFB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47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 Zinc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4A7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2B2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4015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DC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 Copper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CA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21D1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4ED2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2F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 Selenium (mcg/d)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73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5F76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4498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E10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 Total fat (g/d)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F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P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6D5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high (3rd tertile), 1 = intermediate (2nd tertile), 2 = low (1st tertile)</w:t>
            </w:r>
          </w:p>
        </w:tc>
      </w:tr>
      <w:tr w14:paraId="2DCC8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997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 Iron (mg/d)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C6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P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8F30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high (3rd tertile), 1 = intermediate (2nd tertile), 2 = low (1st tertile)</w:t>
            </w:r>
          </w:p>
        </w:tc>
      </w:tr>
      <w:tr w14:paraId="640D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BA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Lifestyle OBS components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F6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0A6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</w:p>
        </w:tc>
      </w:tr>
      <w:tr w14:paraId="3007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6D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 Physical activity (MET-minute/week)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C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A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335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low (1st tertile), 1 = intermediate (2nd tertile), 2 = high (3rd tertile)</w:t>
            </w:r>
          </w:p>
        </w:tc>
      </w:tr>
      <w:tr w14:paraId="698DCAF2"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3F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 xml:space="preserve">  Alcohol drinking status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603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P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054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heavy drinker, 1 = mild-to-moderate drinker, 2 = non-drinker</w:t>
            </w:r>
          </w:p>
        </w:tc>
      </w:tr>
      <w:tr w14:paraId="3253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AFA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 Body mass index (kg/m2)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EC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P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630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obese, 1 = overweight, 2= normal</w:t>
            </w:r>
          </w:p>
        </w:tc>
      </w:tr>
      <w:tr w14:paraId="22C38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7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</w:tcPr>
          <w:p w14:paraId="3C4A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 Smoking status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</w:tcPr>
          <w:p w14:paraId="1D7B3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P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/>
          </w:tcPr>
          <w:p w14:paraId="1BDD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w:t>0 = current smoker, 1 = former smoker, 2 = never smoker</w:t>
            </w:r>
          </w:p>
        </w:tc>
      </w:tr>
    </w:tbl>
    <w:p w14:paraId="41F2BA29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oxidative balance score; A: antioxidant; P: prooxidant; RE: retinol equivalent; ATE: alpha-tocopherol equivalent; MET: metabolic equivalent.</w:t>
      </w:r>
    </w:p>
    <w:p w14:paraId="2799B5C8">
      <w:pPr>
        <w:rPr>
          <w:rFonts w:hint="eastAsia" w:cs="Times New Roman" w:eastAsiaTheme="minorEastAsia"/>
          <w:lang w:eastAsia="zh-CN"/>
        </w:rPr>
      </w:pPr>
      <w:r>
        <w:rPr>
          <w:rFonts w:cs="Times New Roman"/>
        </w:rPr>
        <w:t xml:space="preserve"> </w:t>
      </w:r>
    </w:p>
    <w:tbl>
      <w:tblPr>
        <w:tblStyle w:val="20"/>
        <w:tblW w:w="5000" w:type="pct"/>
        <w:jc w:val="right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3835"/>
        <w:gridCol w:w="2660"/>
      </w:tblGrid>
      <w:tr w14:paraId="6EF705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EDF7E24">
            <w:pPr>
              <w:ind w:left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S2.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Sensitivity analyses.</w:t>
            </w:r>
          </w:p>
        </w:tc>
      </w:tr>
      <w:tr w14:paraId="782249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right"/>
        </w:trPr>
        <w:tc>
          <w:tcPr>
            <w:tcW w:w="175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5A1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OBS</w:t>
            </w:r>
          </w:p>
        </w:tc>
        <w:tc>
          <w:tcPr>
            <w:tcW w:w="191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57E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FT4% (95% CI)</w:t>
            </w:r>
          </w:p>
        </w:tc>
        <w:tc>
          <w:tcPr>
            <w:tcW w:w="133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F84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TSH% (95% CI)</w:t>
            </w:r>
          </w:p>
        </w:tc>
      </w:tr>
      <w:tr w14:paraId="56D7F4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5000" w:type="pct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5660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Model 1</w:t>
            </w:r>
          </w:p>
        </w:tc>
      </w:tr>
      <w:tr w14:paraId="4A28DA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35D4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Continuous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1DF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-2.28(-4.50,-0.23) *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2796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10.41(1.39,20.50) *</w:t>
            </w:r>
          </w:p>
        </w:tc>
      </w:tr>
      <w:tr w14:paraId="723FAC3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1C4A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Q1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0305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Ref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DC7B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Ref</w:t>
            </w:r>
          </w:p>
        </w:tc>
      </w:tr>
      <w:tr w14:paraId="0DC6F5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0FBEC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Q2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241E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0.93(-1.37,3.51)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62B7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-0.23(-9.43,9.65)</w:t>
            </w:r>
          </w:p>
        </w:tc>
      </w:tr>
      <w:tr w14:paraId="01DD9A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24B55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Q3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5BFA5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-1.60(-4.10,0.69)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2DCF3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10.66(0.69,21.62)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*</w:t>
            </w:r>
          </w:p>
        </w:tc>
      </w:tr>
      <w:tr w14:paraId="5BD600C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2D7F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Q4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1900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-2.05(-4.28,0.23)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3D1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5.20(-4.28,15.35)</w:t>
            </w:r>
          </w:p>
        </w:tc>
      </w:tr>
      <w:tr w14:paraId="38C0FA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3BE9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 for trend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156C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0.008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6F87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0.092</w:t>
            </w:r>
          </w:p>
        </w:tc>
      </w:tr>
      <w:tr w14:paraId="2EB854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5000" w:type="pct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5E4C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Model 2</w:t>
            </w:r>
          </w:p>
        </w:tc>
      </w:tr>
      <w:tr w14:paraId="443D2CE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09A3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Continuous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67C04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-3.17(-5.38,-0.92) *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578C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6.66(-2.28,16.68)</w:t>
            </w:r>
          </w:p>
        </w:tc>
      </w:tr>
      <w:tr w14:paraId="6EFA46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9F03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Q1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0F4F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Ref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1A2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Ref</w:t>
            </w:r>
          </w:p>
        </w:tc>
      </w:tr>
      <w:tr w14:paraId="45ADA2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127EF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Q2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2BE77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0.23(-2.05,2.80)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69C1A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-2.50(-11.08,7.15)</w:t>
            </w:r>
          </w:p>
        </w:tc>
      </w:tr>
      <w:tr w14:paraId="27C80E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</w:tblPrEx>
        <w:trPr>
          <w:trHeight w:val="280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3131C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Q3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5E53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-2.50(-4.72,-0.23) *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A367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5.93(-3.62,16.41)</w:t>
            </w:r>
          </w:p>
        </w:tc>
      </w:tr>
      <w:tr w14:paraId="78DC9E4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0DA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Q4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1853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-2.95(-5.16,-0.69) *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728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2.09(-7.10,12.20)</w:t>
            </w:r>
          </w:p>
        </w:tc>
      </w:tr>
      <w:tr w14:paraId="339EAA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2B0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 for trend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0E15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63C5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0.34</w:t>
            </w:r>
          </w:p>
        </w:tc>
      </w:tr>
      <w:tr w14:paraId="43A1CC1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right"/>
        </w:trPr>
        <w:tc>
          <w:tcPr>
            <w:tcW w:w="5000" w:type="pct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6910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Model 3</w:t>
            </w:r>
          </w:p>
        </w:tc>
      </w:tr>
      <w:tr w14:paraId="5EA9490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3120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Continuous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3986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-3.62(-5.81,-1.37) *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547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5.93(-3.39,15.88)</w:t>
            </w:r>
          </w:p>
        </w:tc>
      </w:tr>
      <w:tr w14:paraId="7DECEA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1F63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Q1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3D5E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Ref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4410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Ref</w:t>
            </w:r>
          </w:p>
        </w:tc>
      </w:tr>
      <w:tr w14:paraId="7FC45A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04FA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Q2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1E31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0.23(-2.28,2.57)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6D12A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-2.50(-11.28,7.15)</w:t>
            </w:r>
          </w:p>
        </w:tc>
      </w:tr>
      <w:tr w14:paraId="2E9A626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2ACFB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Q3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D9E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-2.95(-5.16,-0.46) *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41DF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4.95(-4.72,15.61)</w:t>
            </w:r>
          </w:p>
        </w:tc>
      </w:tr>
      <w:tr w14:paraId="19ECB8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3BD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Q4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55AD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-3.39(-5.81,-0.92) *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vAlign w:val="center"/>
          </w:tcPr>
          <w:p w14:paraId="7643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1.62(-7.74,11.69)</w:t>
            </w:r>
          </w:p>
        </w:tc>
      </w:tr>
      <w:tr w14:paraId="7C1AED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right"/>
        </w:trPr>
        <w:tc>
          <w:tcPr>
            <w:tcW w:w="1750" w:type="pct"/>
            <w:tcBorders>
              <w:top w:val="single" w:color="auto" w:sz="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95F3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 for trend</w:t>
            </w:r>
          </w:p>
        </w:tc>
        <w:tc>
          <w:tcPr>
            <w:tcW w:w="1919" w:type="pct"/>
            <w:tcBorders>
              <w:top w:val="single" w:color="auto" w:sz="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474C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&lt;0.001</w:t>
            </w:r>
          </w:p>
        </w:tc>
        <w:tc>
          <w:tcPr>
            <w:tcW w:w="1331" w:type="pct"/>
            <w:tcBorders>
              <w:top w:val="single" w:color="auto" w:sz="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F11E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0.429</w:t>
            </w:r>
          </w:p>
        </w:tc>
      </w:tr>
    </w:tbl>
    <w:p w14:paraId="6F5832FA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Abbreviations: FT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free thyroxine; TSH, thyroid-stimulating hormone;</w:t>
      </w:r>
      <w:r>
        <w:rPr>
          <w:rFonts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Q, quartile; OBS, Oxidative Balance Score. Estimates are derived from a complex survey design, with three models utilized: Model 1 (unadjusted), Model 2 (adjusted for </w:t>
      </w:r>
      <w:r>
        <w:rPr>
          <w:rFonts w:ascii="Times New Roman" w:hAnsi="Times New Roman" w:eastAsia="等线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ge, </w:t>
      </w:r>
      <w:r>
        <w:rPr>
          <w:rFonts w:hint="eastAsia" w:eastAsia="等线" w:cs="Times New Roman"/>
          <w:sz w:val="24"/>
          <w:szCs w:val="24"/>
          <w:lang w:eastAsia="zh-CN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等线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ace), and Model 3 (adjusted for </w:t>
      </w:r>
      <w:r>
        <w:rPr>
          <w:rFonts w:ascii="Times New Roman" w:hAnsi="Times New Roman" w:eastAsia="等线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ge, </w:t>
      </w:r>
      <w:r>
        <w:rPr>
          <w:rFonts w:hint="eastAsia" w:eastAsia="等线" w:cs="Times New Roman"/>
          <w:sz w:val="24"/>
          <w:szCs w:val="24"/>
          <w:lang w:eastAsia="zh-CN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等线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ace,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E</w:t>
      </w:r>
      <w:r>
        <w:rPr>
          <w:rFonts w:ascii="Times New Roman" w:hAnsi="Times New Roman" w:cs="Times New Roman"/>
          <w:sz w:val="24"/>
          <w:szCs w:val="24"/>
        </w:rPr>
        <w:t>ducation, and UIC).</w:t>
      </w:r>
      <w:r>
        <w:rPr>
          <w:rFonts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model, natural logarithm conversion was applied to adjust OBS and thyroid function indexes.</w:t>
      </w:r>
      <w:r>
        <w:rPr>
          <w:rFonts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results were presented as the percentage difference in serum thyroid function per 10-unit increase in OBS. Percent differences = [e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(ln10×β)</w:t>
      </w:r>
      <w:r>
        <w:rPr>
          <w:rFonts w:ascii="Times New Roman" w:hAnsi="Times New Roman" w:cs="Times New Roman"/>
          <w:sz w:val="24"/>
          <w:szCs w:val="24"/>
        </w:rPr>
        <w:t xml:space="preserve"> – 1] × 100. *P &lt; 0.05.</w:t>
      </w:r>
    </w:p>
    <w:p w14:paraId="25A8987C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4FEE83AB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0C3E20EC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4681C37E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7B3596BB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51E47B98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45665334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5336F5D0">
      <w:pPr>
        <w:rPr>
          <w:rFonts w:hint="eastAsia" w:cs="Times New Roman" w:eastAsiaTheme="minorEastAsia"/>
          <w:lang w:eastAsia="zh-CN"/>
        </w:rPr>
      </w:pPr>
      <w:r>
        <w:rPr>
          <w:rFonts w:cs="Times New Roman"/>
        </w:rPr>
        <w:t xml:space="preserve"> </w:t>
      </w:r>
    </w:p>
    <w:tbl>
      <w:tblPr>
        <w:tblStyle w:val="20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3290"/>
        <w:gridCol w:w="3423"/>
      </w:tblGrid>
      <w:tr w14:paraId="2079930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A210996">
            <w:pPr>
              <w:spacing w:before="0" w:after="0"/>
              <w:ind w:left="0"/>
              <w:rPr>
                <w:rStyle w:val="54"/>
                <w:rFonts w:eastAsia="宋体"/>
                <w:sz w:val="24"/>
                <w:szCs w:val="24"/>
              </w:rPr>
            </w:pPr>
            <w:bookmarkStart w:id="1" w:name="_Hlk170116549"/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Table S3.</w:t>
            </w:r>
            <w:bookmarkEnd w:id="1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Association between oxidative balance scores and thyroid function in euthyroid participants by gender group stratification.</w:t>
            </w:r>
          </w:p>
        </w:tc>
      </w:tr>
      <w:tr w14:paraId="30A7E50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41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30A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OBS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BD1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FT4% (95% CI)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05C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TSH% (95% CI)</w:t>
            </w:r>
          </w:p>
        </w:tc>
      </w:tr>
      <w:tr w14:paraId="5DFC9E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41" w:type="pct"/>
            <w:tcBorders>
              <w:top w:val="single" w:color="auto" w:sz="2" w:space="0"/>
              <w:left w:val="nil"/>
              <w:bottom w:val="nil"/>
              <w:right w:val="nil"/>
            </w:tcBorders>
            <w:noWrap/>
            <w:vAlign w:val="center"/>
          </w:tcPr>
          <w:p w14:paraId="340A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Male N=3066</w:t>
            </w:r>
          </w:p>
        </w:tc>
        <w:tc>
          <w:tcPr>
            <w:tcW w:w="1646" w:type="pct"/>
            <w:tcBorders>
              <w:top w:val="single" w:color="auto" w:sz="2" w:space="0"/>
              <w:left w:val="nil"/>
              <w:bottom w:val="nil"/>
              <w:right w:val="nil"/>
            </w:tcBorders>
            <w:noWrap/>
            <w:vAlign w:val="center"/>
          </w:tcPr>
          <w:p w14:paraId="1834B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-4.04(-7.10,-0.69)</w:t>
            </w:r>
            <w:r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1713" w:type="pct"/>
            <w:tcBorders>
              <w:top w:val="single" w:color="auto" w:sz="2" w:space="0"/>
              <w:left w:val="nil"/>
              <w:bottom w:val="nil"/>
              <w:right w:val="nil"/>
            </w:tcBorders>
            <w:noWrap/>
            <w:vAlign w:val="center"/>
          </w:tcPr>
          <w:p w14:paraId="3A836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4.71(-6.67,20.23)</w:t>
            </w:r>
          </w:p>
        </w:tc>
      </w:tr>
      <w:tr w14:paraId="1A0EF4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B9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Female N=2661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21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-2.73(-5.59,0.23)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CD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2.33(-10.87,14.82)</w:t>
            </w:r>
          </w:p>
        </w:tc>
      </w:tr>
      <w:tr w14:paraId="4E9881A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41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ACC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p for interaction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055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0.701</w:t>
            </w:r>
          </w:p>
        </w:tc>
        <w:tc>
          <w:tcPr>
            <w:tcW w:w="1713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17D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0.671</w:t>
            </w:r>
          </w:p>
        </w:tc>
      </w:tr>
    </w:tbl>
    <w:p w14:paraId="010E02B9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Abbreviations: TSH, thyroid-stimulating hormone; FT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free thyroxine; OBS, Oxidative Balance Score. Estimates are derived from a complex survey design, </w:t>
      </w:r>
      <w:r>
        <w:rPr>
          <w:rFonts w:ascii="Times New Roman" w:hAnsi="Times New Roman" w:eastAsia="等线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ge, </w:t>
      </w:r>
      <w:r>
        <w:rPr>
          <w:rFonts w:hint="eastAsia" w:eastAsia="等线" w:cs="Times New Roman"/>
          <w:sz w:val="24"/>
          <w:szCs w:val="24"/>
          <w:lang w:eastAsia="zh-CN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等线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ace, </w:t>
      </w:r>
      <w:r>
        <w:rPr>
          <w:rFonts w:ascii="Times New Roman" w:hAnsi="Times New Roman" w:eastAsia="等线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ducation level, and UIC were adjusted.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model, natural logarithm conversion was applied to adjust OBS and thyroid function indexes.</w:t>
      </w:r>
      <w:r>
        <w:rPr>
          <w:rFonts w:ascii="Times New Roman" w:hAnsi="Times New Roman" w:eastAsia="等线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results were presented as the percentage difference in serum thyroid function per 10-unit increase in OBS. Percent differences = [e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(ln10×β)</w:t>
      </w:r>
      <w:r>
        <w:rPr>
          <w:rFonts w:ascii="Times New Roman" w:hAnsi="Times New Roman" w:cs="Times New Roman"/>
          <w:sz w:val="24"/>
          <w:szCs w:val="24"/>
        </w:rPr>
        <w:t xml:space="preserve"> – 1] × 100.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*P &lt; 0.05.</w:t>
      </w:r>
    </w:p>
    <w:p w14:paraId="118B2F87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23AB09FD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73AAF9E0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0140E919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323B105E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1EEFA70A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6AE7F526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5FB49213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2D54CE47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297A386F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50D3CE78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68A4AAC2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1037B42A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44076103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6A217AF1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21765B00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</w:t>
      </w:r>
    </w:p>
    <w:p w14:paraId="7E4B5DE1">
      <w:pPr>
        <w:spacing w:before="100" w:beforeAutospacing="1" w:after="100" w:afterAutospacing="1"/>
        <w:rPr>
          <w:rFonts w:hint="eastAsia" w:cs="Times New Roman" w:eastAsiaTheme="minorEastAsia"/>
          <w:lang w:eastAsia="zh-CN"/>
        </w:rPr>
      </w:pPr>
      <w:r>
        <w:rPr>
          <w:rFonts w:cs="Times New Roman"/>
        </w:rPr>
        <w:t xml:space="preserve"> </w:t>
      </w:r>
    </w:p>
    <w:p w14:paraId="719AC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/>
        <w:jc w:val="left"/>
        <w:textAlignment w:val="auto"/>
        <w:rPr>
          <w:rFonts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Table S4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Mediation analysis between OBS and all-cause mortality 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>by gender group stratification.</w:t>
      </w:r>
    </w:p>
    <w:tbl>
      <w:tblPr>
        <w:tblStyle w:val="2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60"/>
        <w:gridCol w:w="823"/>
        <w:gridCol w:w="1420"/>
        <w:gridCol w:w="827"/>
        <w:gridCol w:w="1639"/>
        <w:gridCol w:w="686"/>
        <w:gridCol w:w="1864"/>
      </w:tblGrid>
      <w:tr w14:paraId="7F86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19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C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Total effect</w:t>
            </w:r>
          </w:p>
        </w:tc>
        <w:tc>
          <w:tcPr>
            <w:tcW w:w="1149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Indirect effect</w:t>
            </w:r>
          </w:p>
        </w:tc>
        <w:tc>
          <w:tcPr>
            <w:tcW w:w="1188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Direct effect</w:t>
            </w:r>
          </w:p>
        </w:tc>
        <w:tc>
          <w:tcPr>
            <w:tcW w:w="954" w:type="pct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0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Proportion mediated, %</w:t>
            </w:r>
          </w:p>
          <w:p w14:paraId="575C0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 (95% CI)</w:t>
            </w:r>
          </w:p>
        </w:tc>
      </w:tr>
      <w:tr w14:paraId="58D65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DE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Coefficient (95% CI)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P value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F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Coefficient (95% CI) 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P value 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Coefficient (95% CI)  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P value  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E7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eastAsia="宋体" w:cs="Times New Roman"/>
                <w:color w:val="000000"/>
                <w:szCs w:val="24"/>
              </w:rPr>
            </w:pPr>
          </w:p>
        </w:tc>
      </w:tr>
      <w:tr w14:paraId="4AC4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Male</w:t>
            </w:r>
          </w:p>
        </w:tc>
        <w:tc>
          <w:tcPr>
            <w:tcW w:w="798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10.97 </w:t>
            </w:r>
          </w:p>
          <w:p w14:paraId="099D7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(4.22, 16.77)</w:t>
            </w:r>
          </w:p>
        </w:tc>
        <w:tc>
          <w:tcPr>
            <w:tcW w:w="42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0.008</w:t>
            </w:r>
          </w:p>
        </w:tc>
        <w:tc>
          <w:tcPr>
            <w:tcW w:w="72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0.58 </w:t>
            </w:r>
          </w:p>
          <w:p w14:paraId="17D6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(0.11, 1.37)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8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0.012</w:t>
            </w:r>
          </w:p>
        </w:tc>
        <w:tc>
          <w:tcPr>
            <w:tcW w:w="838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10.38</w:t>
            </w:r>
          </w:p>
          <w:p w14:paraId="696A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 (3.63, 16.03)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0.012</w:t>
            </w:r>
          </w:p>
        </w:tc>
        <w:tc>
          <w:tcPr>
            <w:tcW w:w="95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A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5.3 (0.9, 16.0)</w:t>
            </w:r>
          </w:p>
        </w:tc>
      </w:tr>
      <w:tr w14:paraId="1524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A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Female</w:t>
            </w: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24.01</w:t>
            </w:r>
          </w:p>
          <w:p w14:paraId="0736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(-2.93,319.24)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A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0.076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B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1.65</w:t>
            </w:r>
          </w:p>
          <w:p w14:paraId="5ACE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(0.05,62.79)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E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0.040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22.36</w:t>
            </w:r>
          </w:p>
          <w:p w14:paraId="7104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(-6.08, 257.14)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B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0.096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6.9 (-22.3, 40.9)</w:t>
            </w:r>
          </w:p>
        </w:tc>
      </w:tr>
    </w:tbl>
    <w:p w14:paraId="412C603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Adjusted for </w:t>
      </w:r>
      <w:r>
        <w:rPr>
          <w:rFonts w:ascii="Times New Roman" w:hAnsi="Times New Roman" w:eastAsia="宋体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ge, </w:t>
      </w:r>
      <w:r>
        <w:rPr>
          <w:rFonts w:hint="eastAsia" w:eastAsia="宋体" w:cs="Times New Roman"/>
          <w:sz w:val="24"/>
          <w:szCs w:val="24"/>
          <w:lang w:val="en-US" w:eastAsia="zh-CN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ace, </w:t>
      </w:r>
      <w:r>
        <w:rPr>
          <w:rFonts w:ascii="Times New Roman" w:hAnsi="Times New Roman" w:eastAsia="宋体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ducation, </w:t>
      </w:r>
      <w:r>
        <w:rPr>
          <w:rFonts w:ascii="Times New Roman" w:hAnsi="Times New Roman" w:eastAsia="宋体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iabetes mellitus, </w:t>
      </w:r>
      <w:r>
        <w:rPr>
          <w:rFonts w:ascii="Times New Roman" w:hAnsi="Times New Roman" w:eastAsia="宋体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ypertension, </w:t>
      </w:r>
      <w:r>
        <w:rPr>
          <w:rFonts w:ascii="Times New Roman" w:hAnsi="Times New Roman" w:eastAsia="宋体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yperlipidemia, and 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ardiovascular </w:t>
      </w:r>
      <w:r>
        <w:rPr>
          <w:rFonts w:ascii="Times New Roman" w:hAnsi="Times New Roman" w:eastAsia="宋体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isease.</w:t>
      </w:r>
    </w:p>
    <w:p w14:paraId="5E73DFEA">
      <w:r>
        <w:t xml:space="preserve"> </w:t>
      </w:r>
    </w:p>
    <w:p w14:paraId="2514953E">
      <w:pPr>
        <w:rPr>
          <w:rFonts w:hint="eastAsia" w:eastAsiaTheme="minorEastAsia"/>
          <w:lang w:eastAsia="zh-CN"/>
        </w:rPr>
      </w:pPr>
      <w:r>
        <w:t xml:space="preserve"> </w:t>
      </w:r>
    </w:p>
    <w:sectPr>
      <w:headerReference r:id="rId5" w:type="first"/>
      <w:footerReference r:id="rId6" w:type="default"/>
      <w:headerReference r:id="rId4" w:type="even"/>
      <w:footerReference r:id="rId7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2346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286FE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2CA286FE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7054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881CB9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B881CB9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B1C4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20A0"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evenAndOddHeaders w:val="1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yMTRhMDYwOGFlNDc1Y2JlZDQ0ZmE2YWE4OTAyM2UifQ=="/>
  </w:docVars>
  <w:rsids>
    <w:rsidRoot w:val="00803D24"/>
    <w:rsid w:val="0001436A"/>
    <w:rsid w:val="00034304"/>
    <w:rsid w:val="00035434"/>
    <w:rsid w:val="00052A14"/>
    <w:rsid w:val="00077D53"/>
    <w:rsid w:val="000D28AC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E2501"/>
    <w:rsid w:val="003544FB"/>
    <w:rsid w:val="00391E52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96B74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0DFB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B7FEB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6BA455D"/>
    <w:rsid w:val="12374CB3"/>
    <w:rsid w:val="175005C5"/>
    <w:rsid w:val="19461C80"/>
    <w:rsid w:val="1BAB226E"/>
    <w:rsid w:val="2AD52E64"/>
    <w:rsid w:val="49ED5CF1"/>
    <w:rsid w:val="512177A1"/>
    <w:rsid w:val="5EAC0136"/>
    <w:rsid w:val="67233B5B"/>
    <w:rsid w:val="6D6E351F"/>
    <w:rsid w:val="733676C5"/>
    <w:rsid w:val="76944F4E"/>
    <w:rsid w:val="7B8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标题 1 字符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书籍标题1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明显强调1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明显参考1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不明显强调1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修订1"/>
    <w:hidden/>
    <w:semiHidden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54">
    <w:name w:val="15"/>
    <w:basedOn w:val="22"/>
    <w:qFormat/>
    <w:uiPriority w:val="0"/>
    <w:rPr>
      <w:rFonts w:hint="default" w:ascii="Times New Roman" w:hAnsi="Times New Roman" w:cs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/>
</ds:datastoreItem>
</file>

<file path=customXml/itemProps3.xml><?xml version="1.0" encoding="utf-8"?>
<ds:datastoreItem xmlns:ds="http://schemas.openxmlformats.org/officeDocument/2006/customXml" ds:itemID="{2558679B-78FB-42CD-A1EA-A99096AF5568}">
  <ds:schemaRefs/>
</ds:datastoreItem>
</file>

<file path=customXml/itemProps4.xml><?xml version="1.0" encoding="utf-8"?>
<ds:datastoreItem xmlns:ds="http://schemas.openxmlformats.org/officeDocument/2006/customXml" ds:itemID="{4B2E0E22-D442-4EBE-AAA2-EDC8871E7B41}">
  <ds:schemaRefs/>
</ds:datastoreItem>
</file>

<file path=customXml/itemProps5.xml><?xml version="1.0" encoding="utf-8"?>
<ds:datastoreItem xmlns:ds="http://schemas.openxmlformats.org/officeDocument/2006/customXml" ds:itemID="{A3D4929F-83D0-432F-8F82-6D4423C25F5E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Pages>4</Pages>
  <Words>809</Words>
  <Characters>4346</Characters>
  <Lines>235</Lines>
  <Paragraphs>196</Paragraphs>
  <TotalTime>401</TotalTime>
  <ScaleCrop>false</ScaleCrop>
  <LinksUpToDate>false</LinksUpToDate>
  <CharactersWithSpaces>5017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Lethe</cp:lastModifiedBy>
  <cp:lastPrinted>2013-10-03T12:51:00Z</cp:lastPrinted>
  <dcterms:modified xsi:type="dcterms:W3CDTF">2024-08-18T13:39:40Z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2052-12.1.0.17147</vt:lpwstr>
  </property>
  <property fmtid="{D5CDD505-2E9C-101B-9397-08002B2CF9AE}" pid="11" name="ICV">
    <vt:lpwstr>12AA747A4AAC4D0AB361221355ABA738_13</vt:lpwstr>
  </property>
  <property fmtid="{D5CDD505-2E9C-101B-9397-08002B2CF9AE}" pid="12" name="GrammarlyDocumentId">
    <vt:lpwstr>9e4993b4d53d940b3178459e7ec3d2a01706cb1d59841bb40ed698a70ab4424c</vt:lpwstr>
  </property>
</Properties>
</file>