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75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96"/>
        <w:gridCol w:w="5447"/>
        <w:gridCol w:w="1416"/>
      </w:tblGrid>
      <w:tr w14:paraId="35FF6B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op w:val="single" w:color="auto" w:sz="12" w:space="0"/>
              <w:bottom w:val="single" w:color="auto" w:sz="4" w:space="0"/>
              <w:tl2br w:val="nil"/>
              <w:tr2bl w:val="nil"/>
            </w:tcBorders>
          </w:tcPr>
          <w:p w14:paraId="13D62293">
            <w:pPr>
              <w:jc w:val="center"/>
              <w:rPr>
                <w:rFonts w:ascii="Times New Roman" w:hAnsi="Times New Roman" w:cs="Times New Roman"/>
                <w:sz w:val="24"/>
                <w:szCs w:val="24"/>
              </w:rPr>
            </w:pPr>
            <w:r>
              <w:rPr>
                <w:rFonts w:ascii="Times New Roman" w:hAnsi="Times New Roman" w:cs="Times New Roman"/>
                <w:sz w:val="24"/>
                <w:szCs w:val="24"/>
              </w:rPr>
              <w:t>Encephalic region</w:t>
            </w:r>
          </w:p>
        </w:tc>
        <w:tc>
          <w:tcPr>
            <w:tcW w:w="5447" w:type="dxa"/>
            <w:tcBorders>
              <w:top w:val="single" w:color="auto" w:sz="12" w:space="0"/>
              <w:bottom w:val="single" w:color="auto" w:sz="4" w:space="0"/>
              <w:tl2br w:val="nil"/>
              <w:tr2bl w:val="nil"/>
            </w:tcBorders>
            <w:vAlign w:val="center"/>
          </w:tcPr>
          <w:p w14:paraId="0CD14288">
            <w:pPr>
              <w:jc w:val="center"/>
              <w:rPr>
                <w:rFonts w:ascii="Times New Roman" w:hAnsi="Times New Roman" w:cs="Times New Roman"/>
                <w:sz w:val="24"/>
                <w:szCs w:val="24"/>
              </w:rPr>
            </w:pPr>
            <w:r>
              <w:rPr>
                <w:rFonts w:ascii="Times New Roman" w:hAnsi="Times New Roman" w:cs="Times New Roman"/>
                <w:sz w:val="24"/>
                <w:szCs w:val="24"/>
              </w:rPr>
              <w:t>Function</w:t>
            </w:r>
          </w:p>
        </w:tc>
        <w:tc>
          <w:tcPr>
            <w:tcW w:w="1416" w:type="dxa"/>
            <w:tcBorders>
              <w:top w:val="single" w:color="auto" w:sz="12" w:space="0"/>
              <w:bottom w:val="single" w:color="auto" w:sz="4" w:space="0"/>
              <w:tl2br w:val="nil"/>
              <w:tr2bl w:val="nil"/>
            </w:tcBorders>
            <w:vAlign w:val="center"/>
          </w:tcPr>
          <w:p w14:paraId="758BE7B6">
            <w:pPr>
              <w:jc w:val="center"/>
              <w:rPr>
                <w:rFonts w:ascii="Times New Roman" w:hAnsi="Times New Roman" w:cs="Times New Roman"/>
                <w:sz w:val="24"/>
                <w:szCs w:val="24"/>
              </w:rPr>
            </w:pPr>
            <w:r>
              <w:rPr>
                <w:rFonts w:ascii="Times New Roman" w:hAnsi="Times New Roman" w:cs="Times New Roman"/>
                <w:sz w:val="24"/>
                <w:szCs w:val="24"/>
              </w:rPr>
              <w:t>References</w:t>
            </w:r>
          </w:p>
        </w:tc>
      </w:tr>
      <w:tr w14:paraId="722E241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op w:val="single" w:color="auto" w:sz="4" w:space="0"/>
              <w:tl2br w:val="nil"/>
              <w:tr2bl w:val="nil"/>
            </w:tcBorders>
          </w:tcPr>
          <w:p w14:paraId="607974F1">
            <w:pPr>
              <w:jc w:val="center"/>
              <w:rPr>
                <w:rFonts w:ascii="Times New Roman" w:hAnsi="Times New Roman" w:cs="Times New Roman"/>
                <w:sz w:val="24"/>
                <w:szCs w:val="24"/>
              </w:rPr>
            </w:pPr>
            <w:r>
              <w:rPr>
                <w:rFonts w:ascii="Times New Roman" w:hAnsi="Times New Roman" w:cs="Times New Roman"/>
                <w:sz w:val="24"/>
                <w:szCs w:val="24"/>
              </w:rPr>
              <w:t>Accumbens</w:t>
            </w:r>
          </w:p>
        </w:tc>
        <w:tc>
          <w:tcPr>
            <w:tcW w:w="5447" w:type="dxa"/>
            <w:tcBorders>
              <w:top w:val="single" w:color="auto" w:sz="4" w:space="0"/>
              <w:tl2br w:val="nil"/>
              <w:tr2bl w:val="nil"/>
            </w:tcBorders>
          </w:tcPr>
          <w:p w14:paraId="7C4E244A">
            <w:pPr>
              <w:rPr>
                <w:rFonts w:ascii="Times New Roman" w:hAnsi="Times New Roman" w:cs="Times New Roman"/>
                <w:sz w:val="24"/>
                <w:szCs w:val="24"/>
              </w:rPr>
            </w:pPr>
            <w:r>
              <w:rPr>
                <w:rFonts w:ascii="Times New Roman" w:hAnsi="Times New Roman" w:cs="Times New Roman"/>
                <w:sz w:val="24"/>
                <w:szCs w:val="24"/>
              </w:rPr>
              <w:t>Accumbens, located at the junction of the basal nucleus and the limbic system, plays an important role in brain activities such as reward, pleasure, addiction, invasion, and fear. Cholinergic interneurons in the nucleus accumbens (NAc) have been implicated in drug addiction, reward, and mood disorders.</w:t>
            </w:r>
          </w:p>
        </w:tc>
        <w:tc>
          <w:tcPr>
            <w:tcW w:w="1416" w:type="dxa"/>
            <w:tcBorders>
              <w:top w:val="single" w:color="auto" w:sz="4" w:space="0"/>
              <w:tl2br w:val="nil"/>
              <w:tr2bl w:val="nil"/>
            </w:tcBorders>
            <w:vAlign w:val="center"/>
          </w:tcPr>
          <w:p w14:paraId="34013543">
            <w:pPr>
              <w:jc w:val="center"/>
              <w:rPr>
                <w:rFonts w:ascii="Times New Roman" w:hAnsi="Times New Roman" w:cs="Times New Roman"/>
                <w:sz w:val="24"/>
                <w:szCs w:val="24"/>
              </w:rPr>
            </w:pPr>
            <w:r>
              <w:rPr>
                <w:rFonts w:ascii="Times New Roman" w:hAnsi="Times New Roman" w:cs="Times New Roman"/>
                <w:sz w:val="24"/>
                <w:szCs w:val="24"/>
              </w:rPr>
              <w:t>1,2</w:t>
            </w:r>
          </w:p>
        </w:tc>
      </w:tr>
      <w:tr w14:paraId="4A9754B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4DD45919">
            <w:pPr>
              <w:jc w:val="center"/>
              <w:rPr>
                <w:rFonts w:ascii="Times New Roman" w:hAnsi="Times New Roman" w:cs="Times New Roman"/>
                <w:sz w:val="24"/>
                <w:szCs w:val="24"/>
              </w:rPr>
            </w:pPr>
            <w:r>
              <w:rPr>
                <w:rFonts w:ascii="Times New Roman" w:hAnsi="Times New Roman" w:cs="Times New Roman"/>
                <w:sz w:val="24"/>
                <w:szCs w:val="24"/>
              </w:rPr>
              <w:t>Striatum</w:t>
            </w:r>
          </w:p>
        </w:tc>
        <w:tc>
          <w:tcPr>
            <w:tcW w:w="5447" w:type="dxa"/>
            <w:tcBorders>
              <w:tl2br w:val="nil"/>
              <w:tr2bl w:val="nil"/>
            </w:tcBorders>
          </w:tcPr>
          <w:p w14:paraId="0BC298C8">
            <w:pPr>
              <w:rPr>
                <w:rFonts w:ascii="Times New Roman" w:hAnsi="Times New Roman" w:cs="Times New Roman"/>
                <w:sz w:val="24"/>
                <w:szCs w:val="24"/>
              </w:rPr>
            </w:pPr>
            <w:r>
              <w:rPr>
                <w:rFonts w:ascii="Times New Roman" w:hAnsi="Times New Roman" w:cs="Times New Roman"/>
                <w:sz w:val="24"/>
                <w:szCs w:val="24"/>
              </w:rPr>
              <w:t>The striatum, belonging to the structure of extrapyramidal system, is a major site of convergence in the forebrain for comprehensive integration of motivational, emotional, cognitive, and sensorimotor information. By assimilating these multifaceted signals, the striatum transforms this amalgamated input into discernible behavioral outputs. Based on temporal occurrence, it can be classified into two distinct regions: the new striatum encompassing the shell and caudate nucleus of the lenticular nucleus; and the old striatum comprising the globus pallidus pallidus which is closely associated with skeletal muscle activity. Pathological conditions affecting the putamen are linked to involuntary movements observed clinically such as athetosis, torsion spasm, and chorea.</w:t>
            </w:r>
          </w:p>
        </w:tc>
        <w:tc>
          <w:tcPr>
            <w:tcW w:w="1416" w:type="dxa"/>
            <w:tcBorders>
              <w:tl2br w:val="nil"/>
              <w:tr2bl w:val="nil"/>
            </w:tcBorders>
            <w:vAlign w:val="center"/>
          </w:tcPr>
          <w:p w14:paraId="0AD038B9">
            <w:pPr>
              <w:jc w:val="center"/>
              <w:rPr>
                <w:rFonts w:ascii="Times New Roman" w:hAnsi="Times New Roman" w:cs="Times New Roman"/>
                <w:sz w:val="24"/>
                <w:szCs w:val="24"/>
              </w:rPr>
            </w:pPr>
          </w:p>
        </w:tc>
      </w:tr>
      <w:tr w14:paraId="7C192A6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74C549A3">
            <w:pPr>
              <w:jc w:val="center"/>
              <w:rPr>
                <w:rFonts w:ascii="Times New Roman" w:hAnsi="Times New Roman" w:cs="Times New Roman"/>
                <w:sz w:val="24"/>
                <w:szCs w:val="24"/>
              </w:rPr>
            </w:pPr>
            <w:r>
              <w:rPr>
                <w:rFonts w:ascii="Times New Roman" w:hAnsi="Times New Roman" w:cs="Times New Roman"/>
                <w:sz w:val="24"/>
                <w:szCs w:val="24"/>
              </w:rPr>
              <w:t>Auditory Cortex</w:t>
            </w:r>
          </w:p>
        </w:tc>
        <w:tc>
          <w:tcPr>
            <w:tcW w:w="5447" w:type="dxa"/>
            <w:tcBorders>
              <w:tl2br w:val="nil"/>
              <w:tr2bl w:val="nil"/>
            </w:tcBorders>
          </w:tcPr>
          <w:p w14:paraId="31B48726">
            <w:pPr>
              <w:rPr>
                <w:rFonts w:ascii="Times New Roman" w:hAnsi="Times New Roman" w:cs="Times New Roman"/>
                <w:sz w:val="24"/>
                <w:szCs w:val="24"/>
              </w:rPr>
            </w:pPr>
            <w:r>
              <w:rPr>
                <w:rFonts w:ascii="Times New Roman" w:hAnsi="Times New Roman" w:cs="Times New Roman"/>
                <w:sz w:val="24"/>
                <w:szCs w:val="24"/>
              </w:rPr>
              <w:t>The innermost sound processing terminal of the auditory system.</w:t>
            </w:r>
          </w:p>
        </w:tc>
        <w:tc>
          <w:tcPr>
            <w:tcW w:w="1416" w:type="dxa"/>
            <w:tcBorders>
              <w:tl2br w:val="nil"/>
              <w:tr2bl w:val="nil"/>
            </w:tcBorders>
            <w:vAlign w:val="center"/>
          </w:tcPr>
          <w:p w14:paraId="4CB2BD4D">
            <w:pPr>
              <w:jc w:val="center"/>
              <w:rPr>
                <w:rFonts w:ascii="Times New Roman" w:hAnsi="Times New Roman" w:cs="Times New Roman"/>
                <w:sz w:val="24"/>
                <w:szCs w:val="24"/>
              </w:rPr>
            </w:pPr>
            <w:r>
              <w:rPr>
                <w:rFonts w:ascii="Times New Roman" w:hAnsi="Times New Roman" w:cs="Times New Roman"/>
                <w:sz w:val="24"/>
                <w:szCs w:val="24"/>
              </w:rPr>
              <w:t>3,4</w:t>
            </w:r>
          </w:p>
        </w:tc>
      </w:tr>
      <w:tr w14:paraId="718CDEC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4DC5C674">
            <w:pPr>
              <w:jc w:val="center"/>
              <w:rPr>
                <w:rFonts w:ascii="Times New Roman" w:hAnsi="Times New Roman" w:cs="Times New Roman"/>
                <w:sz w:val="24"/>
                <w:szCs w:val="24"/>
              </w:rPr>
            </w:pPr>
            <w:r>
              <w:rPr>
                <w:rFonts w:ascii="Times New Roman" w:hAnsi="Times New Roman" w:cs="Times New Roman"/>
                <w:sz w:val="24"/>
                <w:szCs w:val="24"/>
              </w:rPr>
              <w:t>Cingulate Cortex</w:t>
            </w:r>
          </w:p>
        </w:tc>
        <w:tc>
          <w:tcPr>
            <w:tcW w:w="5447" w:type="dxa"/>
            <w:tcBorders>
              <w:tl2br w:val="nil"/>
              <w:tr2bl w:val="nil"/>
            </w:tcBorders>
          </w:tcPr>
          <w:p w14:paraId="2502F0BC">
            <w:pPr>
              <w:rPr>
                <w:rFonts w:ascii="Times New Roman" w:hAnsi="Times New Roman" w:cs="Times New Roman"/>
                <w:sz w:val="24"/>
                <w:szCs w:val="24"/>
              </w:rPr>
            </w:pPr>
            <w:r>
              <w:rPr>
                <w:rFonts w:ascii="Times New Roman" w:hAnsi="Times New Roman" w:cs="Times New Roman"/>
                <w:sz w:val="24"/>
                <w:szCs w:val="24"/>
              </w:rPr>
              <w:t>The cingulate cortex, situated within the cerebral cortex, plays a crucial role in self-regulation of emotions, error monitoring, and problem-solving. The anterior cingulate cortex (ACC) has been proposed as a neurobiological substrate underlying executive control of cognitive and motor processes.</w:t>
            </w:r>
          </w:p>
        </w:tc>
        <w:tc>
          <w:tcPr>
            <w:tcW w:w="1416" w:type="dxa"/>
            <w:tcBorders>
              <w:tl2br w:val="nil"/>
              <w:tr2bl w:val="nil"/>
            </w:tcBorders>
            <w:vAlign w:val="center"/>
          </w:tcPr>
          <w:p w14:paraId="320DF252">
            <w:pPr>
              <w:jc w:val="center"/>
              <w:rPr>
                <w:rFonts w:ascii="Times New Roman" w:hAnsi="Times New Roman" w:cs="Times New Roman"/>
                <w:sz w:val="24"/>
                <w:szCs w:val="24"/>
              </w:rPr>
            </w:pPr>
            <w:r>
              <w:rPr>
                <w:rFonts w:ascii="Times New Roman" w:hAnsi="Times New Roman" w:cs="Times New Roman"/>
                <w:sz w:val="24"/>
                <w:szCs w:val="24"/>
              </w:rPr>
              <w:t>5</w:t>
            </w:r>
          </w:p>
        </w:tc>
      </w:tr>
      <w:tr w14:paraId="4DCC4C3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0FFFD1C9">
            <w:pPr>
              <w:jc w:val="center"/>
              <w:rPr>
                <w:rFonts w:ascii="Times New Roman" w:hAnsi="Times New Roman" w:cs="Times New Roman"/>
                <w:sz w:val="24"/>
                <w:szCs w:val="24"/>
              </w:rPr>
            </w:pPr>
            <w:r>
              <w:rPr>
                <w:rFonts w:ascii="Times New Roman" w:hAnsi="Times New Roman" w:cs="Times New Roman"/>
                <w:sz w:val="24"/>
                <w:szCs w:val="24"/>
              </w:rPr>
              <w:t>Entorhinal Cortex</w:t>
            </w:r>
          </w:p>
        </w:tc>
        <w:tc>
          <w:tcPr>
            <w:tcW w:w="5447" w:type="dxa"/>
            <w:tcBorders>
              <w:tl2br w:val="nil"/>
              <w:tr2bl w:val="nil"/>
            </w:tcBorders>
          </w:tcPr>
          <w:p w14:paraId="34A94F3F">
            <w:pPr>
              <w:rPr>
                <w:rFonts w:ascii="Times New Roman" w:hAnsi="Times New Roman" w:cs="Times New Roman"/>
                <w:sz w:val="24"/>
                <w:szCs w:val="24"/>
              </w:rPr>
            </w:pPr>
            <w:r>
              <w:rPr>
                <w:rFonts w:ascii="Times New Roman" w:hAnsi="Times New Roman" w:cs="Times New Roman"/>
                <w:sz w:val="24"/>
                <w:szCs w:val="24"/>
              </w:rPr>
              <w:t>Neurons in the entorhinal cortex (EC) are part of the adjacent parahippocampal gyrus and project to the dentate gyrus (DG), which in turn drives subfields CA3, then CA2, CA1, and sublayers. The lower layers and CA1 then project back to the EC and are involved in memory formation.</w:t>
            </w:r>
          </w:p>
        </w:tc>
        <w:tc>
          <w:tcPr>
            <w:tcW w:w="1416" w:type="dxa"/>
            <w:tcBorders>
              <w:tl2br w:val="nil"/>
              <w:tr2bl w:val="nil"/>
            </w:tcBorders>
            <w:vAlign w:val="center"/>
          </w:tcPr>
          <w:p w14:paraId="128AEBC3">
            <w:pPr>
              <w:jc w:val="center"/>
              <w:rPr>
                <w:rFonts w:ascii="Times New Roman" w:hAnsi="Times New Roman" w:cs="Times New Roman"/>
                <w:sz w:val="24"/>
                <w:szCs w:val="24"/>
              </w:rPr>
            </w:pPr>
            <w:r>
              <w:rPr>
                <w:rFonts w:ascii="Times New Roman" w:hAnsi="Times New Roman" w:cs="Times New Roman"/>
                <w:sz w:val="24"/>
                <w:szCs w:val="24"/>
              </w:rPr>
              <w:t>8,9</w:t>
            </w:r>
          </w:p>
        </w:tc>
      </w:tr>
      <w:tr w14:paraId="470C562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4AF7300F">
            <w:pPr>
              <w:jc w:val="center"/>
              <w:rPr>
                <w:rFonts w:ascii="Times New Roman" w:hAnsi="Times New Roman" w:cs="Times New Roman"/>
                <w:sz w:val="24"/>
                <w:szCs w:val="24"/>
              </w:rPr>
            </w:pPr>
            <w:r>
              <w:rPr>
                <w:rFonts w:ascii="Times New Roman" w:hAnsi="Times New Roman" w:cs="Times New Roman"/>
                <w:sz w:val="24"/>
                <w:szCs w:val="24"/>
              </w:rPr>
              <w:t>Frontal Association Cortex</w:t>
            </w:r>
          </w:p>
        </w:tc>
        <w:tc>
          <w:tcPr>
            <w:tcW w:w="5447" w:type="dxa"/>
            <w:tcBorders>
              <w:tl2br w:val="nil"/>
              <w:tr2bl w:val="nil"/>
            </w:tcBorders>
          </w:tcPr>
          <w:p w14:paraId="464B01DE">
            <w:pPr>
              <w:rPr>
                <w:rFonts w:ascii="Times New Roman" w:hAnsi="Times New Roman" w:cs="Times New Roman"/>
                <w:sz w:val="24"/>
                <w:szCs w:val="24"/>
              </w:rPr>
            </w:pPr>
            <w:r>
              <w:rPr>
                <w:rFonts w:ascii="Times New Roman" w:hAnsi="Times New Roman" w:cs="Times New Roman"/>
                <w:sz w:val="24"/>
                <w:szCs w:val="24"/>
              </w:rPr>
              <w:t>This region primarily engages in working memory, planning, decision-making, and response inhibition. One higher brain function that involves the prefrontal lobe is personality. It has been reported that after an accidental trauma to the prefrontal lobe, a worker's temperament has changed greatly, becoming irritable, unpuncial, vulgar, and even domestic violence.</w:t>
            </w:r>
          </w:p>
        </w:tc>
        <w:tc>
          <w:tcPr>
            <w:tcW w:w="1416" w:type="dxa"/>
            <w:tcBorders>
              <w:tl2br w:val="nil"/>
              <w:tr2bl w:val="nil"/>
            </w:tcBorders>
            <w:vAlign w:val="center"/>
          </w:tcPr>
          <w:p w14:paraId="45C83C74">
            <w:pPr>
              <w:jc w:val="center"/>
              <w:rPr>
                <w:rFonts w:ascii="Times New Roman" w:hAnsi="Times New Roman" w:cs="Times New Roman"/>
                <w:sz w:val="24"/>
                <w:szCs w:val="24"/>
              </w:rPr>
            </w:pPr>
            <w:r>
              <w:rPr>
                <w:rFonts w:ascii="Times New Roman" w:hAnsi="Times New Roman" w:cs="Times New Roman"/>
                <w:sz w:val="24"/>
                <w:szCs w:val="24"/>
              </w:rPr>
              <w:t>7,10</w:t>
            </w:r>
          </w:p>
        </w:tc>
      </w:tr>
      <w:tr w14:paraId="06230DF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66BDD6A0">
            <w:pPr>
              <w:jc w:val="center"/>
              <w:rPr>
                <w:rFonts w:ascii="Times New Roman" w:hAnsi="Times New Roman" w:cs="Times New Roman"/>
                <w:sz w:val="24"/>
                <w:szCs w:val="24"/>
              </w:rPr>
            </w:pPr>
            <w:r>
              <w:rPr>
                <w:rFonts w:ascii="Times New Roman" w:hAnsi="Times New Roman" w:cs="Times New Roman"/>
                <w:sz w:val="24"/>
                <w:szCs w:val="24"/>
              </w:rPr>
              <w:t>Insular Cortex</w:t>
            </w:r>
          </w:p>
        </w:tc>
        <w:tc>
          <w:tcPr>
            <w:tcW w:w="5447" w:type="dxa"/>
            <w:tcBorders>
              <w:tl2br w:val="nil"/>
              <w:tr2bl w:val="nil"/>
            </w:tcBorders>
          </w:tcPr>
          <w:p w14:paraId="76BA96AC">
            <w:pPr>
              <w:rPr>
                <w:rFonts w:ascii="Times New Roman" w:hAnsi="Times New Roman" w:cs="Times New Roman"/>
                <w:sz w:val="24"/>
                <w:szCs w:val="24"/>
              </w:rPr>
            </w:pPr>
            <w:r>
              <w:rPr>
                <w:rFonts w:ascii="Times New Roman" w:hAnsi="Times New Roman" w:cs="Times New Roman"/>
                <w:sz w:val="24"/>
                <w:szCs w:val="24"/>
              </w:rPr>
              <w:t>The insular cortex is a prominent processing center across multiple sensory and cognitive domains. Because of its extensive structural connections with the amygdala, orbitofrontal cortex, olfactory cortex, ACC, and superior temporal sulcus. The insula receives visceral afferent projections that transmit visceral sensory information from throughout the body. At the same time, it has functions such as social cognition, emotional processing, auditory processing, and regulation of food intake. Reduced activation of the insular cortex is common in schizophrenia. It has been suggested that insular dysfunction may contribute to hallucinations by reducing the brain's ability to distinguish between self-generated and external information.</w:t>
            </w:r>
          </w:p>
        </w:tc>
        <w:tc>
          <w:tcPr>
            <w:tcW w:w="1416" w:type="dxa"/>
            <w:tcBorders>
              <w:tl2br w:val="nil"/>
              <w:tr2bl w:val="nil"/>
            </w:tcBorders>
            <w:vAlign w:val="center"/>
          </w:tcPr>
          <w:p w14:paraId="3489035F">
            <w:pPr>
              <w:jc w:val="center"/>
              <w:rPr>
                <w:rFonts w:ascii="Times New Roman" w:hAnsi="Times New Roman" w:cs="Times New Roman"/>
                <w:sz w:val="24"/>
                <w:szCs w:val="24"/>
              </w:rPr>
            </w:pPr>
            <w:r>
              <w:rPr>
                <w:rFonts w:ascii="Times New Roman" w:hAnsi="Times New Roman" w:cs="Times New Roman"/>
                <w:sz w:val="24"/>
                <w:szCs w:val="24"/>
              </w:rPr>
              <w:t>11,12</w:t>
            </w:r>
          </w:p>
        </w:tc>
      </w:tr>
      <w:tr w14:paraId="16AB0B9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654134F2">
            <w:pPr>
              <w:jc w:val="center"/>
              <w:rPr>
                <w:rFonts w:ascii="Times New Roman" w:hAnsi="Times New Roman" w:cs="Times New Roman"/>
                <w:sz w:val="24"/>
                <w:szCs w:val="24"/>
              </w:rPr>
            </w:pPr>
            <w:r>
              <w:rPr>
                <w:rFonts w:ascii="Times New Roman" w:hAnsi="Times New Roman" w:cs="Times New Roman"/>
                <w:sz w:val="24"/>
                <w:szCs w:val="24"/>
              </w:rPr>
              <w:t>Medial Prefrontal Cortex</w:t>
            </w:r>
          </w:p>
        </w:tc>
        <w:tc>
          <w:tcPr>
            <w:tcW w:w="5447" w:type="dxa"/>
            <w:tcBorders>
              <w:tl2br w:val="nil"/>
              <w:tr2bl w:val="nil"/>
            </w:tcBorders>
          </w:tcPr>
          <w:p w14:paraId="4850E6DF">
            <w:pPr>
              <w:rPr>
                <w:rFonts w:ascii="Times New Roman" w:hAnsi="Times New Roman" w:cs="Times New Roman"/>
                <w:sz w:val="24"/>
                <w:szCs w:val="24"/>
              </w:rPr>
            </w:pPr>
            <w:r>
              <w:rPr>
                <w:rFonts w:ascii="Times New Roman" w:hAnsi="Times New Roman" w:cs="Times New Roman"/>
                <w:sz w:val="24"/>
                <w:szCs w:val="24"/>
              </w:rPr>
              <w:t>It's the anterior part of the frontal lobe, the front of the motor cortex and the premotor cortex, which is critical for the control and organization of behavior. It has been linked to episodic memory, working memory, and self-inhibition.</w:t>
            </w:r>
          </w:p>
        </w:tc>
        <w:tc>
          <w:tcPr>
            <w:tcW w:w="1416" w:type="dxa"/>
            <w:tcBorders>
              <w:tl2br w:val="nil"/>
              <w:tr2bl w:val="nil"/>
            </w:tcBorders>
            <w:vAlign w:val="center"/>
          </w:tcPr>
          <w:p w14:paraId="4A84B8D0">
            <w:pPr>
              <w:jc w:val="center"/>
              <w:rPr>
                <w:rFonts w:ascii="Times New Roman" w:hAnsi="Times New Roman" w:cs="Times New Roman"/>
                <w:sz w:val="24"/>
                <w:szCs w:val="24"/>
              </w:rPr>
            </w:pPr>
            <w:r>
              <w:rPr>
                <w:rFonts w:ascii="Times New Roman" w:hAnsi="Times New Roman" w:cs="Times New Roman"/>
                <w:sz w:val="24"/>
                <w:szCs w:val="24"/>
              </w:rPr>
              <w:t>13</w:t>
            </w:r>
          </w:p>
        </w:tc>
      </w:tr>
      <w:tr w14:paraId="2A247D6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38CF7316">
            <w:pPr>
              <w:jc w:val="center"/>
              <w:rPr>
                <w:rFonts w:ascii="Times New Roman" w:hAnsi="Times New Roman" w:cs="Times New Roman"/>
                <w:sz w:val="24"/>
                <w:szCs w:val="24"/>
              </w:rPr>
            </w:pPr>
            <w:r>
              <w:rPr>
                <w:rFonts w:ascii="Times New Roman" w:hAnsi="Times New Roman" w:cs="Times New Roman"/>
                <w:sz w:val="24"/>
                <w:szCs w:val="24"/>
              </w:rPr>
              <w:t>Motor Cortex</w:t>
            </w:r>
          </w:p>
        </w:tc>
        <w:tc>
          <w:tcPr>
            <w:tcW w:w="5447" w:type="dxa"/>
            <w:tcBorders>
              <w:tl2br w:val="nil"/>
              <w:tr2bl w:val="nil"/>
            </w:tcBorders>
          </w:tcPr>
          <w:p w14:paraId="57B94F3E">
            <w:pPr>
              <w:rPr>
                <w:rFonts w:ascii="Times New Roman" w:hAnsi="Times New Roman" w:cs="Times New Roman"/>
                <w:sz w:val="24"/>
                <w:szCs w:val="24"/>
              </w:rPr>
            </w:pPr>
            <w:r>
              <w:rPr>
                <w:rFonts w:ascii="Times New Roman" w:hAnsi="Times New Roman" w:cs="Times New Roman"/>
                <w:sz w:val="24"/>
                <w:szCs w:val="24"/>
              </w:rPr>
              <w:t>A region of the cerebral cortex involved in planning, controlling, and executing voluntary movements. The motor cortex is anatomically called the "precentral gyrus", also known as the "Ⅰ somatic motor area". Functions include preparation for movement, sensory guidance of movement, spatial guidance of reach, control of certain human movements, and control of the proximal and trunk muscles of the body.</w:t>
            </w:r>
          </w:p>
        </w:tc>
        <w:tc>
          <w:tcPr>
            <w:tcW w:w="1416" w:type="dxa"/>
            <w:tcBorders>
              <w:tl2br w:val="nil"/>
              <w:tr2bl w:val="nil"/>
            </w:tcBorders>
            <w:vAlign w:val="center"/>
          </w:tcPr>
          <w:p w14:paraId="5C2DFFD8">
            <w:pPr>
              <w:jc w:val="center"/>
              <w:rPr>
                <w:rFonts w:ascii="Times New Roman" w:hAnsi="Times New Roman" w:cs="Times New Roman"/>
                <w:sz w:val="24"/>
                <w:szCs w:val="24"/>
              </w:rPr>
            </w:pPr>
            <w:r>
              <w:rPr>
                <w:rFonts w:ascii="Times New Roman" w:hAnsi="Times New Roman" w:cs="Times New Roman"/>
                <w:sz w:val="24"/>
                <w:szCs w:val="24"/>
              </w:rPr>
              <w:t>14</w:t>
            </w:r>
          </w:p>
        </w:tc>
      </w:tr>
      <w:tr w14:paraId="3667DDF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5D002431">
            <w:pPr>
              <w:jc w:val="center"/>
              <w:rPr>
                <w:rFonts w:ascii="Times New Roman" w:hAnsi="Times New Roman" w:cs="Times New Roman"/>
                <w:sz w:val="24"/>
                <w:szCs w:val="24"/>
              </w:rPr>
            </w:pPr>
            <w:r>
              <w:rPr>
                <w:rFonts w:ascii="Times New Roman" w:hAnsi="Times New Roman" w:cs="Times New Roman"/>
                <w:sz w:val="24"/>
                <w:szCs w:val="24"/>
              </w:rPr>
              <w:t>Orbitofrontal Cortexl</w:t>
            </w:r>
          </w:p>
        </w:tc>
        <w:tc>
          <w:tcPr>
            <w:tcW w:w="5447" w:type="dxa"/>
            <w:tcBorders>
              <w:tl2br w:val="nil"/>
              <w:tr2bl w:val="nil"/>
            </w:tcBorders>
          </w:tcPr>
          <w:p w14:paraId="484DD393">
            <w:pPr>
              <w:rPr>
                <w:rFonts w:ascii="Times New Roman" w:hAnsi="Times New Roman" w:cs="Times New Roman"/>
                <w:sz w:val="24"/>
                <w:szCs w:val="24"/>
              </w:rPr>
            </w:pPr>
            <w:r>
              <w:rPr>
                <w:rFonts w:ascii="Times New Roman" w:hAnsi="Times New Roman" w:cs="Times New Roman"/>
                <w:sz w:val="24"/>
                <w:szCs w:val="24"/>
              </w:rPr>
              <w:t>Orbitofrontal Cortexl is located in the prefrontal cortex of the anterior inferior frontal lobe, covering the cerebral cortex above the orbit (the bony structure that forms the eye socket), so it is called the orbitofrontal cortex. It is the main neural mechanism of human emotion. Evidence suggests that it is a physiological function intermediate between automatic emotional responses (both learned and unlearned).</w:t>
            </w:r>
          </w:p>
        </w:tc>
        <w:tc>
          <w:tcPr>
            <w:tcW w:w="1416" w:type="dxa"/>
            <w:tcBorders>
              <w:tl2br w:val="nil"/>
              <w:tr2bl w:val="nil"/>
            </w:tcBorders>
            <w:vAlign w:val="center"/>
          </w:tcPr>
          <w:p w14:paraId="0186458D">
            <w:pPr>
              <w:jc w:val="center"/>
              <w:rPr>
                <w:rFonts w:ascii="Times New Roman" w:hAnsi="Times New Roman" w:cs="Times New Roman"/>
                <w:sz w:val="24"/>
                <w:szCs w:val="24"/>
              </w:rPr>
            </w:pPr>
            <w:r>
              <w:rPr>
                <w:rFonts w:ascii="Times New Roman" w:hAnsi="Times New Roman" w:cs="Times New Roman"/>
                <w:sz w:val="24"/>
                <w:szCs w:val="24"/>
              </w:rPr>
              <w:t>15</w:t>
            </w:r>
          </w:p>
        </w:tc>
      </w:tr>
      <w:tr w14:paraId="51F22D8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5F2D05FD">
            <w:pPr>
              <w:jc w:val="center"/>
              <w:rPr>
                <w:rFonts w:ascii="Times New Roman" w:hAnsi="Times New Roman" w:cs="Times New Roman"/>
                <w:sz w:val="24"/>
                <w:szCs w:val="24"/>
              </w:rPr>
            </w:pPr>
            <w:r>
              <w:rPr>
                <w:rFonts w:ascii="Times New Roman" w:hAnsi="Times New Roman" w:cs="Times New Roman"/>
                <w:sz w:val="24"/>
                <w:szCs w:val="24"/>
              </w:rPr>
              <w:t>Retrosplenial Cortex</w:t>
            </w:r>
          </w:p>
        </w:tc>
        <w:tc>
          <w:tcPr>
            <w:tcW w:w="5447" w:type="dxa"/>
            <w:tcBorders>
              <w:tl2br w:val="nil"/>
              <w:tr2bl w:val="nil"/>
            </w:tcBorders>
          </w:tcPr>
          <w:p w14:paraId="13F91A58">
            <w:pPr>
              <w:rPr>
                <w:rFonts w:ascii="Times New Roman" w:hAnsi="Times New Roman" w:cs="Times New Roman"/>
                <w:sz w:val="24"/>
                <w:szCs w:val="24"/>
              </w:rPr>
            </w:pPr>
            <w:r>
              <w:rPr>
                <w:rFonts w:ascii="Times New Roman" w:hAnsi="Times New Roman" w:cs="Times New Roman"/>
                <w:sz w:val="24"/>
                <w:szCs w:val="24"/>
              </w:rPr>
              <w:t>The retrocompressive cortex is interconnected with multiple structures related to spatial cognition, and damage to this region itself produces many spatial impairments. In a study in rats, it was found that lesions in the anterior thalamus affected the function of the retrosplenial cortex, thereby inducing anterograde amnesia.</w:t>
            </w:r>
          </w:p>
        </w:tc>
        <w:tc>
          <w:tcPr>
            <w:tcW w:w="1416" w:type="dxa"/>
            <w:tcBorders>
              <w:tl2br w:val="nil"/>
              <w:tr2bl w:val="nil"/>
            </w:tcBorders>
            <w:vAlign w:val="center"/>
          </w:tcPr>
          <w:p w14:paraId="4F2E55B8">
            <w:pPr>
              <w:jc w:val="center"/>
              <w:rPr>
                <w:rFonts w:ascii="Times New Roman" w:hAnsi="Times New Roman" w:cs="Times New Roman"/>
                <w:sz w:val="24"/>
                <w:szCs w:val="24"/>
              </w:rPr>
            </w:pPr>
            <w:r>
              <w:rPr>
                <w:rFonts w:ascii="Times New Roman" w:hAnsi="Times New Roman" w:cs="Times New Roman"/>
                <w:sz w:val="24"/>
                <w:szCs w:val="24"/>
              </w:rPr>
              <w:t>16,17</w:t>
            </w:r>
          </w:p>
        </w:tc>
      </w:tr>
      <w:tr w14:paraId="67950AD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7507CF0C">
            <w:pPr>
              <w:jc w:val="center"/>
              <w:rPr>
                <w:rFonts w:ascii="Times New Roman" w:hAnsi="Times New Roman" w:cs="Times New Roman"/>
                <w:sz w:val="24"/>
                <w:szCs w:val="24"/>
              </w:rPr>
            </w:pPr>
            <w:r>
              <w:rPr>
                <w:rFonts w:ascii="Times New Roman" w:hAnsi="Times New Roman" w:cs="Times New Roman"/>
                <w:sz w:val="24"/>
                <w:szCs w:val="24"/>
              </w:rPr>
              <w:t>Somatosensory Cortex</w:t>
            </w:r>
          </w:p>
        </w:tc>
        <w:tc>
          <w:tcPr>
            <w:tcW w:w="5447" w:type="dxa"/>
            <w:tcBorders>
              <w:tl2br w:val="nil"/>
              <w:tr2bl w:val="nil"/>
            </w:tcBorders>
          </w:tcPr>
          <w:p w14:paraId="2144CAAD">
            <w:pPr>
              <w:rPr>
                <w:rFonts w:ascii="Times New Roman" w:hAnsi="Times New Roman" w:cs="Times New Roman"/>
                <w:sz w:val="24"/>
                <w:szCs w:val="24"/>
              </w:rPr>
            </w:pPr>
            <w:r>
              <w:rPr>
                <w:rFonts w:ascii="Times New Roman" w:hAnsi="Times New Roman" w:cs="Times New Roman"/>
                <w:sz w:val="24"/>
                <w:szCs w:val="24"/>
              </w:rPr>
              <w:t>It plays an important role in perceiving and processing body sensory information, regulating movement, attention and consciousness, and influencing mood and memory. It is responsible for receiving and processing information from sensory organs such as skin, muscles, joints and viscera, and then transmitted to the somatosensory cortex through nerves, where it is processed and integrated to form our perception of body sensations. These sensory information can be tactile, temperature, pain, pressure, vibration and other sensory stimuli, so that we can sense the position, posture, shape and texture of the body and other information. There is a close connection and interaction between the somatosensory cortex and the motor cortex. Through feedback of sensory information, the somatosensory cortex can regulate and control the execution of movements.</w:t>
            </w:r>
          </w:p>
        </w:tc>
        <w:tc>
          <w:tcPr>
            <w:tcW w:w="1416" w:type="dxa"/>
            <w:tcBorders>
              <w:tl2br w:val="nil"/>
              <w:tr2bl w:val="nil"/>
            </w:tcBorders>
            <w:vAlign w:val="center"/>
          </w:tcPr>
          <w:p w14:paraId="46294C74">
            <w:pPr>
              <w:jc w:val="center"/>
              <w:rPr>
                <w:rFonts w:ascii="Times New Roman" w:hAnsi="Times New Roman" w:cs="Times New Roman"/>
                <w:sz w:val="24"/>
                <w:szCs w:val="24"/>
              </w:rPr>
            </w:pPr>
            <w:r>
              <w:rPr>
                <w:rFonts w:ascii="Times New Roman" w:hAnsi="Times New Roman" w:cs="Times New Roman"/>
                <w:sz w:val="24"/>
                <w:szCs w:val="24"/>
              </w:rPr>
              <w:t>18,19</w:t>
            </w:r>
          </w:p>
        </w:tc>
      </w:tr>
      <w:tr w14:paraId="738403A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71D45DCC">
            <w:pPr>
              <w:jc w:val="center"/>
              <w:rPr>
                <w:rFonts w:ascii="Times New Roman" w:hAnsi="Times New Roman" w:cs="Times New Roman"/>
                <w:sz w:val="24"/>
                <w:szCs w:val="24"/>
              </w:rPr>
            </w:pPr>
            <w:r>
              <w:rPr>
                <w:rFonts w:ascii="Times New Roman" w:hAnsi="Times New Roman" w:cs="Times New Roman"/>
                <w:sz w:val="24"/>
                <w:szCs w:val="24"/>
              </w:rPr>
              <w:t>Visual Cortex</w:t>
            </w:r>
          </w:p>
        </w:tc>
        <w:tc>
          <w:tcPr>
            <w:tcW w:w="5447" w:type="dxa"/>
            <w:tcBorders>
              <w:tl2br w:val="nil"/>
              <w:tr2bl w:val="nil"/>
            </w:tcBorders>
          </w:tcPr>
          <w:p w14:paraId="23A4FFF9">
            <w:pPr>
              <w:rPr>
                <w:rFonts w:ascii="Times New Roman" w:hAnsi="Times New Roman" w:cs="Times New Roman"/>
                <w:sz w:val="24"/>
                <w:szCs w:val="24"/>
              </w:rPr>
            </w:pPr>
            <w:r>
              <w:rPr>
                <w:rFonts w:ascii="Times New Roman" w:hAnsi="Times New Roman" w:cs="Times New Roman"/>
                <w:sz w:val="24"/>
                <w:szCs w:val="24"/>
              </w:rPr>
              <w:t>It is the cerebral cortex that processes visual information and is located in the occipital lobe. From sensory input the originating eye travels through the lateral geniculate body in the thalamus and then to the visual cortex. Studies have shown that visual hallucinations may originate from reduced signals in the visual cortex and changes in the timing of neuronal firing.</w:t>
            </w:r>
          </w:p>
        </w:tc>
        <w:tc>
          <w:tcPr>
            <w:tcW w:w="1416" w:type="dxa"/>
            <w:tcBorders>
              <w:tl2br w:val="nil"/>
              <w:tr2bl w:val="nil"/>
            </w:tcBorders>
            <w:vAlign w:val="center"/>
          </w:tcPr>
          <w:p w14:paraId="658BC9E8">
            <w:pPr>
              <w:jc w:val="center"/>
              <w:rPr>
                <w:rFonts w:ascii="Times New Roman" w:hAnsi="Times New Roman" w:cs="Times New Roman"/>
                <w:sz w:val="24"/>
                <w:szCs w:val="24"/>
              </w:rPr>
            </w:pPr>
            <w:r>
              <w:rPr>
                <w:rFonts w:ascii="Times New Roman" w:hAnsi="Times New Roman" w:cs="Times New Roman"/>
                <w:sz w:val="24"/>
                <w:szCs w:val="24"/>
              </w:rPr>
              <w:t>20</w:t>
            </w:r>
          </w:p>
        </w:tc>
      </w:tr>
      <w:tr w14:paraId="0378529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353581A6">
            <w:pPr>
              <w:jc w:val="center"/>
              <w:rPr>
                <w:rFonts w:ascii="Times New Roman" w:hAnsi="Times New Roman" w:cs="Times New Roman"/>
                <w:sz w:val="24"/>
                <w:szCs w:val="24"/>
              </w:rPr>
            </w:pPr>
            <w:r>
              <w:rPr>
                <w:rFonts w:ascii="Times New Roman" w:hAnsi="Times New Roman" w:cs="Times New Roman"/>
                <w:sz w:val="24"/>
                <w:szCs w:val="24"/>
              </w:rPr>
              <w:t>Hippocampus Antero Dorsa</w:t>
            </w:r>
          </w:p>
        </w:tc>
        <w:tc>
          <w:tcPr>
            <w:tcW w:w="5447" w:type="dxa"/>
            <w:tcBorders>
              <w:tl2br w:val="nil"/>
              <w:tr2bl w:val="nil"/>
            </w:tcBorders>
          </w:tcPr>
          <w:p w14:paraId="3956EAC6">
            <w:pPr>
              <w:rPr>
                <w:rFonts w:ascii="Times New Roman" w:hAnsi="Times New Roman" w:cs="Times New Roman"/>
                <w:sz w:val="24"/>
                <w:szCs w:val="24"/>
              </w:rPr>
            </w:pPr>
            <w:r>
              <w:rPr>
                <w:rFonts w:ascii="Times New Roman" w:hAnsi="Times New Roman" w:cs="Times New Roman"/>
                <w:sz w:val="24"/>
                <w:szCs w:val="24"/>
              </w:rPr>
              <w:t>Current researches on hippocampal structure, especially epilepsy, have focused on the dorsal hippocampus. A large number of studies have shown that the dorsal hippocampus plays an important role in the acute onset of epilepsy.</w:t>
            </w:r>
          </w:p>
        </w:tc>
        <w:tc>
          <w:tcPr>
            <w:tcW w:w="1416" w:type="dxa"/>
            <w:tcBorders>
              <w:tl2br w:val="nil"/>
              <w:tr2bl w:val="nil"/>
            </w:tcBorders>
            <w:vAlign w:val="center"/>
          </w:tcPr>
          <w:p w14:paraId="15ABCFD2">
            <w:pPr>
              <w:jc w:val="center"/>
              <w:rPr>
                <w:rFonts w:ascii="Times New Roman" w:hAnsi="Times New Roman" w:cs="Times New Roman"/>
                <w:sz w:val="24"/>
                <w:szCs w:val="24"/>
              </w:rPr>
            </w:pPr>
            <w:r>
              <w:rPr>
                <w:rFonts w:ascii="Times New Roman" w:hAnsi="Times New Roman" w:cs="Times New Roman"/>
                <w:sz w:val="24"/>
                <w:szCs w:val="24"/>
              </w:rPr>
              <w:t>21,22</w:t>
            </w:r>
          </w:p>
        </w:tc>
      </w:tr>
      <w:tr w14:paraId="54ACED0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66686843">
            <w:pPr>
              <w:jc w:val="center"/>
              <w:rPr>
                <w:rFonts w:ascii="Times New Roman" w:hAnsi="Times New Roman" w:cs="Times New Roman"/>
                <w:sz w:val="24"/>
                <w:szCs w:val="24"/>
              </w:rPr>
            </w:pPr>
            <w:r>
              <w:rPr>
                <w:rFonts w:ascii="Times New Roman" w:hAnsi="Times New Roman" w:cs="Times New Roman"/>
                <w:sz w:val="24"/>
                <w:szCs w:val="24"/>
              </w:rPr>
              <w:t>Hippocampus Posterior</w:t>
            </w:r>
          </w:p>
        </w:tc>
        <w:tc>
          <w:tcPr>
            <w:tcW w:w="5447" w:type="dxa"/>
            <w:tcBorders>
              <w:tl2br w:val="nil"/>
              <w:tr2bl w:val="nil"/>
            </w:tcBorders>
          </w:tcPr>
          <w:p w14:paraId="30BEDF94">
            <w:pPr>
              <w:rPr>
                <w:rFonts w:ascii="Times New Roman" w:hAnsi="Times New Roman" w:cs="Times New Roman"/>
                <w:sz w:val="24"/>
                <w:szCs w:val="24"/>
              </w:rPr>
            </w:pPr>
            <w:r>
              <w:rPr>
                <w:rFonts w:ascii="Times New Roman" w:hAnsi="Times New Roman" w:cs="Times New Roman"/>
                <w:sz w:val="24"/>
                <w:szCs w:val="24"/>
              </w:rPr>
              <w:t>Researchers have shown a correlation between the posterior hippocampus and recall, which relies on establishing the interaction between the posterior hippocampus and other brain regions, especially with sensory related regions.</w:t>
            </w:r>
          </w:p>
        </w:tc>
        <w:tc>
          <w:tcPr>
            <w:tcW w:w="1416" w:type="dxa"/>
            <w:tcBorders>
              <w:tl2br w:val="nil"/>
              <w:tr2bl w:val="nil"/>
            </w:tcBorders>
            <w:vAlign w:val="center"/>
          </w:tcPr>
          <w:p w14:paraId="66BF3C5A">
            <w:pPr>
              <w:jc w:val="center"/>
              <w:rPr>
                <w:rFonts w:ascii="Times New Roman" w:hAnsi="Times New Roman" w:cs="Times New Roman"/>
                <w:sz w:val="24"/>
                <w:szCs w:val="24"/>
              </w:rPr>
            </w:pPr>
            <w:r>
              <w:rPr>
                <w:rFonts w:ascii="Times New Roman" w:hAnsi="Times New Roman" w:cs="Times New Roman"/>
                <w:sz w:val="24"/>
                <w:szCs w:val="24"/>
              </w:rPr>
              <w:t>23,24</w:t>
            </w:r>
          </w:p>
        </w:tc>
      </w:tr>
      <w:tr w14:paraId="65E363D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42EBF162">
            <w:pPr>
              <w:jc w:val="center"/>
              <w:rPr>
                <w:rFonts w:ascii="Times New Roman" w:hAnsi="Times New Roman" w:cs="Times New Roman"/>
                <w:sz w:val="24"/>
                <w:szCs w:val="24"/>
              </w:rPr>
            </w:pPr>
            <w:r>
              <w:rPr>
                <w:rFonts w:ascii="Times New Roman" w:hAnsi="Times New Roman" w:cs="Times New Roman"/>
                <w:sz w:val="24"/>
                <w:szCs w:val="24"/>
              </w:rPr>
              <w:t>Olfactory</w:t>
            </w:r>
          </w:p>
        </w:tc>
        <w:tc>
          <w:tcPr>
            <w:tcW w:w="5447" w:type="dxa"/>
            <w:tcBorders>
              <w:tl2br w:val="nil"/>
              <w:tr2bl w:val="nil"/>
            </w:tcBorders>
          </w:tcPr>
          <w:p w14:paraId="317603F7">
            <w:pPr>
              <w:rPr>
                <w:rFonts w:ascii="Times New Roman" w:hAnsi="Times New Roman" w:cs="Times New Roman"/>
                <w:sz w:val="24"/>
                <w:szCs w:val="24"/>
              </w:rPr>
            </w:pPr>
            <w:r>
              <w:rPr>
                <w:rFonts w:ascii="Times New Roman" w:hAnsi="Times New Roman" w:cs="Times New Roman"/>
                <w:sz w:val="24"/>
                <w:szCs w:val="24"/>
              </w:rPr>
              <w:t>The first pair of cranial nerves is the sensory nerve. The primary function of the olfactory nerve is to transmit the sensation of odors to the olfactory bulb in the cerebral hemisphere. So far, there is no report of primary olfactory neuropathy, which often exists in combination with or secondary to other cranial nerve diseases. Olfactory dysfunction is a prodromal symptom of Parkinson's disease and AD.</w:t>
            </w:r>
          </w:p>
        </w:tc>
        <w:tc>
          <w:tcPr>
            <w:tcW w:w="1416" w:type="dxa"/>
            <w:tcBorders>
              <w:tl2br w:val="nil"/>
              <w:tr2bl w:val="nil"/>
            </w:tcBorders>
            <w:vAlign w:val="center"/>
          </w:tcPr>
          <w:p w14:paraId="004830C7">
            <w:pPr>
              <w:jc w:val="center"/>
              <w:rPr>
                <w:rFonts w:ascii="Times New Roman" w:hAnsi="Times New Roman" w:cs="Times New Roman"/>
                <w:sz w:val="24"/>
                <w:szCs w:val="24"/>
              </w:rPr>
            </w:pPr>
            <w:r>
              <w:rPr>
                <w:rFonts w:ascii="Times New Roman" w:hAnsi="Times New Roman" w:cs="Times New Roman"/>
                <w:sz w:val="24"/>
                <w:szCs w:val="24"/>
              </w:rPr>
              <w:t>25,26</w:t>
            </w:r>
          </w:p>
        </w:tc>
      </w:tr>
      <w:tr w14:paraId="70D1C1F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02C5D7BA">
            <w:pPr>
              <w:jc w:val="center"/>
              <w:rPr>
                <w:rFonts w:ascii="Times New Roman" w:hAnsi="Times New Roman" w:cs="Times New Roman"/>
                <w:sz w:val="24"/>
                <w:szCs w:val="24"/>
              </w:rPr>
            </w:pPr>
            <w:r>
              <w:rPr>
                <w:rFonts w:ascii="Times New Roman" w:hAnsi="Times New Roman" w:cs="Times New Roman"/>
                <w:sz w:val="24"/>
                <w:szCs w:val="24"/>
              </w:rPr>
              <w:t>Colliculus Superior</w:t>
            </w:r>
          </w:p>
        </w:tc>
        <w:tc>
          <w:tcPr>
            <w:tcW w:w="5447" w:type="dxa"/>
            <w:tcBorders>
              <w:tl2br w:val="nil"/>
              <w:tr2bl w:val="nil"/>
            </w:tcBorders>
          </w:tcPr>
          <w:p w14:paraId="0CE1072E">
            <w:pPr>
              <w:rPr>
                <w:rFonts w:ascii="Times New Roman" w:hAnsi="Times New Roman" w:cs="Times New Roman"/>
                <w:sz w:val="24"/>
                <w:szCs w:val="24"/>
              </w:rPr>
            </w:pPr>
            <w:r>
              <w:rPr>
                <w:rFonts w:ascii="Times New Roman" w:hAnsi="Times New Roman" w:cs="Times New Roman"/>
                <w:sz w:val="24"/>
                <w:szCs w:val="24"/>
              </w:rPr>
              <w:t>It is the advanced center of vision. With the evolution of animals, especially mammals, especially humans, the cerebral cortex is highly differentiated, and a large number of visual fibers are connected with the cerebral cortex through the diencephalon. At this time, the superior colliculus is recused as the reflex center, participating in the adjustment of the position of the head and eyes to respond to visual, auditory and somatosensory stimuli.</w:t>
            </w:r>
          </w:p>
        </w:tc>
        <w:tc>
          <w:tcPr>
            <w:tcW w:w="1416" w:type="dxa"/>
            <w:tcBorders>
              <w:tl2br w:val="nil"/>
              <w:tr2bl w:val="nil"/>
            </w:tcBorders>
            <w:vAlign w:val="center"/>
          </w:tcPr>
          <w:p w14:paraId="552DDB03">
            <w:pPr>
              <w:jc w:val="center"/>
              <w:rPr>
                <w:rFonts w:ascii="Times New Roman" w:hAnsi="Times New Roman" w:cs="Times New Roman"/>
                <w:sz w:val="24"/>
                <w:szCs w:val="24"/>
              </w:rPr>
            </w:pPr>
            <w:r>
              <w:rPr>
                <w:rFonts w:ascii="Times New Roman" w:hAnsi="Times New Roman" w:cs="Times New Roman"/>
                <w:sz w:val="24"/>
                <w:szCs w:val="24"/>
              </w:rPr>
              <w:t>27,28</w:t>
            </w:r>
          </w:p>
        </w:tc>
      </w:tr>
      <w:tr w14:paraId="6DBA84C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51AAFC13">
            <w:pPr>
              <w:jc w:val="center"/>
              <w:rPr>
                <w:rFonts w:ascii="Times New Roman" w:hAnsi="Times New Roman" w:cs="Times New Roman"/>
                <w:sz w:val="24"/>
                <w:szCs w:val="24"/>
              </w:rPr>
            </w:pPr>
            <w:r>
              <w:rPr>
                <w:rFonts w:ascii="Times New Roman" w:hAnsi="Times New Roman" w:cs="Times New Roman"/>
                <w:sz w:val="24"/>
                <w:szCs w:val="24"/>
              </w:rPr>
              <w:t>Cerebellum</w:t>
            </w:r>
          </w:p>
        </w:tc>
        <w:tc>
          <w:tcPr>
            <w:tcW w:w="5447" w:type="dxa"/>
            <w:tcBorders>
              <w:tl2br w:val="nil"/>
              <w:tr2bl w:val="nil"/>
            </w:tcBorders>
          </w:tcPr>
          <w:p w14:paraId="0FB09D7B">
            <w:pPr>
              <w:rPr>
                <w:rFonts w:ascii="Times New Roman" w:hAnsi="Times New Roman" w:cs="Times New Roman"/>
                <w:sz w:val="24"/>
                <w:szCs w:val="24"/>
              </w:rPr>
            </w:pPr>
            <w:r>
              <w:rPr>
                <w:rFonts w:ascii="Times New Roman" w:hAnsi="Times New Roman" w:cs="Times New Roman"/>
                <w:sz w:val="24"/>
                <w:szCs w:val="24"/>
              </w:rPr>
              <w:t>The cerebellum was originally thought to perform simple motor control, such as being involved in regulating muscle tone and maintaining body balance. It is now thought to play a role in complex cognitive tasks, such as influencing movement initiation, planning, and coordination.</w:t>
            </w:r>
          </w:p>
        </w:tc>
        <w:tc>
          <w:tcPr>
            <w:tcW w:w="1416" w:type="dxa"/>
            <w:tcBorders>
              <w:tl2br w:val="nil"/>
              <w:tr2bl w:val="nil"/>
            </w:tcBorders>
            <w:vAlign w:val="center"/>
          </w:tcPr>
          <w:p w14:paraId="3CE4ED49">
            <w:pPr>
              <w:jc w:val="center"/>
              <w:rPr>
                <w:rFonts w:ascii="Times New Roman" w:hAnsi="Times New Roman" w:cs="Times New Roman"/>
                <w:sz w:val="24"/>
                <w:szCs w:val="24"/>
              </w:rPr>
            </w:pPr>
            <w:r>
              <w:rPr>
                <w:rFonts w:ascii="Times New Roman" w:hAnsi="Times New Roman" w:cs="Times New Roman"/>
                <w:sz w:val="24"/>
                <w:szCs w:val="24"/>
              </w:rPr>
              <w:t>29,30</w:t>
            </w:r>
          </w:p>
        </w:tc>
      </w:tr>
      <w:tr w14:paraId="36821F7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3EAF5AE3">
            <w:pPr>
              <w:jc w:val="center"/>
              <w:rPr>
                <w:rFonts w:ascii="Times New Roman" w:hAnsi="Times New Roman" w:cs="Times New Roman"/>
                <w:sz w:val="24"/>
                <w:szCs w:val="24"/>
              </w:rPr>
            </w:pPr>
            <w:r>
              <w:rPr>
                <w:rFonts w:ascii="Times New Roman" w:hAnsi="Times New Roman" w:cs="Times New Roman"/>
                <w:sz w:val="24"/>
                <w:szCs w:val="24"/>
              </w:rPr>
              <w:t>Colliculus Inferior</w:t>
            </w:r>
          </w:p>
        </w:tc>
        <w:tc>
          <w:tcPr>
            <w:tcW w:w="5447" w:type="dxa"/>
            <w:tcBorders>
              <w:tl2br w:val="nil"/>
              <w:tr2bl w:val="nil"/>
            </w:tcBorders>
          </w:tcPr>
          <w:p w14:paraId="3EF3F4F7">
            <w:pPr>
              <w:rPr>
                <w:rFonts w:ascii="Times New Roman" w:hAnsi="Times New Roman" w:cs="Times New Roman"/>
                <w:sz w:val="24"/>
                <w:szCs w:val="24"/>
              </w:rPr>
            </w:pPr>
            <w:r>
              <w:rPr>
                <w:rFonts w:ascii="Times New Roman" w:hAnsi="Times New Roman" w:cs="Times New Roman"/>
                <w:sz w:val="24"/>
                <w:szCs w:val="24"/>
              </w:rPr>
              <w:t>The colliculus inferior is the dorsal part of the midbrain, and its deep surface has a pair of inferior colliculus nuclei, which receive the lateral lemulus fibers transmitted to the auditory system and are the reflex center of the auditory system.</w:t>
            </w:r>
          </w:p>
        </w:tc>
        <w:tc>
          <w:tcPr>
            <w:tcW w:w="1416" w:type="dxa"/>
            <w:tcBorders>
              <w:tl2br w:val="nil"/>
              <w:tr2bl w:val="nil"/>
            </w:tcBorders>
            <w:vAlign w:val="center"/>
          </w:tcPr>
          <w:p w14:paraId="7BC036AE">
            <w:pPr>
              <w:jc w:val="center"/>
              <w:rPr>
                <w:rFonts w:ascii="Times New Roman" w:hAnsi="Times New Roman" w:cs="Times New Roman"/>
                <w:sz w:val="24"/>
                <w:szCs w:val="24"/>
              </w:rPr>
            </w:pPr>
            <w:r>
              <w:rPr>
                <w:rFonts w:ascii="Times New Roman" w:hAnsi="Times New Roman" w:cs="Times New Roman"/>
                <w:sz w:val="24"/>
                <w:szCs w:val="24"/>
              </w:rPr>
              <w:t>31</w:t>
            </w:r>
          </w:p>
        </w:tc>
      </w:tr>
      <w:tr w14:paraId="661BF68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6" w:type="dxa"/>
            <w:tcBorders>
              <w:tl2br w:val="nil"/>
              <w:tr2bl w:val="nil"/>
            </w:tcBorders>
          </w:tcPr>
          <w:p w14:paraId="63D1408E">
            <w:pPr>
              <w:jc w:val="center"/>
              <w:rPr>
                <w:rFonts w:ascii="Times New Roman" w:hAnsi="Times New Roman" w:cs="Times New Roman"/>
                <w:sz w:val="24"/>
                <w:szCs w:val="24"/>
              </w:rPr>
            </w:pPr>
            <w:r>
              <w:rPr>
                <w:rFonts w:ascii="Times New Roman" w:hAnsi="Times New Roman" w:cs="Times New Roman"/>
                <w:sz w:val="24"/>
                <w:szCs w:val="24"/>
              </w:rPr>
              <w:t>Thalamus</w:t>
            </w:r>
          </w:p>
        </w:tc>
        <w:tc>
          <w:tcPr>
            <w:tcW w:w="5447" w:type="dxa"/>
            <w:tcBorders>
              <w:tl2br w:val="nil"/>
              <w:tr2bl w:val="nil"/>
            </w:tcBorders>
          </w:tcPr>
          <w:p w14:paraId="4A38C3BD">
            <w:pPr>
              <w:rPr>
                <w:rFonts w:ascii="Times New Roman" w:hAnsi="Times New Roman" w:cs="Times New Roman"/>
                <w:sz w:val="24"/>
                <w:szCs w:val="24"/>
              </w:rPr>
            </w:pPr>
            <w:r>
              <w:rPr>
                <w:rFonts w:ascii="Times New Roman" w:hAnsi="Times New Roman" w:cs="Times New Roman"/>
                <w:sz w:val="24"/>
                <w:szCs w:val="24"/>
              </w:rPr>
              <w:t>The thalamus, also known as the dorsal thalamus, is the higher sensory center and the most important sensory conduction relay station. It receives information from the basal nucleus, limbic system, cerebellum and sensory system.</w:t>
            </w:r>
          </w:p>
        </w:tc>
        <w:tc>
          <w:tcPr>
            <w:tcW w:w="1416" w:type="dxa"/>
            <w:tcBorders>
              <w:tl2br w:val="nil"/>
              <w:tr2bl w:val="nil"/>
            </w:tcBorders>
            <w:vAlign w:val="center"/>
          </w:tcPr>
          <w:p w14:paraId="4E054675">
            <w:pPr>
              <w:jc w:val="center"/>
              <w:rPr>
                <w:rFonts w:ascii="Times New Roman" w:hAnsi="Times New Roman" w:cs="Times New Roman"/>
                <w:sz w:val="24"/>
                <w:szCs w:val="24"/>
              </w:rPr>
            </w:pPr>
            <w:r>
              <w:rPr>
                <w:rFonts w:ascii="Times New Roman" w:hAnsi="Times New Roman" w:cs="Times New Roman"/>
                <w:sz w:val="24"/>
                <w:szCs w:val="24"/>
              </w:rPr>
              <w:t>32,33</w:t>
            </w:r>
          </w:p>
        </w:tc>
      </w:tr>
    </w:tbl>
    <w:p w14:paraId="62E7D000">
      <w:pPr>
        <w:spacing w:line="360" w:lineRule="auto"/>
        <w:jc w:val="both"/>
        <w:rPr>
          <w:rFonts w:ascii="Times New Roman" w:hAnsi="Times New Roman" w:cs="Times New Roman"/>
          <w:sz w:val="20"/>
          <w:szCs w:val="20"/>
        </w:rPr>
      </w:pPr>
      <w:bookmarkStart w:id="1" w:name="_GoBack"/>
      <w:r>
        <w:rPr>
          <w:rFonts w:hint="eastAsia" w:ascii="Times New Roman" w:hAnsi="Times New Roman" w:cs="Times New Roman"/>
          <w:b/>
          <w:bCs/>
          <w:sz w:val="24"/>
          <w:szCs w:val="24"/>
        </w:rPr>
        <w:t>Supplementary Table S1</w:t>
      </w:r>
      <w:r>
        <w:rPr>
          <w:rFonts w:ascii="Times New Roman" w:hAnsi="Times New Roman" w:cs="Times New Roman"/>
          <w:b/>
          <w:bCs/>
          <w:sz w:val="24"/>
          <w:szCs w:val="24"/>
        </w:rPr>
        <w:t>.</w:t>
      </w:r>
      <w:bookmarkEnd w:id="1"/>
      <w:r>
        <w:rPr>
          <w:rFonts w:ascii="Times New Roman" w:hAnsi="Times New Roman" w:cs="Times New Roman"/>
          <w:sz w:val="24"/>
          <w:szCs w:val="24"/>
        </w:rPr>
        <w:t xml:space="preserve"> Functional descriptions of the regions with differences</w:t>
      </w:r>
    </w:p>
    <w:p w14:paraId="2E3A4917"/>
    <w:p w14:paraId="2109697F"/>
    <w:p w14:paraId="0A62FA77"/>
    <w:p w14:paraId="7D9EC7B4">
      <w:pPr>
        <w:rPr>
          <w:rFonts w:ascii="Times New Roman" w:hAnsi="Times New Roman" w:cs="Times New Roman"/>
          <w:sz w:val="24"/>
          <w:szCs w:val="24"/>
        </w:rPr>
      </w:pPr>
      <w:r>
        <w:rPr>
          <w:rFonts w:ascii="Times New Roman" w:hAnsi="Times New Roman" w:cs="Times New Roman"/>
          <w:sz w:val="24"/>
          <w:szCs w:val="24"/>
        </w:rPr>
        <w:t>References：</w:t>
      </w:r>
    </w:p>
    <w:p w14:paraId="2F99AA44">
      <w:pPr>
        <w:pStyle w:val="9"/>
        <w:numPr>
          <w:ilvl w:val="0"/>
          <w:numId w:val="1"/>
        </w:numPr>
        <w:ind w:firstLineChars="0"/>
      </w:pPr>
      <w:bookmarkStart w:id="0" w:name="OLE_LINK1"/>
      <w:r>
        <w:t>Cheng</w:t>
      </w:r>
      <w:r>
        <w:rPr>
          <w:rFonts w:hint="eastAsia"/>
        </w:rPr>
        <w:t>,</w:t>
      </w:r>
      <w:r>
        <w:t xml:space="preserve"> J., Umschweif</w:t>
      </w:r>
      <w:r>
        <w:rPr>
          <w:rFonts w:hint="eastAsia"/>
        </w:rPr>
        <w:t>,</w:t>
      </w:r>
      <w:r>
        <w:t xml:space="preserve"> G., Leung</w:t>
      </w:r>
      <w:r>
        <w:rPr>
          <w:rFonts w:hint="eastAsia"/>
        </w:rPr>
        <w:t>,</w:t>
      </w:r>
      <w:r>
        <w:t xml:space="preserve"> J., Sagi</w:t>
      </w:r>
      <w:r>
        <w:rPr>
          <w:rFonts w:hint="eastAsia"/>
        </w:rPr>
        <w:t>,</w:t>
      </w:r>
      <w:r>
        <w:t xml:space="preserve"> Y. &amp; Greengard</w:t>
      </w:r>
      <w:r>
        <w:rPr>
          <w:rFonts w:hint="eastAsia"/>
        </w:rPr>
        <w:t>,</w:t>
      </w:r>
      <w:r>
        <w:t xml:space="preserve"> P. HCN2 Channels in Cholinergic Interneurons of Nucleus Accumbens Shell Regulate Depressive Behaviors. </w:t>
      </w:r>
      <w:r>
        <w:rPr>
          <w:i/>
        </w:rPr>
        <w:t>Neuron</w:t>
      </w:r>
      <w:r>
        <w:t xml:space="preserve"> </w:t>
      </w:r>
      <w:r>
        <w:rPr>
          <w:b/>
        </w:rPr>
        <w:t>101</w:t>
      </w:r>
      <w:r>
        <w:t>(4)</w:t>
      </w:r>
      <w:r>
        <w:rPr>
          <w:rFonts w:hint="eastAsia"/>
        </w:rPr>
        <w:t xml:space="preserve">, </w:t>
      </w:r>
      <w:r>
        <w:t>662-672.e5(2019).</w:t>
      </w:r>
    </w:p>
    <w:p w14:paraId="33FF9A2F">
      <w:pPr>
        <w:pStyle w:val="9"/>
        <w:numPr>
          <w:ilvl w:val="0"/>
          <w:numId w:val="1"/>
        </w:numPr>
        <w:ind w:firstLineChars="0"/>
      </w:pPr>
      <w:r>
        <w:t>Castro</w:t>
      </w:r>
      <w:r>
        <w:rPr>
          <w:rFonts w:hint="eastAsia"/>
        </w:rPr>
        <w:t>,</w:t>
      </w:r>
      <w:r>
        <w:t xml:space="preserve"> D. C.</w:t>
      </w:r>
      <w:r>
        <w:rPr>
          <w:rFonts w:hint="eastAsia"/>
        </w:rPr>
        <w:t xml:space="preserve"> &amp;</w:t>
      </w:r>
      <w:r>
        <w:t xml:space="preserve"> Bruchas</w:t>
      </w:r>
      <w:r>
        <w:rPr>
          <w:rFonts w:hint="eastAsia"/>
        </w:rPr>
        <w:t>,</w:t>
      </w:r>
      <w:r>
        <w:t xml:space="preserve"> M. R. A</w:t>
      </w:r>
      <w:r>
        <w:rPr>
          <w:rFonts w:hint="eastAsia"/>
        </w:rPr>
        <w:t>.</w:t>
      </w:r>
      <w:r>
        <w:t xml:space="preserve"> Motivational and Neuropeptidergic Hub: Anatomical and Functional Diversity within the Nucleus Accumbens Shell. </w:t>
      </w:r>
      <w:r>
        <w:rPr>
          <w:i/>
        </w:rPr>
        <w:t>Neuron</w:t>
      </w:r>
      <w:r>
        <w:t xml:space="preserve"> </w:t>
      </w:r>
      <w:r>
        <w:rPr>
          <w:b/>
        </w:rPr>
        <w:t>102</w:t>
      </w:r>
      <w:r>
        <w:t>(3)</w:t>
      </w:r>
      <w:r>
        <w:rPr>
          <w:rFonts w:hint="eastAsia"/>
        </w:rPr>
        <w:t xml:space="preserve">, </w:t>
      </w:r>
      <w:r>
        <w:t>529-552(2019).</w:t>
      </w:r>
    </w:p>
    <w:p w14:paraId="44159693">
      <w:pPr>
        <w:pStyle w:val="9"/>
        <w:numPr>
          <w:ilvl w:val="0"/>
          <w:numId w:val="1"/>
        </w:numPr>
        <w:ind w:firstLineChars="0"/>
      </w:pPr>
      <w:r>
        <w:t>Kayser</w:t>
      </w:r>
      <w:r>
        <w:rPr>
          <w:rFonts w:hint="eastAsia"/>
        </w:rPr>
        <w:t>,</w:t>
      </w:r>
      <w:r>
        <w:t xml:space="preserve"> C., Petkov</w:t>
      </w:r>
      <w:r>
        <w:rPr>
          <w:rFonts w:hint="eastAsia"/>
        </w:rPr>
        <w:t>,</w:t>
      </w:r>
      <w:r>
        <w:t xml:space="preserve"> C. I., Augath</w:t>
      </w:r>
      <w:r>
        <w:rPr>
          <w:rFonts w:hint="eastAsia"/>
        </w:rPr>
        <w:t>,</w:t>
      </w:r>
      <w:r>
        <w:t xml:space="preserve"> M. &amp; Logothetis</w:t>
      </w:r>
      <w:r>
        <w:rPr>
          <w:rFonts w:hint="eastAsia"/>
        </w:rPr>
        <w:t>,</w:t>
      </w:r>
      <w:r>
        <w:t xml:space="preserve"> N. K. Integration of touch and sound in auditory cortex. </w:t>
      </w:r>
      <w:r>
        <w:rPr>
          <w:i/>
        </w:rPr>
        <w:t>Neuron</w:t>
      </w:r>
      <w:r>
        <w:t xml:space="preserve"> </w:t>
      </w:r>
      <w:r>
        <w:rPr>
          <w:b/>
        </w:rPr>
        <w:t>48</w:t>
      </w:r>
      <w:r>
        <w:t>(2)</w:t>
      </w:r>
      <w:r>
        <w:rPr>
          <w:rFonts w:hint="eastAsia"/>
        </w:rPr>
        <w:t xml:space="preserve">, </w:t>
      </w:r>
      <w:r>
        <w:t>373-84(2005).</w:t>
      </w:r>
    </w:p>
    <w:p w14:paraId="18A43DA5">
      <w:pPr>
        <w:pStyle w:val="9"/>
        <w:numPr>
          <w:ilvl w:val="0"/>
          <w:numId w:val="1"/>
        </w:numPr>
        <w:ind w:firstLineChars="0"/>
      </w:pPr>
      <w:r>
        <w:t>DeWeese</w:t>
      </w:r>
      <w:r>
        <w:rPr>
          <w:rFonts w:hint="eastAsia"/>
        </w:rPr>
        <w:t>,</w:t>
      </w:r>
      <w:r>
        <w:t xml:space="preserve"> M. R., Hromádka</w:t>
      </w:r>
      <w:r>
        <w:rPr>
          <w:rFonts w:hint="eastAsia"/>
        </w:rPr>
        <w:t>,</w:t>
      </w:r>
      <w:r>
        <w:t xml:space="preserve"> T. &amp; Zador</w:t>
      </w:r>
      <w:r>
        <w:rPr>
          <w:rFonts w:hint="eastAsia"/>
        </w:rPr>
        <w:t>,</w:t>
      </w:r>
      <w:r>
        <w:t xml:space="preserve"> A. M. Reliability and representational bandwidth in the auditory cortex. </w:t>
      </w:r>
      <w:r>
        <w:rPr>
          <w:i/>
        </w:rPr>
        <w:t>Neuron</w:t>
      </w:r>
      <w:r>
        <w:t xml:space="preserve"> </w:t>
      </w:r>
      <w:r>
        <w:rPr>
          <w:b/>
        </w:rPr>
        <w:t>48</w:t>
      </w:r>
      <w:r>
        <w:t>(3)</w:t>
      </w:r>
      <w:r>
        <w:rPr>
          <w:rFonts w:hint="eastAsia"/>
        </w:rPr>
        <w:t xml:space="preserve">, </w:t>
      </w:r>
      <w:r>
        <w:t xml:space="preserve">479-88(2005). </w:t>
      </w:r>
    </w:p>
    <w:p w14:paraId="53DB5F49">
      <w:pPr>
        <w:pStyle w:val="9"/>
        <w:numPr>
          <w:ilvl w:val="0"/>
          <w:numId w:val="1"/>
        </w:numPr>
        <w:ind w:firstLineChars="0"/>
      </w:pPr>
      <w:r>
        <w:t>MacSweeney</w:t>
      </w:r>
      <w:r>
        <w:rPr>
          <w:rFonts w:hint="eastAsia"/>
        </w:rPr>
        <w:t>,</w:t>
      </w:r>
      <w:r>
        <w:t xml:space="preserve"> M.</w:t>
      </w:r>
      <w:r>
        <w:rPr>
          <w:rFonts w:hint="eastAsia"/>
        </w:rPr>
        <w:t xml:space="preserve"> &amp;</w:t>
      </w:r>
      <w:r>
        <w:t xml:space="preserve"> Cardin</w:t>
      </w:r>
      <w:r>
        <w:rPr>
          <w:rFonts w:hint="eastAsia"/>
        </w:rPr>
        <w:t>,</w:t>
      </w:r>
      <w:r>
        <w:t xml:space="preserve"> V. What is the function of auditory cortex without auditory input? </w:t>
      </w:r>
      <w:r>
        <w:rPr>
          <w:i/>
        </w:rPr>
        <w:t xml:space="preserve">Brain </w:t>
      </w:r>
      <w:r>
        <w:rPr>
          <w:b/>
        </w:rPr>
        <w:t>138</w:t>
      </w:r>
      <w:r>
        <w:t>(Pt 9)</w:t>
      </w:r>
      <w:r>
        <w:rPr>
          <w:rFonts w:hint="eastAsia"/>
        </w:rPr>
        <w:t xml:space="preserve">, </w:t>
      </w:r>
      <w:r>
        <w:t>2468-70(2015).</w:t>
      </w:r>
    </w:p>
    <w:p w14:paraId="65F7B281">
      <w:pPr>
        <w:pStyle w:val="9"/>
        <w:numPr>
          <w:ilvl w:val="0"/>
          <w:numId w:val="1"/>
        </w:numPr>
        <w:ind w:firstLineChars="0"/>
      </w:pPr>
      <w:r>
        <w:t>Yun</w:t>
      </w:r>
      <w:r>
        <w:rPr>
          <w:rFonts w:hint="eastAsia"/>
        </w:rPr>
        <w:t>,</w:t>
      </w:r>
      <w:r>
        <w:t xml:space="preserve"> M. </w:t>
      </w:r>
      <w:r>
        <w:rPr>
          <w:i/>
          <w:iCs/>
        </w:rPr>
        <w:t>et al</w:t>
      </w:r>
      <w:r>
        <w:t xml:space="preserve">. Distinct roles of the orbitofrontal cortex, ventral striatum, and dopamine neurons in counterfactual thinking of decision outcomes. </w:t>
      </w:r>
      <w:r>
        <w:rPr>
          <w:i/>
        </w:rPr>
        <w:t>Sci Adv</w:t>
      </w:r>
      <w:r>
        <w:t xml:space="preserve"> </w:t>
      </w:r>
      <w:r>
        <w:rPr>
          <w:b/>
        </w:rPr>
        <w:t>9</w:t>
      </w:r>
      <w:r>
        <w:t>(32)</w:t>
      </w:r>
      <w:r>
        <w:rPr>
          <w:rFonts w:hint="eastAsia"/>
        </w:rPr>
        <w:t xml:space="preserve">, </w:t>
      </w:r>
      <w:r>
        <w:t>eadh2831(2023).</w:t>
      </w:r>
    </w:p>
    <w:p w14:paraId="3ACF542B">
      <w:pPr>
        <w:pStyle w:val="9"/>
        <w:numPr>
          <w:ilvl w:val="0"/>
          <w:numId w:val="1"/>
        </w:numPr>
        <w:ind w:firstLineChars="0"/>
      </w:pPr>
      <w:r>
        <w:t>Sarafyazd</w:t>
      </w:r>
      <w:r>
        <w:rPr>
          <w:rFonts w:hint="eastAsia"/>
        </w:rPr>
        <w:t>,</w:t>
      </w:r>
      <w:r>
        <w:t xml:space="preserve"> M.</w:t>
      </w:r>
      <w:r>
        <w:rPr>
          <w:rFonts w:hint="eastAsia"/>
        </w:rPr>
        <w:t xml:space="preserve"> &amp;</w:t>
      </w:r>
      <w:r>
        <w:t xml:space="preserve"> Jazayeri</w:t>
      </w:r>
      <w:r>
        <w:rPr>
          <w:rFonts w:hint="eastAsia"/>
        </w:rPr>
        <w:t>,</w:t>
      </w:r>
      <w:r>
        <w:t xml:space="preserve"> M. Hierarchical reasoning by neural circuits in the frontal cortex. </w:t>
      </w:r>
      <w:r>
        <w:rPr>
          <w:i/>
        </w:rPr>
        <w:t>Science</w:t>
      </w:r>
      <w:r>
        <w:t xml:space="preserve"> </w:t>
      </w:r>
      <w:r>
        <w:rPr>
          <w:b/>
        </w:rPr>
        <w:t>364</w:t>
      </w:r>
      <w:r>
        <w:t>(6441)</w:t>
      </w:r>
      <w:r>
        <w:rPr>
          <w:rFonts w:hint="eastAsia"/>
        </w:rPr>
        <w:t xml:space="preserve">, </w:t>
      </w:r>
      <w:r>
        <w:t>eaav8911(2019).</w:t>
      </w:r>
    </w:p>
    <w:p w14:paraId="0ADFB89E">
      <w:pPr>
        <w:pStyle w:val="9"/>
        <w:numPr>
          <w:ilvl w:val="0"/>
          <w:numId w:val="1"/>
        </w:numPr>
        <w:ind w:firstLineChars="0"/>
      </w:pPr>
      <w:r>
        <w:t>Knopman</w:t>
      </w:r>
      <w:r>
        <w:rPr>
          <w:rFonts w:hint="eastAsia"/>
        </w:rPr>
        <w:t>,</w:t>
      </w:r>
      <w:r>
        <w:t xml:space="preserve"> D. S. </w:t>
      </w:r>
      <w:r>
        <w:rPr>
          <w:i/>
          <w:iCs/>
        </w:rPr>
        <w:t>et al</w:t>
      </w:r>
      <w:r>
        <w:t xml:space="preserve">. Entorhinal cortex tau, amyloid-β, cortical thickness and memory performance in non-demented subjects. </w:t>
      </w:r>
      <w:r>
        <w:rPr>
          <w:i/>
        </w:rPr>
        <w:t xml:space="preserve">Brain </w:t>
      </w:r>
      <w:r>
        <w:rPr>
          <w:b/>
        </w:rPr>
        <w:t>142</w:t>
      </w:r>
      <w:r>
        <w:t>(4)</w:t>
      </w:r>
      <w:r>
        <w:rPr>
          <w:rFonts w:hint="eastAsia"/>
        </w:rPr>
        <w:t xml:space="preserve">, </w:t>
      </w:r>
      <w:r>
        <w:t>1148-1160(2019).</w:t>
      </w:r>
    </w:p>
    <w:p w14:paraId="6CA766B9">
      <w:pPr>
        <w:pStyle w:val="9"/>
        <w:numPr>
          <w:ilvl w:val="0"/>
          <w:numId w:val="1"/>
        </w:numPr>
        <w:ind w:firstLineChars="0"/>
      </w:pPr>
      <w:r>
        <w:t>Basu</w:t>
      </w:r>
      <w:r>
        <w:rPr>
          <w:rFonts w:hint="eastAsia"/>
        </w:rPr>
        <w:t>,</w:t>
      </w:r>
      <w:r>
        <w:t xml:space="preserve"> J. </w:t>
      </w:r>
      <w:r>
        <w:rPr>
          <w:i/>
          <w:iCs/>
        </w:rPr>
        <w:t>et al</w:t>
      </w:r>
      <w:r>
        <w:t xml:space="preserve">. Gating of hippocampal activity, plasticity, and memory by entorhinal cortex long-range inhibition. </w:t>
      </w:r>
      <w:r>
        <w:rPr>
          <w:i/>
        </w:rPr>
        <w:t>Science</w:t>
      </w:r>
      <w:r>
        <w:t xml:space="preserve"> </w:t>
      </w:r>
      <w:r>
        <w:rPr>
          <w:b/>
        </w:rPr>
        <w:t>351</w:t>
      </w:r>
      <w:r>
        <w:t>(6269)</w:t>
      </w:r>
      <w:r>
        <w:rPr>
          <w:rFonts w:hint="eastAsia"/>
        </w:rPr>
        <w:t xml:space="preserve">, </w:t>
      </w:r>
      <w:r>
        <w:t>aaa5694(2016).</w:t>
      </w:r>
    </w:p>
    <w:p w14:paraId="2AEB0A44">
      <w:pPr>
        <w:pStyle w:val="9"/>
        <w:numPr>
          <w:ilvl w:val="0"/>
          <w:numId w:val="1"/>
        </w:numPr>
        <w:ind w:firstLineChars="0"/>
      </w:pPr>
      <w:r>
        <w:t>Nakayama</w:t>
      </w:r>
      <w:r>
        <w:rPr>
          <w:rFonts w:hint="eastAsia"/>
        </w:rPr>
        <w:t>,</w:t>
      </w:r>
      <w:r>
        <w:t xml:space="preserve"> D., Baraki</w:t>
      </w:r>
      <w:r>
        <w:rPr>
          <w:rFonts w:hint="eastAsia"/>
        </w:rPr>
        <w:t>,</w:t>
      </w:r>
      <w:r>
        <w:t xml:space="preserve"> Z., Onoue</w:t>
      </w:r>
      <w:r>
        <w:rPr>
          <w:rFonts w:hint="eastAsia"/>
        </w:rPr>
        <w:t>,</w:t>
      </w:r>
      <w:r>
        <w:t xml:space="preserve"> K., Ikegaya</w:t>
      </w:r>
      <w:r>
        <w:rPr>
          <w:rFonts w:hint="eastAsia"/>
        </w:rPr>
        <w:t>,</w:t>
      </w:r>
      <w:r>
        <w:t xml:space="preserve"> Y.</w:t>
      </w:r>
      <w:r>
        <w:rPr>
          <w:rFonts w:hint="eastAsia"/>
        </w:rPr>
        <w:t>,</w:t>
      </w:r>
      <w:r>
        <w:t xml:space="preserve"> Matsuki</w:t>
      </w:r>
      <w:r>
        <w:rPr>
          <w:rFonts w:hint="eastAsia"/>
        </w:rPr>
        <w:t>,</w:t>
      </w:r>
      <w:r>
        <w:t xml:space="preserve"> N.</w:t>
      </w:r>
      <w:r>
        <w:rPr>
          <w:rFonts w:hint="eastAsia"/>
        </w:rPr>
        <w:t xml:space="preserve"> &amp;</w:t>
      </w:r>
      <w:r>
        <w:t xml:space="preserve"> Nomura</w:t>
      </w:r>
      <w:r>
        <w:rPr>
          <w:rFonts w:hint="eastAsia"/>
        </w:rPr>
        <w:t>,</w:t>
      </w:r>
      <w:r>
        <w:t xml:space="preserve"> H. Frontal association cortex is engaged in stimulus integration during associative learning. </w:t>
      </w:r>
      <w:r>
        <w:rPr>
          <w:i/>
        </w:rPr>
        <w:t>Curr Biol</w:t>
      </w:r>
      <w:r>
        <w:t xml:space="preserve"> </w:t>
      </w:r>
      <w:r>
        <w:rPr>
          <w:b/>
        </w:rPr>
        <w:t>25</w:t>
      </w:r>
      <w:r>
        <w:t>(1)</w:t>
      </w:r>
      <w:r>
        <w:rPr>
          <w:rFonts w:hint="eastAsia"/>
        </w:rPr>
        <w:t>,</w:t>
      </w:r>
      <w:r>
        <w:t>117-23(2015).</w:t>
      </w:r>
    </w:p>
    <w:p w14:paraId="61AF88E9">
      <w:pPr>
        <w:pStyle w:val="9"/>
        <w:numPr>
          <w:ilvl w:val="0"/>
          <w:numId w:val="1"/>
        </w:numPr>
        <w:ind w:firstLineChars="0"/>
      </w:pPr>
      <w:r>
        <w:t>Shenton</w:t>
      </w:r>
      <w:r>
        <w:rPr>
          <w:rFonts w:hint="eastAsia"/>
        </w:rPr>
        <w:t>,</w:t>
      </w:r>
      <w:r>
        <w:t xml:space="preserve"> M. E. </w:t>
      </w:r>
      <w:r>
        <w:rPr>
          <w:i/>
          <w:iCs/>
        </w:rPr>
        <w:t>et al</w:t>
      </w:r>
      <w:r>
        <w:t xml:space="preserve">. Differences and similarities in insular and temporal pole MRI gray matter volume abnormalities in first-episode schizophrenia and affective psychosis. </w:t>
      </w:r>
      <w:r>
        <w:rPr>
          <w:i/>
        </w:rPr>
        <w:t>Arch Gen Psychiatry</w:t>
      </w:r>
      <w:r>
        <w:t xml:space="preserve"> </w:t>
      </w:r>
      <w:r>
        <w:rPr>
          <w:b/>
        </w:rPr>
        <w:t>60</w:t>
      </w:r>
      <w:r>
        <w:t>(11)</w:t>
      </w:r>
      <w:r>
        <w:rPr>
          <w:rFonts w:hint="eastAsia"/>
        </w:rPr>
        <w:t xml:space="preserve">, </w:t>
      </w:r>
      <w:r>
        <w:t>1069-77(2003).</w:t>
      </w:r>
    </w:p>
    <w:p w14:paraId="2FF26B96">
      <w:pPr>
        <w:pStyle w:val="9"/>
        <w:numPr>
          <w:ilvl w:val="0"/>
          <w:numId w:val="1"/>
        </w:numPr>
        <w:ind w:firstLineChars="0"/>
      </w:pPr>
      <w:r>
        <w:t>Seeley</w:t>
      </w:r>
      <w:r>
        <w:rPr>
          <w:rFonts w:hint="eastAsia"/>
        </w:rPr>
        <w:t>,</w:t>
      </w:r>
      <w:r>
        <w:t xml:space="preserve"> W. W. Anterior insula degeneration in frontotemporal dementia. </w:t>
      </w:r>
      <w:r>
        <w:rPr>
          <w:i/>
        </w:rPr>
        <w:t>Brain Struct Funct</w:t>
      </w:r>
      <w:r>
        <w:t xml:space="preserve"> </w:t>
      </w:r>
      <w:r>
        <w:rPr>
          <w:b/>
        </w:rPr>
        <w:t>214</w:t>
      </w:r>
      <w:r>
        <w:t>(5-6)</w:t>
      </w:r>
      <w:r>
        <w:rPr>
          <w:rFonts w:hint="eastAsia"/>
        </w:rPr>
        <w:t xml:space="preserve">, </w:t>
      </w:r>
      <w:r>
        <w:t>465-75(2010).</w:t>
      </w:r>
    </w:p>
    <w:p w14:paraId="4A05F854">
      <w:pPr>
        <w:pStyle w:val="9"/>
        <w:numPr>
          <w:ilvl w:val="0"/>
          <w:numId w:val="1"/>
        </w:numPr>
        <w:ind w:firstLineChars="0"/>
      </w:pPr>
      <w:r>
        <w:t>Ramnani</w:t>
      </w:r>
      <w:r>
        <w:rPr>
          <w:rFonts w:hint="eastAsia"/>
        </w:rPr>
        <w:t>,</w:t>
      </w:r>
      <w:r>
        <w:t xml:space="preserve"> N.</w:t>
      </w:r>
      <w:r>
        <w:rPr>
          <w:rFonts w:hint="eastAsia"/>
        </w:rPr>
        <w:t xml:space="preserve"> &amp;</w:t>
      </w:r>
      <w:r>
        <w:t xml:space="preserve"> Owen</w:t>
      </w:r>
      <w:r>
        <w:rPr>
          <w:rFonts w:hint="eastAsia"/>
        </w:rPr>
        <w:t>,</w:t>
      </w:r>
      <w:r>
        <w:t xml:space="preserve"> A. M. Anterior prefrontal cortex: insights into function from anatomy and neuroimaging. </w:t>
      </w:r>
      <w:r>
        <w:rPr>
          <w:i/>
        </w:rPr>
        <w:t>Nat Rev Neurosci</w:t>
      </w:r>
      <w:r>
        <w:t xml:space="preserve"> </w:t>
      </w:r>
      <w:r>
        <w:rPr>
          <w:b/>
        </w:rPr>
        <w:t>5</w:t>
      </w:r>
      <w:r>
        <w:t>(3)</w:t>
      </w:r>
      <w:r>
        <w:rPr>
          <w:rFonts w:hint="eastAsia"/>
        </w:rPr>
        <w:t xml:space="preserve">, </w:t>
      </w:r>
      <w:r>
        <w:t>184-94(2004).</w:t>
      </w:r>
    </w:p>
    <w:p w14:paraId="55016BEB">
      <w:pPr>
        <w:pStyle w:val="9"/>
        <w:numPr>
          <w:ilvl w:val="0"/>
          <w:numId w:val="1"/>
        </w:numPr>
        <w:ind w:firstLineChars="0"/>
      </w:pPr>
      <w:r>
        <w:t>Ebbesen</w:t>
      </w:r>
      <w:r>
        <w:rPr>
          <w:rFonts w:hint="eastAsia"/>
        </w:rPr>
        <w:t>,</w:t>
      </w:r>
      <w:r>
        <w:t xml:space="preserve"> C. L.</w:t>
      </w:r>
      <w:r>
        <w:rPr>
          <w:rFonts w:hint="eastAsia"/>
        </w:rPr>
        <w:t xml:space="preserve"> &amp;</w:t>
      </w:r>
      <w:r>
        <w:t xml:space="preserve"> Brecht</w:t>
      </w:r>
      <w:r>
        <w:rPr>
          <w:rFonts w:hint="eastAsia"/>
        </w:rPr>
        <w:t>,</w:t>
      </w:r>
      <w:r>
        <w:t xml:space="preserve"> M. Motor cortex - to act or not to act? </w:t>
      </w:r>
      <w:r>
        <w:rPr>
          <w:i/>
        </w:rPr>
        <w:t>Nat Rev Neurosci</w:t>
      </w:r>
      <w:r>
        <w:t xml:space="preserve"> </w:t>
      </w:r>
      <w:r>
        <w:rPr>
          <w:b/>
        </w:rPr>
        <w:t>18</w:t>
      </w:r>
      <w:r>
        <w:t>(11)</w:t>
      </w:r>
      <w:r>
        <w:rPr>
          <w:rFonts w:hint="eastAsia"/>
        </w:rPr>
        <w:t xml:space="preserve">, </w:t>
      </w:r>
      <w:r>
        <w:t>694-705(2017).</w:t>
      </w:r>
    </w:p>
    <w:p w14:paraId="294216F9">
      <w:pPr>
        <w:pStyle w:val="9"/>
        <w:numPr>
          <w:ilvl w:val="0"/>
          <w:numId w:val="1"/>
        </w:numPr>
        <w:ind w:firstLineChars="0"/>
      </w:pPr>
      <w:r>
        <w:t>Rudebeck</w:t>
      </w:r>
      <w:r>
        <w:rPr>
          <w:rFonts w:hint="eastAsia"/>
        </w:rPr>
        <w:t>,</w:t>
      </w:r>
      <w:r>
        <w:t xml:space="preserve"> P. H.</w:t>
      </w:r>
      <w:r>
        <w:rPr>
          <w:rFonts w:hint="eastAsia"/>
        </w:rPr>
        <w:t xml:space="preserve"> &amp;</w:t>
      </w:r>
      <w:r>
        <w:t xml:space="preserve"> Rich</w:t>
      </w:r>
      <w:r>
        <w:rPr>
          <w:rFonts w:hint="eastAsia"/>
        </w:rPr>
        <w:t>,</w:t>
      </w:r>
      <w:r>
        <w:t xml:space="preserve"> E.</w:t>
      </w:r>
      <w:r>
        <w:rPr>
          <w:rFonts w:hint="eastAsia"/>
        </w:rPr>
        <w:t xml:space="preserve"> </w:t>
      </w:r>
      <w:r>
        <w:t xml:space="preserve">L. Orbitofrontal cortex. </w:t>
      </w:r>
      <w:r>
        <w:rPr>
          <w:i/>
        </w:rPr>
        <w:t>Curr Biol</w:t>
      </w:r>
      <w:r>
        <w:t xml:space="preserve"> </w:t>
      </w:r>
      <w:r>
        <w:rPr>
          <w:b/>
        </w:rPr>
        <w:t>28</w:t>
      </w:r>
      <w:r>
        <w:t>(18)</w:t>
      </w:r>
      <w:r>
        <w:rPr>
          <w:rFonts w:hint="eastAsia"/>
        </w:rPr>
        <w:t xml:space="preserve">, </w:t>
      </w:r>
      <w:r>
        <w:t>R1083-R1088 (2018).</w:t>
      </w:r>
    </w:p>
    <w:p w14:paraId="363D6244">
      <w:pPr>
        <w:pStyle w:val="9"/>
        <w:numPr>
          <w:ilvl w:val="0"/>
          <w:numId w:val="1"/>
        </w:numPr>
        <w:ind w:firstLineChars="0"/>
      </w:pPr>
      <w:r>
        <w:t>Garden</w:t>
      </w:r>
      <w:r>
        <w:rPr>
          <w:rFonts w:hint="eastAsia"/>
        </w:rPr>
        <w:t>,</w:t>
      </w:r>
      <w:r>
        <w:t xml:space="preserve"> D. L. </w:t>
      </w:r>
      <w:r>
        <w:rPr>
          <w:i/>
          <w:iCs/>
        </w:rPr>
        <w:t>et al</w:t>
      </w:r>
      <w:r>
        <w:t>. Anterior thalamic lesions stop synaptic plasticity in retrosplenial cortex slices: expanding the pathology of diencephalic amnesia.</w:t>
      </w:r>
      <w:r>
        <w:rPr>
          <w:i/>
        </w:rPr>
        <w:t xml:space="preserve"> Brain</w:t>
      </w:r>
      <w:r>
        <w:t xml:space="preserve"> </w:t>
      </w:r>
      <w:r>
        <w:rPr>
          <w:b/>
        </w:rPr>
        <w:t>132</w:t>
      </w:r>
      <w:r>
        <w:t>(Pt 7)</w:t>
      </w:r>
      <w:r>
        <w:rPr>
          <w:rFonts w:hint="eastAsia"/>
        </w:rPr>
        <w:t xml:space="preserve">, </w:t>
      </w:r>
      <w:r>
        <w:t>1847-57 (2009).</w:t>
      </w:r>
    </w:p>
    <w:p w14:paraId="541F791A">
      <w:pPr>
        <w:pStyle w:val="9"/>
        <w:numPr>
          <w:ilvl w:val="0"/>
          <w:numId w:val="1"/>
        </w:numPr>
        <w:ind w:firstLineChars="0"/>
      </w:pPr>
      <w:r>
        <w:t>Alexander</w:t>
      </w:r>
      <w:r>
        <w:rPr>
          <w:rFonts w:hint="eastAsia"/>
        </w:rPr>
        <w:t>,</w:t>
      </w:r>
      <w:r>
        <w:t xml:space="preserve"> A. S., Carstensen</w:t>
      </w:r>
      <w:r>
        <w:rPr>
          <w:rFonts w:hint="eastAsia"/>
        </w:rPr>
        <w:t>,</w:t>
      </w:r>
      <w:r>
        <w:t xml:space="preserve"> L. C., Hinman</w:t>
      </w:r>
      <w:r>
        <w:rPr>
          <w:rFonts w:hint="eastAsia"/>
        </w:rPr>
        <w:t>,</w:t>
      </w:r>
      <w:r>
        <w:t xml:space="preserve"> J. R., Raudies</w:t>
      </w:r>
      <w:r>
        <w:rPr>
          <w:rFonts w:hint="eastAsia"/>
        </w:rPr>
        <w:t>,</w:t>
      </w:r>
      <w:r>
        <w:t xml:space="preserve"> F., Chapman</w:t>
      </w:r>
      <w:r>
        <w:rPr>
          <w:rFonts w:hint="eastAsia"/>
        </w:rPr>
        <w:t>,</w:t>
      </w:r>
      <w:r>
        <w:t xml:space="preserve"> G. W. &amp; Hasselmo</w:t>
      </w:r>
      <w:r>
        <w:rPr>
          <w:rFonts w:hint="eastAsia"/>
        </w:rPr>
        <w:t>,</w:t>
      </w:r>
      <w:r>
        <w:t xml:space="preserve"> M. E. Egocentric boundary vector tuning of the retrosplenial cortex. </w:t>
      </w:r>
      <w:r>
        <w:rPr>
          <w:i/>
        </w:rPr>
        <w:t>Sci Adv</w:t>
      </w:r>
      <w:r>
        <w:t xml:space="preserve"> </w:t>
      </w:r>
      <w:r>
        <w:rPr>
          <w:b/>
        </w:rPr>
        <w:t>6</w:t>
      </w:r>
      <w:r>
        <w:t>(8)</w:t>
      </w:r>
      <w:r>
        <w:rPr>
          <w:rFonts w:hint="eastAsia"/>
        </w:rPr>
        <w:t xml:space="preserve">, </w:t>
      </w:r>
      <w:r>
        <w:t>eaaz2322(2020).</w:t>
      </w:r>
    </w:p>
    <w:p w14:paraId="70EA9C99">
      <w:pPr>
        <w:pStyle w:val="9"/>
        <w:numPr>
          <w:ilvl w:val="0"/>
          <w:numId w:val="1"/>
        </w:numPr>
        <w:ind w:firstLineChars="0"/>
      </w:pPr>
      <w:r>
        <w:t>Herbert</w:t>
      </w:r>
      <w:r>
        <w:rPr>
          <w:rFonts w:hint="eastAsia"/>
        </w:rPr>
        <w:t>,</w:t>
      </w:r>
      <w:r>
        <w:t xml:space="preserve"> P. K. The somatosensory cortex of the rodent. </w:t>
      </w:r>
      <w:r>
        <w:rPr>
          <w:i/>
        </w:rPr>
        <w:t>Trends in Neurosciences</w:t>
      </w:r>
      <w:r>
        <w:t xml:space="preserve"> </w:t>
      </w:r>
      <w:r>
        <w:rPr>
          <w:b/>
        </w:rPr>
        <w:t>6</w:t>
      </w:r>
      <w:r>
        <w:rPr>
          <w:rFonts w:hint="eastAsia"/>
        </w:rPr>
        <w:t>,</w:t>
      </w:r>
      <w:r>
        <w:rPr>
          <w:rFonts w:hint="eastAsia"/>
          <w:b/>
        </w:rPr>
        <w:t xml:space="preserve"> </w:t>
      </w:r>
      <w:r>
        <w:t xml:space="preserve">425–429(1983). </w:t>
      </w:r>
    </w:p>
    <w:p w14:paraId="1FE20072">
      <w:pPr>
        <w:pStyle w:val="9"/>
        <w:numPr>
          <w:ilvl w:val="0"/>
          <w:numId w:val="1"/>
        </w:numPr>
        <w:ind w:firstLineChars="0"/>
      </w:pPr>
      <w:r>
        <w:t>Dijkerman</w:t>
      </w:r>
      <w:r>
        <w:rPr>
          <w:rFonts w:hint="eastAsia"/>
        </w:rPr>
        <w:t>,</w:t>
      </w:r>
      <w:r>
        <w:t xml:space="preserve"> H. C.</w:t>
      </w:r>
      <w:r>
        <w:rPr>
          <w:rFonts w:hint="eastAsia"/>
        </w:rPr>
        <w:t xml:space="preserve"> &amp;</w:t>
      </w:r>
      <w:r>
        <w:t xml:space="preserve"> de</w:t>
      </w:r>
      <w:r>
        <w:rPr>
          <w:rFonts w:hint="eastAsia"/>
        </w:rPr>
        <w:t>-</w:t>
      </w:r>
      <w:r>
        <w:t>Haan</w:t>
      </w:r>
      <w:r>
        <w:rPr>
          <w:rFonts w:hint="eastAsia"/>
        </w:rPr>
        <w:t>,</w:t>
      </w:r>
      <w:r>
        <w:t xml:space="preserve"> E. H. F. Somatosensory processes subserving perception and action. </w:t>
      </w:r>
      <w:r>
        <w:rPr>
          <w:i/>
        </w:rPr>
        <w:t xml:space="preserve">Behavioral and Brain Sciences </w:t>
      </w:r>
      <w:r>
        <w:rPr>
          <w:b/>
        </w:rPr>
        <w:t>30</w:t>
      </w:r>
      <w:r>
        <w:t>(2)</w:t>
      </w:r>
      <w:r>
        <w:rPr>
          <w:rFonts w:hint="eastAsia"/>
        </w:rPr>
        <w:t xml:space="preserve">, </w:t>
      </w:r>
      <w:r>
        <w:t>189-201(2007).</w:t>
      </w:r>
    </w:p>
    <w:p w14:paraId="12C7127B">
      <w:pPr>
        <w:pStyle w:val="9"/>
        <w:numPr>
          <w:ilvl w:val="0"/>
          <w:numId w:val="1"/>
        </w:numPr>
        <w:ind w:firstLineChars="0"/>
      </w:pPr>
      <w:r>
        <w:t>Puccetti</w:t>
      </w:r>
      <w:r>
        <w:rPr>
          <w:rFonts w:hint="eastAsia"/>
        </w:rPr>
        <w:t>,</w:t>
      </w:r>
      <w:r>
        <w:t xml:space="preserve"> R. Intentionality in the visual cortex? </w:t>
      </w:r>
      <w:r>
        <w:rPr>
          <w:i/>
        </w:rPr>
        <w:t>Behavioral and Brain Sciences</w:t>
      </w:r>
      <w:r>
        <w:t xml:space="preserve"> </w:t>
      </w:r>
      <w:r>
        <w:rPr>
          <w:b/>
        </w:rPr>
        <w:t>10</w:t>
      </w:r>
      <w:r>
        <w:t>(4)</w:t>
      </w:r>
      <w:r>
        <w:rPr>
          <w:rFonts w:hint="eastAsia"/>
        </w:rPr>
        <w:t xml:space="preserve">, </w:t>
      </w:r>
      <w:r>
        <w:t>758-759(1987).</w:t>
      </w:r>
    </w:p>
    <w:p w14:paraId="6CDCCCBC">
      <w:pPr>
        <w:pStyle w:val="9"/>
        <w:numPr>
          <w:ilvl w:val="0"/>
          <w:numId w:val="1"/>
        </w:numPr>
        <w:ind w:firstLineChars="0"/>
      </w:pPr>
      <w:r>
        <w:t>Zaveri</w:t>
      </w:r>
      <w:r>
        <w:rPr>
          <w:rFonts w:hint="eastAsia"/>
        </w:rPr>
        <w:t>,</w:t>
      </w:r>
      <w:r>
        <w:t xml:space="preserve"> H. P., Lee</w:t>
      </w:r>
      <w:r>
        <w:rPr>
          <w:rFonts w:hint="eastAsia"/>
        </w:rPr>
        <w:t>,</w:t>
      </w:r>
      <w:r>
        <w:t xml:space="preserve"> T. S., Lai</w:t>
      </w:r>
      <w:r>
        <w:rPr>
          <w:rFonts w:hint="eastAsia"/>
        </w:rPr>
        <w:t>,</w:t>
      </w:r>
      <w:r>
        <w:t xml:space="preserve"> J. C., Malthankar-Phatak</w:t>
      </w:r>
      <w:r>
        <w:rPr>
          <w:rFonts w:hint="eastAsia"/>
        </w:rPr>
        <w:t>,</w:t>
      </w:r>
      <w:r>
        <w:t xml:space="preserve"> G. H. &amp; de</w:t>
      </w:r>
      <w:r>
        <w:rPr>
          <w:rFonts w:hint="eastAsia"/>
        </w:rPr>
        <w:t>-</w:t>
      </w:r>
      <w:r>
        <w:t>Lanerolle</w:t>
      </w:r>
      <w:r>
        <w:rPr>
          <w:rFonts w:hint="eastAsia"/>
        </w:rPr>
        <w:t>,</w:t>
      </w:r>
      <w:r>
        <w:t xml:space="preserve"> N. C. Recurrent seizures and brain pathology after inhibition of glutamine synthetase in the hippocampus in rats. </w:t>
      </w:r>
      <w:r>
        <w:rPr>
          <w:i/>
        </w:rPr>
        <w:t xml:space="preserve">Brain </w:t>
      </w:r>
      <w:r>
        <w:rPr>
          <w:b/>
        </w:rPr>
        <w:t>131</w:t>
      </w:r>
      <w:r>
        <w:t>(Pt 8)</w:t>
      </w:r>
      <w:r>
        <w:rPr>
          <w:rFonts w:hint="eastAsia"/>
        </w:rPr>
        <w:t xml:space="preserve">, </w:t>
      </w:r>
      <w:r>
        <w:t>2061-70(2008).</w:t>
      </w:r>
    </w:p>
    <w:p w14:paraId="7C176DE7">
      <w:pPr>
        <w:pStyle w:val="9"/>
        <w:numPr>
          <w:ilvl w:val="0"/>
          <w:numId w:val="1"/>
        </w:numPr>
        <w:ind w:firstLineChars="0"/>
      </w:pPr>
      <w:r>
        <w:t>Zeidman</w:t>
      </w:r>
      <w:r>
        <w:rPr>
          <w:rFonts w:hint="eastAsia"/>
        </w:rPr>
        <w:t>,</w:t>
      </w:r>
      <w:r>
        <w:t xml:space="preserve"> P.</w:t>
      </w:r>
      <w:r>
        <w:rPr>
          <w:rFonts w:hint="eastAsia"/>
        </w:rPr>
        <w:t xml:space="preserve"> &amp;</w:t>
      </w:r>
      <w:r>
        <w:t xml:space="preserve"> Maguire</w:t>
      </w:r>
      <w:r>
        <w:rPr>
          <w:rFonts w:hint="eastAsia"/>
        </w:rPr>
        <w:t>,</w:t>
      </w:r>
      <w:r>
        <w:t xml:space="preserve"> E. A. Anterior hippocampus: the anatomy of perception, imagination and episodic memory. </w:t>
      </w:r>
      <w:r>
        <w:rPr>
          <w:i/>
        </w:rPr>
        <w:t>Nat Rev Neurosci</w:t>
      </w:r>
      <w:r>
        <w:t xml:space="preserve"> </w:t>
      </w:r>
      <w:r>
        <w:rPr>
          <w:b/>
        </w:rPr>
        <w:t>17</w:t>
      </w:r>
      <w:r>
        <w:t>(3)</w:t>
      </w:r>
      <w:r>
        <w:rPr>
          <w:rFonts w:hint="eastAsia"/>
        </w:rPr>
        <w:t xml:space="preserve">, </w:t>
      </w:r>
      <w:r>
        <w:t>173-82(2016).</w:t>
      </w:r>
    </w:p>
    <w:p w14:paraId="4270F9E3">
      <w:pPr>
        <w:pStyle w:val="9"/>
        <w:numPr>
          <w:ilvl w:val="0"/>
          <w:numId w:val="1"/>
        </w:numPr>
        <w:ind w:firstLineChars="0"/>
      </w:pPr>
      <w:r>
        <w:t>Kragel</w:t>
      </w:r>
      <w:r>
        <w:rPr>
          <w:rFonts w:hint="eastAsia"/>
        </w:rPr>
        <w:t>,</w:t>
      </w:r>
      <w:r>
        <w:t xml:space="preserve"> J. E., Schuele</w:t>
      </w:r>
      <w:r>
        <w:rPr>
          <w:rFonts w:hint="eastAsia"/>
        </w:rPr>
        <w:t>,</w:t>
      </w:r>
      <w:r>
        <w:t xml:space="preserve"> S., VanHaerents</w:t>
      </w:r>
      <w:r>
        <w:rPr>
          <w:rFonts w:hint="eastAsia"/>
        </w:rPr>
        <w:t>,</w:t>
      </w:r>
      <w:r>
        <w:t xml:space="preserve"> S., Rosenow</w:t>
      </w:r>
      <w:r>
        <w:rPr>
          <w:rFonts w:hint="eastAsia"/>
        </w:rPr>
        <w:t>,</w:t>
      </w:r>
      <w:r>
        <w:t xml:space="preserve"> J. M. &amp; Voss</w:t>
      </w:r>
      <w:r>
        <w:rPr>
          <w:rFonts w:hint="eastAsia"/>
        </w:rPr>
        <w:t>,</w:t>
      </w:r>
      <w:r>
        <w:t xml:space="preserve"> J. L. Rapid coordination of effective learning by the human hippocampus. </w:t>
      </w:r>
      <w:r>
        <w:rPr>
          <w:i/>
        </w:rPr>
        <w:t>Sci Adv</w:t>
      </w:r>
      <w:r>
        <w:t xml:space="preserve"> </w:t>
      </w:r>
      <w:r>
        <w:rPr>
          <w:b/>
        </w:rPr>
        <w:t>7</w:t>
      </w:r>
      <w:r>
        <w:t>(25)</w:t>
      </w:r>
      <w:r>
        <w:rPr>
          <w:rFonts w:hint="eastAsia"/>
        </w:rPr>
        <w:t xml:space="preserve">, </w:t>
      </w:r>
      <w:r>
        <w:t>eabf7144(2021).</w:t>
      </w:r>
    </w:p>
    <w:p w14:paraId="6AF2C0B0">
      <w:pPr>
        <w:pStyle w:val="9"/>
        <w:numPr>
          <w:ilvl w:val="0"/>
          <w:numId w:val="1"/>
        </w:numPr>
        <w:ind w:firstLineChars="0"/>
      </w:pPr>
      <w:r>
        <w:t>Kesner</w:t>
      </w:r>
      <w:r>
        <w:rPr>
          <w:rFonts w:hint="eastAsia"/>
        </w:rPr>
        <w:t>,</w:t>
      </w:r>
      <w:r>
        <w:t xml:space="preserve"> R. P. Hippocampus and memory. </w:t>
      </w:r>
      <w:r>
        <w:rPr>
          <w:i/>
        </w:rPr>
        <w:t>Behavioral and Brain Sciences</w:t>
      </w:r>
      <w:r>
        <w:t xml:space="preserve"> </w:t>
      </w:r>
      <w:r>
        <w:rPr>
          <w:b/>
        </w:rPr>
        <w:t>2</w:t>
      </w:r>
      <w:r>
        <w:t>(4)</w:t>
      </w:r>
      <w:r>
        <w:rPr>
          <w:rFonts w:hint="eastAsia"/>
        </w:rPr>
        <w:t xml:space="preserve">, </w:t>
      </w:r>
      <w:r>
        <w:t>509-510(1979).</w:t>
      </w:r>
    </w:p>
    <w:p w14:paraId="64EBD45B">
      <w:pPr>
        <w:pStyle w:val="9"/>
        <w:numPr>
          <w:ilvl w:val="0"/>
          <w:numId w:val="1"/>
        </w:numPr>
        <w:ind w:firstLineChars="0"/>
      </w:pPr>
      <w:r>
        <w:t>Baba</w:t>
      </w:r>
      <w:r>
        <w:rPr>
          <w:rFonts w:hint="eastAsia"/>
        </w:rPr>
        <w:t>,</w:t>
      </w:r>
      <w:r>
        <w:t xml:space="preserve"> T. </w:t>
      </w:r>
      <w:r>
        <w:rPr>
          <w:i/>
          <w:iCs/>
        </w:rPr>
        <w:t>et al</w:t>
      </w:r>
      <w:r>
        <w:t xml:space="preserve">. Severe olfactory dysfunction is a prodromal symptom of dementia associated with Parkinson's disease: a 3 year longitudinal study. </w:t>
      </w:r>
      <w:r>
        <w:rPr>
          <w:i/>
        </w:rPr>
        <w:t>Brain</w:t>
      </w:r>
      <w:r>
        <w:t xml:space="preserve"> </w:t>
      </w:r>
      <w:r>
        <w:rPr>
          <w:b/>
        </w:rPr>
        <w:t>135</w:t>
      </w:r>
      <w:r>
        <w:t>(Pt 1)</w:t>
      </w:r>
      <w:r>
        <w:rPr>
          <w:rFonts w:hint="eastAsia"/>
        </w:rPr>
        <w:t xml:space="preserve">, </w:t>
      </w:r>
      <w:r>
        <w:t>161-9(2012).</w:t>
      </w:r>
    </w:p>
    <w:p w14:paraId="5ED57B8D">
      <w:pPr>
        <w:pStyle w:val="9"/>
        <w:numPr>
          <w:ilvl w:val="0"/>
          <w:numId w:val="1"/>
        </w:numPr>
        <w:ind w:firstLineChars="0"/>
      </w:pPr>
      <w:r>
        <w:t>Murphy</w:t>
      </w:r>
      <w:r>
        <w:rPr>
          <w:rFonts w:hint="eastAsia"/>
        </w:rPr>
        <w:t>,</w:t>
      </w:r>
      <w:r>
        <w:t xml:space="preserve"> C. Olfactory and other sensory impairments in Alzheimer disease. </w:t>
      </w:r>
      <w:r>
        <w:rPr>
          <w:i/>
        </w:rPr>
        <w:t>Nat Rev Neurol</w:t>
      </w:r>
      <w:r>
        <w:t xml:space="preserve">. </w:t>
      </w:r>
      <w:r>
        <w:rPr>
          <w:b/>
        </w:rPr>
        <w:t>15</w:t>
      </w:r>
      <w:r>
        <w:t>(1)</w:t>
      </w:r>
      <w:r>
        <w:rPr>
          <w:rFonts w:hint="eastAsia"/>
        </w:rPr>
        <w:t xml:space="preserve">, </w:t>
      </w:r>
      <w:r>
        <w:t>11-24(2019).</w:t>
      </w:r>
    </w:p>
    <w:p w14:paraId="692BC30C">
      <w:pPr>
        <w:pStyle w:val="9"/>
        <w:numPr>
          <w:ilvl w:val="0"/>
          <w:numId w:val="1"/>
        </w:numPr>
        <w:ind w:firstLineChars="0"/>
      </w:pPr>
      <w:r>
        <w:t>Tremain</w:t>
      </w:r>
      <w:r>
        <w:rPr>
          <w:rFonts w:hint="eastAsia"/>
        </w:rPr>
        <w:t>,</w:t>
      </w:r>
      <w:r>
        <w:t xml:space="preserve"> K. E.</w:t>
      </w:r>
      <w:r>
        <w:rPr>
          <w:rFonts w:hint="eastAsia"/>
        </w:rPr>
        <w:t xml:space="preserve"> &amp;</w:t>
      </w:r>
      <w:r>
        <w:t xml:space="preserve"> Ikeda</w:t>
      </w:r>
      <w:r>
        <w:rPr>
          <w:rFonts w:hint="eastAsia"/>
        </w:rPr>
        <w:t>,</w:t>
      </w:r>
      <w:r>
        <w:t xml:space="preserve"> H. Physiological deficits in the visual system of mice infected with Semliki Forest virus and their correlation with those seen in patients with demyelinating disease. </w:t>
      </w:r>
      <w:r>
        <w:rPr>
          <w:i/>
        </w:rPr>
        <w:t>Brain</w:t>
      </w:r>
      <w:r>
        <w:t xml:space="preserve"> </w:t>
      </w:r>
      <w:r>
        <w:rPr>
          <w:b/>
        </w:rPr>
        <w:t>106</w:t>
      </w:r>
      <w:r>
        <w:t>(Pt 4)</w:t>
      </w:r>
      <w:r>
        <w:rPr>
          <w:rFonts w:hint="eastAsia"/>
        </w:rPr>
        <w:t xml:space="preserve">, </w:t>
      </w:r>
      <w:r>
        <w:t>879-95(1983).</w:t>
      </w:r>
    </w:p>
    <w:p w14:paraId="55B36A0C">
      <w:pPr>
        <w:pStyle w:val="9"/>
        <w:numPr>
          <w:ilvl w:val="0"/>
          <w:numId w:val="1"/>
        </w:numPr>
        <w:ind w:firstLineChars="0"/>
      </w:pPr>
      <w:r>
        <w:t>Li</w:t>
      </w:r>
      <w:r>
        <w:rPr>
          <w:rFonts w:hint="eastAsia"/>
        </w:rPr>
        <w:t>,</w:t>
      </w:r>
      <w:r>
        <w:t xml:space="preserve"> C. </w:t>
      </w:r>
      <w:r>
        <w:rPr>
          <w:i/>
          <w:iCs/>
        </w:rPr>
        <w:t>et al</w:t>
      </w:r>
      <w:r>
        <w:t xml:space="preserve">. Pathway-specific inputs to the superior colliculus support flexible responses to visual threat. </w:t>
      </w:r>
      <w:r>
        <w:rPr>
          <w:i/>
        </w:rPr>
        <w:t>Sci Adv</w:t>
      </w:r>
      <w:r>
        <w:t xml:space="preserve"> </w:t>
      </w:r>
      <w:r>
        <w:rPr>
          <w:b/>
        </w:rPr>
        <w:t>9</w:t>
      </w:r>
      <w:r>
        <w:t>(35)</w:t>
      </w:r>
      <w:r>
        <w:rPr>
          <w:rFonts w:hint="eastAsia"/>
        </w:rPr>
        <w:t xml:space="preserve">, </w:t>
      </w:r>
      <w:r>
        <w:t>eade3874(2023).</w:t>
      </w:r>
    </w:p>
    <w:p w14:paraId="7AC85CF6">
      <w:pPr>
        <w:pStyle w:val="9"/>
        <w:numPr>
          <w:ilvl w:val="0"/>
          <w:numId w:val="1"/>
        </w:numPr>
        <w:ind w:firstLineChars="0"/>
      </w:pPr>
      <w:r>
        <w:t>Marsden</w:t>
      </w:r>
      <w:r>
        <w:rPr>
          <w:rFonts w:hint="eastAsia"/>
        </w:rPr>
        <w:t>,</w:t>
      </w:r>
      <w:r>
        <w:t xml:space="preserve"> J. F., Ashby</w:t>
      </w:r>
      <w:r>
        <w:rPr>
          <w:rFonts w:hint="eastAsia"/>
        </w:rPr>
        <w:t>,</w:t>
      </w:r>
      <w:r>
        <w:t xml:space="preserve"> P., Limousin-Dowsey</w:t>
      </w:r>
      <w:r>
        <w:rPr>
          <w:rFonts w:hint="eastAsia"/>
        </w:rPr>
        <w:t>,</w:t>
      </w:r>
      <w:r>
        <w:t xml:space="preserve"> P., Rothwell</w:t>
      </w:r>
      <w:r>
        <w:rPr>
          <w:rFonts w:hint="eastAsia"/>
        </w:rPr>
        <w:t>,</w:t>
      </w:r>
      <w:r>
        <w:t xml:space="preserve"> J. C. &amp; Brown</w:t>
      </w:r>
      <w:r>
        <w:rPr>
          <w:rFonts w:hint="eastAsia"/>
        </w:rPr>
        <w:t>,</w:t>
      </w:r>
      <w:r>
        <w:t xml:space="preserve"> P. Coherence between cerebellar thalamus, cortex and muscle in man: cerebellar thalamus interactions.</w:t>
      </w:r>
      <w:r>
        <w:rPr>
          <w:i/>
        </w:rPr>
        <w:t xml:space="preserve"> Brain </w:t>
      </w:r>
      <w:r>
        <w:rPr>
          <w:b/>
        </w:rPr>
        <w:t>123</w:t>
      </w:r>
      <w:r>
        <w:t>(Pt 7)</w:t>
      </w:r>
      <w:r>
        <w:rPr>
          <w:rFonts w:hint="eastAsia"/>
        </w:rPr>
        <w:t xml:space="preserve">, </w:t>
      </w:r>
      <w:r>
        <w:t>1459-70(2000).</w:t>
      </w:r>
    </w:p>
    <w:p w14:paraId="32EA9F40">
      <w:pPr>
        <w:pStyle w:val="9"/>
        <w:numPr>
          <w:ilvl w:val="0"/>
          <w:numId w:val="1"/>
        </w:numPr>
        <w:ind w:firstLineChars="0"/>
      </w:pPr>
      <w:r>
        <w:t>Hatten</w:t>
      </w:r>
      <w:r>
        <w:rPr>
          <w:rFonts w:hint="eastAsia"/>
        </w:rPr>
        <w:t>,</w:t>
      </w:r>
      <w:r>
        <w:t xml:space="preserve"> M. E. Adding cognitive connections to the cerebellum. </w:t>
      </w:r>
      <w:r>
        <w:rPr>
          <w:i/>
        </w:rPr>
        <w:t>Science</w:t>
      </w:r>
      <w:r>
        <w:t xml:space="preserve"> </w:t>
      </w:r>
      <w:r>
        <w:rPr>
          <w:b/>
        </w:rPr>
        <w:t>370</w:t>
      </w:r>
      <w:r>
        <w:t>(6523)</w:t>
      </w:r>
      <w:r>
        <w:rPr>
          <w:rFonts w:hint="eastAsia"/>
        </w:rPr>
        <w:t xml:space="preserve">, </w:t>
      </w:r>
      <w:r>
        <w:t>1411-1412(2020).</w:t>
      </w:r>
    </w:p>
    <w:p w14:paraId="0C8B8E95">
      <w:pPr>
        <w:pStyle w:val="9"/>
        <w:numPr>
          <w:ilvl w:val="0"/>
          <w:numId w:val="1"/>
        </w:numPr>
        <w:ind w:firstLineChars="0"/>
      </w:pPr>
      <w:r>
        <w:t>Liu</w:t>
      </w:r>
      <w:r>
        <w:rPr>
          <w:rFonts w:hint="eastAsia"/>
        </w:rPr>
        <w:t>,</w:t>
      </w:r>
      <w:r>
        <w:t xml:space="preserve"> M. </w:t>
      </w:r>
      <w:r>
        <w:rPr>
          <w:i/>
          <w:iCs/>
        </w:rPr>
        <w:t>et al</w:t>
      </w:r>
      <w:r>
        <w:t xml:space="preserve">. Mini-review: The neural circuits of the non-lemniscal inferior colliculus. </w:t>
      </w:r>
      <w:r>
        <w:rPr>
          <w:i/>
        </w:rPr>
        <w:t>Neurosci Lett</w:t>
      </w:r>
      <w:r>
        <w:t xml:space="preserve"> </w:t>
      </w:r>
      <w:r>
        <w:rPr>
          <w:b/>
        </w:rPr>
        <w:t>776</w:t>
      </w:r>
      <w:r>
        <w:rPr>
          <w:rFonts w:hint="eastAsia"/>
        </w:rPr>
        <w:t>,</w:t>
      </w:r>
      <w:r>
        <w:rPr>
          <w:rFonts w:hint="eastAsia"/>
          <w:b/>
        </w:rPr>
        <w:t xml:space="preserve"> </w:t>
      </w:r>
      <w:r>
        <w:t>136567(2022).</w:t>
      </w:r>
    </w:p>
    <w:p w14:paraId="577AD0CE">
      <w:pPr>
        <w:pStyle w:val="9"/>
        <w:numPr>
          <w:ilvl w:val="0"/>
          <w:numId w:val="1"/>
        </w:numPr>
        <w:ind w:firstLineChars="0"/>
        <w:rPr>
          <w:rFonts w:hint="eastAsia"/>
        </w:rPr>
      </w:pPr>
      <w:r>
        <w:t>Shine</w:t>
      </w:r>
      <w:r>
        <w:rPr>
          <w:rFonts w:hint="eastAsia"/>
        </w:rPr>
        <w:t>,</w:t>
      </w:r>
      <w:r>
        <w:t xml:space="preserve"> J. M., Lewis</w:t>
      </w:r>
      <w:r>
        <w:rPr>
          <w:rFonts w:hint="eastAsia"/>
        </w:rPr>
        <w:t>,</w:t>
      </w:r>
      <w:r>
        <w:t xml:space="preserve"> L. D., Garrett</w:t>
      </w:r>
      <w:r>
        <w:rPr>
          <w:rFonts w:hint="eastAsia"/>
        </w:rPr>
        <w:t>,</w:t>
      </w:r>
      <w:r>
        <w:t xml:space="preserve"> D. D. &amp; Hwang</w:t>
      </w:r>
      <w:r>
        <w:rPr>
          <w:rFonts w:hint="eastAsia"/>
        </w:rPr>
        <w:t>,</w:t>
      </w:r>
      <w:r>
        <w:t xml:space="preserve"> K. The impact of the human thalamus on brain-wide information processing. </w:t>
      </w:r>
      <w:r>
        <w:rPr>
          <w:i/>
        </w:rPr>
        <w:t>Nat Rev Neurosci</w:t>
      </w:r>
      <w:r>
        <w:t xml:space="preserve"> </w:t>
      </w:r>
      <w:r>
        <w:rPr>
          <w:b/>
        </w:rPr>
        <w:t>24</w:t>
      </w:r>
      <w:r>
        <w:t>(7)</w:t>
      </w:r>
      <w:r>
        <w:rPr>
          <w:rFonts w:hint="eastAsia"/>
        </w:rPr>
        <w:t xml:space="preserve">, </w:t>
      </w:r>
      <w:r>
        <w:t>416-430(2023).</w:t>
      </w:r>
    </w:p>
    <w:p w14:paraId="3118009A">
      <w:pPr>
        <w:pStyle w:val="9"/>
        <w:numPr>
          <w:ilvl w:val="0"/>
          <w:numId w:val="1"/>
        </w:numPr>
        <w:ind w:firstLineChars="0"/>
        <w:rPr>
          <w:rFonts w:hint="eastAsia"/>
        </w:rPr>
      </w:pPr>
      <w:r>
        <w:t>Onofrj</w:t>
      </w:r>
      <w:r>
        <w:rPr>
          <w:rFonts w:hint="eastAsia"/>
        </w:rPr>
        <w:t>,</w:t>
      </w:r>
      <w:r>
        <w:t xml:space="preserve"> M. </w:t>
      </w:r>
      <w:r>
        <w:rPr>
          <w:i/>
          <w:iCs/>
        </w:rPr>
        <w:t>et al</w:t>
      </w:r>
      <w:r>
        <w:t xml:space="preserve">. The central role of the Thalamus in psychosis, lessons from neurodegenerative diseases and psychedelics. </w:t>
      </w:r>
      <w:r>
        <w:rPr>
          <w:i/>
        </w:rPr>
        <w:t>Transl Psychiatry</w:t>
      </w:r>
      <w:r>
        <w:t xml:space="preserve"> </w:t>
      </w:r>
      <w:r>
        <w:rPr>
          <w:b/>
        </w:rPr>
        <w:t>13</w:t>
      </w:r>
      <w:r>
        <w:t>(1)</w:t>
      </w:r>
      <w:r>
        <w:rPr>
          <w:rFonts w:hint="eastAsia"/>
        </w:rPr>
        <w:t xml:space="preserve">, </w:t>
      </w:r>
      <w:r>
        <w:t>384(2023).</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2AF7E"/>
    <w:multiLevelType w:val="singleLevel"/>
    <w:tmpl w:val="D662AF7E"/>
    <w:lvl w:ilvl="0" w:tentative="0">
      <w:start w:val="1"/>
      <w:numFmt w:val="decimal"/>
      <w:lvlText w:val="%1."/>
      <w:lvlJc w:val="left"/>
      <w:pPr>
        <w:ind w:left="425" w:hanging="425"/>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3NzQwZjQ1YmJjYjJjNmViYWJmZjMzYjc0NjhkMmYifQ=="/>
  </w:docVars>
  <w:rsids>
    <w:rsidRoot w:val="00B423C9"/>
    <w:rsid w:val="008C5410"/>
    <w:rsid w:val="009335F7"/>
    <w:rsid w:val="00A87241"/>
    <w:rsid w:val="00AB5BDA"/>
    <w:rsid w:val="00B423C9"/>
    <w:rsid w:val="00D61375"/>
    <w:rsid w:val="00F35507"/>
    <w:rsid w:val="05E73306"/>
    <w:rsid w:val="18ED5AA5"/>
    <w:rsid w:val="321921D0"/>
    <w:rsid w:val="5D4C43B5"/>
    <w:rsid w:val="75931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99"/>
    <w:pPr>
      <w:spacing w:line="360" w:lineRule="auto"/>
      <w:ind w:firstLine="420" w:firstLineChars="200"/>
    </w:pPr>
    <w:rPr>
      <w:rFonts w:ascii="Times New Roman" w:hAnsi="Times New Roman" w:eastAsia="宋体" w:cs="Times New Roman"/>
      <w:color w:val="2A2B2E"/>
      <w:kern w:val="0"/>
      <w:sz w:val="24"/>
      <w:szCs w:val="24"/>
      <w:shd w:val="clear" w:color="auto" w:fil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1895</Words>
  <Characters>11197</Characters>
  <Lines>94</Lines>
  <Paragraphs>26</Paragraphs>
  <TotalTime>1</TotalTime>
  <ScaleCrop>false</ScaleCrop>
  <LinksUpToDate>false</LinksUpToDate>
  <CharactersWithSpaces>12996</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2024-09-04T03:23:00Z</dcterms:created>
  <dc:creator>hp</dc:creator>
  <cp:lastModifiedBy>LENOVO</cp:lastModifiedBy>
  <dcterms:modified xsi:type="dcterms:W3CDTF">2024-09-04T07:52:47Z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DA69568EFA164797B5D168E104E87A28_12</vt:lpwstr>
  </property>
</Properties>
</file>