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AD177B" w14:textId="77777777" w:rsidR="00A5414A" w:rsidRPr="00A5414A" w:rsidRDefault="00A5414A" w:rsidP="00A5414A">
      <w:pPr>
        <w:rPr>
          <w:b/>
          <w:u w:val="single"/>
        </w:rPr>
      </w:pPr>
      <w:bookmarkStart w:id="0" w:name="_Ref166070012"/>
      <w:r w:rsidRPr="00A5414A">
        <w:rPr>
          <w:b/>
          <w:u w:val="single"/>
        </w:rPr>
        <w:t>Appendix</w:t>
      </w:r>
      <w:bookmarkEnd w:id="0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20"/>
        <w:gridCol w:w="3145"/>
      </w:tblGrid>
      <w:tr w:rsidR="00A5414A" w:rsidRPr="00A5414A" w14:paraId="2C3CDF32" w14:textId="77777777" w:rsidTr="00A5414A">
        <w:trPr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26A828E" w14:textId="77777777" w:rsidR="00A5414A" w:rsidRPr="00A5414A" w:rsidRDefault="00A5414A" w:rsidP="00A5414A">
            <w:pPr>
              <w:spacing w:after="160" w:line="259" w:lineRule="auto"/>
              <w:rPr>
                <w:b/>
                <w:bCs/>
              </w:rPr>
            </w:pPr>
            <w:r w:rsidRPr="00A5414A">
              <w:rPr>
                <w:b/>
                <w:bCs/>
              </w:rPr>
              <w:t>Scanners Utilized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F5641" w14:textId="77777777" w:rsidR="00A5414A" w:rsidRPr="00A5414A" w:rsidRDefault="00A5414A" w:rsidP="00A5414A">
            <w:pPr>
              <w:spacing w:after="160" w:line="259" w:lineRule="auto"/>
            </w:pPr>
            <w:r w:rsidRPr="00A5414A">
              <w:t xml:space="preserve">Either a 1.5T </w:t>
            </w:r>
            <w:proofErr w:type="spellStart"/>
            <w:r w:rsidRPr="00A5414A">
              <w:t>Acheiva</w:t>
            </w:r>
            <w:proofErr w:type="spellEnd"/>
            <w:r w:rsidRPr="00A5414A">
              <w:t xml:space="preserve"> or 1.5T Ingenia scanner (Philips Medical System, Best, the Netherlands) or a 1.5T Aera scanner (Siemens </w:t>
            </w:r>
            <w:proofErr w:type="spellStart"/>
            <w:r w:rsidRPr="00A5414A">
              <w:t>Healthineers</w:t>
            </w:r>
            <w:proofErr w:type="spellEnd"/>
            <w:r w:rsidRPr="00A5414A">
              <w:t>, Erlangen, Germany)</w:t>
            </w:r>
          </w:p>
        </w:tc>
      </w:tr>
      <w:tr w:rsidR="00A5414A" w:rsidRPr="00A5414A" w14:paraId="2BBBB5E0" w14:textId="77777777" w:rsidTr="00A5414A">
        <w:trPr>
          <w:jc w:val="center"/>
        </w:trPr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B4413" w14:textId="77777777" w:rsidR="00A5414A" w:rsidRPr="00A5414A" w:rsidRDefault="00A5414A" w:rsidP="00A5414A">
            <w:pPr>
              <w:spacing w:after="160" w:line="259" w:lineRule="auto"/>
              <w:rPr>
                <w:b/>
                <w:bCs/>
              </w:rPr>
            </w:pPr>
            <w:r w:rsidRPr="00A5414A">
              <w:rPr>
                <w:b/>
                <w:bCs/>
              </w:rPr>
              <w:t>Sequence Parameters</w:t>
            </w:r>
          </w:p>
          <w:p w14:paraId="007F6E9D" w14:textId="77777777" w:rsidR="00A5414A" w:rsidRPr="00A5414A" w:rsidRDefault="00A5414A" w:rsidP="00A5414A">
            <w:pPr>
              <w:spacing w:after="160" w:line="259" w:lineRule="auto"/>
            </w:pPr>
            <w:r w:rsidRPr="00A5414A">
              <w:t>Slice Thickness (mm)</w:t>
            </w:r>
          </w:p>
          <w:p w14:paraId="33C32B1E" w14:textId="77777777" w:rsidR="00A5414A" w:rsidRPr="00A5414A" w:rsidRDefault="00A5414A" w:rsidP="00A5414A">
            <w:pPr>
              <w:spacing w:after="160" w:line="259" w:lineRule="auto"/>
            </w:pPr>
            <w:r w:rsidRPr="00A5414A">
              <w:t>Interslice Gap</w:t>
            </w:r>
          </w:p>
          <w:p w14:paraId="6159EC93" w14:textId="77777777" w:rsidR="00A5414A" w:rsidRPr="00A5414A" w:rsidRDefault="00A5414A" w:rsidP="00A5414A">
            <w:pPr>
              <w:spacing w:after="160" w:line="259" w:lineRule="auto"/>
            </w:pPr>
            <w:r w:rsidRPr="00A5414A">
              <w:t>Repetition Time (</w:t>
            </w:r>
            <w:proofErr w:type="spellStart"/>
            <w:r w:rsidRPr="00A5414A">
              <w:t>ms</w:t>
            </w:r>
            <w:proofErr w:type="spellEnd"/>
            <w:r w:rsidRPr="00A5414A">
              <w:t>)</w:t>
            </w:r>
          </w:p>
          <w:p w14:paraId="51D59E1A" w14:textId="77777777" w:rsidR="00A5414A" w:rsidRPr="00A5414A" w:rsidRDefault="00A5414A" w:rsidP="00A5414A">
            <w:pPr>
              <w:spacing w:after="160" w:line="259" w:lineRule="auto"/>
            </w:pPr>
            <w:r w:rsidRPr="00A5414A">
              <w:t>Echo Time (</w:t>
            </w:r>
            <w:proofErr w:type="spellStart"/>
            <w:r w:rsidRPr="00A5414A">
              <w:t>ms</w:t>
            </w:r>
            <w:proofErr w:type="spellEnd"/>
            <w:r w:rsidRPr="00A5414A">
              <w:t>)</w:t>
            </w:r>
          </w:p>
          <w:p w14:paraId="0B1F33C0" w14:textId="77777777" w:rsidR="00A5414A" w:rsidRPr="00A5414A" w:rsidRDefault="00A5414A" w:rsidP="00A5414A">
            <w:pPr>
              <w:spacing w:after="160" w:line="259" w:lineRule="auto"/>
            </w:pPr>
            <w:r w:rsidRPr="00A5414A">
              <w:t>Acquisition Matrix</w:t>
            </w:r>
          </w:p>
          <w:p w14:paraId="4710FA3B" w14:textId="77777777" w:rsidR="00A5414A" w:rsidRPr="00A5414A" w:rsidRDefault="00A5414A" w:rsidP="00A5414A">
            <w:pPr>
              <w:spacing w:after="160" w:line="259" w:lineRule="auto"/>
            </w:pPr>
            <w:r w:rsidRPr="00A5414A">
              <w:t>Heart Phases</w:t>
            </w:r>
          </w:p>
        </w:tc>
        <w:tc>
          <w:tcPr>
            <w:tcW w:w="31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5C8D16" w14:textId="77777777" w:rsidR="00A5414A" w:rsidRPr="00A5414A" w:rsidRDefault="00A5414A" w:rsidP="00A5414A">
            <w:pPr>
              <w:spacing w:after="160" w:line="259" w:lineRule="auto"/>
            </w:pPr>
          </w:p>
          <w:p w14:paraId="069D752A" w14:textId="77777777" w:rsidR="00A5414A" w:rsidRPr="00A5414A" w:rsidRDefault="00A5414A" w:rsidP="00A5414A">
            <w:pPr>
              <w:spacing w:after="160" w:line="259" w:lineRule="auto"/>
            </w:pPr>
            <w:r w:rsidRPr="00A5414A">
              <w:t>6-10</w:t>
            </w:r>
          </w:p>
          <w:p w14:paraId="61A47C96" w14:textId="77777777" w:rsidR="00A5414A" w:rsidRPr="00A5414A" w:rsidRDefault="00A5414A" w:rsidP="00A5414A">
            <w:pPr>
              <w:spacing w:after="160" w:line="259" w:lineRule="auto"/>
            </w:pPr>
            <w:r w:rsidRPr="00A5414A">
              <w:t>0</w:t>
            </w:r>
          </w:p>
          <w:p w14:paraId="7E4C6666" w14:textId="77777777" w:rsidR="00A5414A" w:rsidRPr="00A5414A" w:rsidRDefault="00A5414A" w:rsidP="00A5414A">
            <w:pPr>
              <w:spacing w:after="160" w:line="259" w:lineRule="auto"/>
            </w:pPr>
            <w:r w:rsidRPr="00A5414A">
              <w:t>2.6-3.5</w:t>
            </w:r>
          </w:p>
          <w:p w14:paraId="54014413" w14:textId="77777777" w:rsidR="00A5414A" w:rsidRPr="00A5414A" w:rsidRDefault="00A5414A" w:rsidP="00A5414A">
            <w:pPr>
              <w:spacing w:after="160" w:line="259" w:lineRule="auto"/>
            </w:pPr>
            <w:r w:rsidRPr="00A5414A">
              <w:t>1.3-1.8</w:t>
            </w:r>
          </w:p>
          <w:p w14:paraId="4F9D71D5" w14:textId="77777777" w:rsidR="00A5414A" w:rsidRPr="00A5414A" w:rsidRDefault="00A5414A" w:rsidP="00A5414A">
            <w:pPr>
              <w:spacing w:after="160" w:line="259" w:lineRule="auto"/>
            </w:pPr>
            <w:r w:rsidRPr="00A5414A">
              <w:t>108-200 x 101-185</w:t>
            </w:r>
          </w:p>
          <w:p w14:paraId="6624C58E" w14:textId="77777777" w:rsidR="00A5414A" w:rsidRPr="00A5414A" w:rsidRDefault="00A5414A" w:rsidP="00A5414A">
            <w:pPr>
              <w:spacing w:after="160" w:line="259" w:lineRule="auto"/>
            </w:pPr>
            <w:r w:rsidRPr="00A5414A">
              <w:t>25-30</w:t>
            </w:r>
          </w:p>
        </w:tc>
      </w:tr>
    </w:tbl>
    <w:p w14:paraId="5B3D0B52" w14:textId="77777777" w:rsidR="00A5414A" w:rsidRPr="00A5414A" w:rsidRDefault="00A5414A" w:rsidP="00A5414A">
      <w:pPr>
        <w:rPr>
          <w:b/>
          <w:iCs/>
          <w:u w:val="single"/>
        </w:rPr>
      </w:pPr>
      <w:bookmarkStart w:id="1" w:name="_Ref161827077"/>
      <w:bookmarkStart w:id="2" w:name="_Toc165989896"/>
      <w:r w:rsidRPr="00A5414A">
        <w:rPr>
          <w:b/>
          <w:iCs/>
          <w:u w:val="single"/>
        </w:rPr>
        <w:t>Table</w:t>
      </w:r>
      <w:bookmarkEnd w:id="1"/>
      <w:r w:rsidRPr="00A5414A">
        <w:rPr>
          <w:b/>
          <w:iCs/>
          <w:u w:val="single"/>
        </w:rPr>
        <w:t xml:space="preserve"> 4. Supplemental CMR Methods</w:t>
      </w:r>
      <w:bookmarkEnd w:id="2"/>
    </w:p>
    <w:p w14:paraId="4FE8246D" w14:textId="77777777" w:rsidR="00A5414A" w:rsidRPr="00A5414A" w:rsidRDefault="00A5414A" w:rsidP="00A5414A">
      <w:pPr>
        <w:rPr>
          <w:i/>
        </w:rPr>
      </w:pPr>
      <w:r w:rsidRPr="00A5414A">
        <w:rPr>
          <w:i/>
        </w:rPr>
        <w:t>Sequence parameters for balanced steady state free precession sequences used in analysis</w:t>
      </w:r>
    </w:p>
    <w:p w14:paraId="17CA490F" w14:textId="77777777" w:rsidR="00A5414A" w:rsidRPr="00A5414A" w:rsidRDefault="00A5414A" w:rsidP="00A5414A"/>
    <w:p w14:paraId="466187A9" w14:textId="20D6AFBA" w:rsidR="00A5414A" w:rsidRPr="00A5414A" w:rsidRDefault="00A5414A" w:rsidP="00A5414A">
      <w:r w:rsidRPr="00A5414A">
        <w:drawing>
          <wp:inline distT="0" distB="0" distL="0" distR="0" wp14:anchorId="3509EAA2" wp14:editId="45A3328A">
            <wp:extent cx="4362450" cy="2647950"/>
            <wp:effectExtent l="0" t="0" r="0" b="0"/>
            <wp:docPr id="1210314307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6245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9E359D" w14:textId="77777777" w:rsidR="00A5414A" w:rsidRPr="00A5414A" w:rsidRDefault="00A5414A" w:rsidP="00A5414A">
      <w:pPr>
        <w:rPr>
          <w:b/>
          <w:iCs/>
          <w:u w:val="single"/>
        </w:rPr>
      </w:pPr>
      <w:bookmarkStart w:id="3" w:name="_Ref146706366"/>
      <w:bookmarkStart w:id="4" w:name="_Toc175082432"/>
      <w:r w:rsidRPr="00A5414A">
        <w:rPr>
          <w:b/>
          <w:iCs/>
          <w:u w:val="single"/>
        </w:rPr>
        <w:t>Figure</w:t>
      </w:r>
      <w:bookmarkEnd w:id="3"/>
      <w:r w:rsidRPr="00A5414A">
        <w:rPr>
          <w:b/>
          <w:iCs/>
          <w:u w:val="single"/>
        </w:rPr>
        <w:t xml:space="preserve"> 4: Flowchart of Patient Inclusion to Study Group</w:t>
      </w:r>
      <w:bookmarkEnd w:id="4"/>
    </w:p>
    <w:p w14:paraId="1E7B8BFF" w14:textId="77777777" w:rsidR="00A5414A" w:rsidRPr="00A5414A" w:rsidRDefault="00A5414A" w:rsidP="00A5414A"/>
    <w:p w14:paraId="04B685D0" w14:textId="77777777" w:rsidR="00A5414A" w:rsidRPr="00A5414A" w:rsidRDefault="00A5414A" w:rsidP="00A5414A"/>
    <w:p w14:paraId="69383DAC" w14:textId="4E84243B" w:rsidR="00A5414A" w:rsidRPr="00A5414A" w:rsidRDefault="00A5414A" w:rsidP="00A5414A">
      <w:bookmarkStart w:id="5" w:name="_Ref166583221"/>
      <w:r w:rsidRPr="00A5414A">
        <w:lastRenderedPageBreak/>
        <w:drawing>
          <wp:inline distT="0" distB="0" distL="0" distR="0" wp14:anchorId="587B0CF6" wp14:editId="074A7556">
            <wp:extent cx="5943600" cy="5784215"/>
            <wp:effectExtent l="0" t="0" r="0" b="6985"/>
            <wp:docPr id="74519908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7842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A2E9C5" w14:textId="77777777" w:rsidR="00A5414A" w:rsidRPr="00A5414A" w:rsidRDefault="00A5414A" w:rsidP="00A5414A">
      <w:pPr>
        <w:rPr>
          <w:b/>
          <w:iCs/>
          <w:u w:val="single"/>
        </w:rPr>
      </w:pPr>
      <w:bookmarkStart w:id="6" w:name="_Toc175082433"/>
      <w:r w:rsidRPr="00A5414A">
        <w:rPr>
          <w:b/>
          <w:iCs/>
          <w:u w:val="single"/>
        </w:rPr>
        <w:t>Figure</w:t>
      </w:r>
      <w:bookmarkEnd w:id="5"/>
      <w:r w:rsidRPr="00A5414A">
        <w:rPr>
          <w:b/>
          <w:iCs/>
          <w:u w:val="single"/>
        </w:rPr>
        <w:t xml:space="preserve"> 5. Risk Ratios and Confidence Intervals for Univariable MAD Association with LV volumes and Z-scores</w:t>
      </w:r>
      <w:bookmarkEnd w:id="6"/>
    </w:p>
    <w:p w14:paraId="5DEEEED3" w14:textId="77777777" w:rsidR="00A5414A" w:rsidRPr="00A5414A" w:rsidRDefault="00A5414A" w:rsidP="00A5414A">
      <w:pPr>
        <w:rPr>
          <w:i/>
        </w:rPr>
      </w:pPr>
      <w:r w:rsidRPr="00A5414A">
        <w:rPr>
          <w:i/>
        </w:rPr>
        <w:t>Generalized linear modeling utilized to assess MAD association with continuous variables and log-binomial logistic regression was utilized to assess the association with categorical variables. Null value for continuous variables marked at zero and for categorical variables at 1. LVEDV: LV end-diastolic volume, LVESV: LV end-systolic volume, LVEF: LV ejection fraction; MAD: Mitral annular disjunction</w:t>
      </w:r>
    </w:p>
    <w:p w14:paraId="160D7D1C" w14:textId="77777777"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14A"/>
    <w:rsid w:val="005374DE"/>
    <w:rsid w:val="00871FE1"/>
    <w:rsid w:val="00A5414A"/>
    <w:rsid w:val="00AD1398"/>
    <w:rsid w:val="00C46D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D3BCA"/>
  <w15:chartTrackingRefBased/>
  <w15:docId w15:val="{64A08817-967F-422E-A630-147E07CAE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5414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5414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5414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5414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5414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5414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5414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5414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5414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5414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5414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5414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5414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5414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5414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5414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5414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5414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5414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414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5414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5414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5414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5414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5414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5414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5414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5414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5414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A5414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401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05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157</Words>
  <Characters>901</Characters>
  <Application>Microsoft Office Word</Application>
  <DocSecurity>0</DocSecurity>
  <Lines>7</Lines>
  <Paragraphs>2</Paragraphs>
  <ScaleCrop>false</ScaleCrop>
  <Company>Springer Nature</Company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2024-09-25T11:53:00Z</dcterms:created>
  <dcterms:modified xsi:type="dcterms:W3CDTF">2024-09-25T11:54:00Z</dcterms:modified>
</cp:coreProperties>
</file>