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21BDC3" w14:textId="77777777" w:rsidR="002A1649" w:rsidRPr="006C14FD" w:rsidRDefault="002A1649" w:rsidP="002A1649">
      <w:pPr>
        <w:spacing w:line="360" w:lineRule="auto"/>
        <w:rPr>
          <w:rFonts w:cs="Times New Roman"/>
          <w:b/>
          <w:bCs/>
        </w:rPr>
      </w:pPr>
      <w:r w:rsidRPr="006C14FD">
        <w:rPr>
          <w:rFonts w:cs="Times New Roman"/>
          <w:b/>
          <w:bCs/>
        </w:rPr>
        <w:t>Extended Data Figure 1. N</w:t>
      </w:r>
      <w:r w:rsidRPr="006C14FD">
        <w:rPr>
          <w:rStyle w:val="Strong"/>
          <w:rFonts w:cs="Times New Roman"/>
          <w:color w:val="0E101A"/>
        </w:rPr>
        <w:t xml:space="preserve">umber of clusters for </w:t>
      </w:r>
      <w:r w:rsidRPr="006C14FD">
        <w:rPr>
          <w:rStyle w:val="Strong"/>
          <w:rFonts w:cs="Times New Roman"/>
          <w:i/>
          <w:iCs/>
          <w:color w:val="0E101A"/>
        </w:rPr>
        <w:t>K</w:t>
      </w:r>
      <w:r w:rsidRPr="006C14FD">
        <w:rPr>
          <w:rStyle w:val="Strong"/>
          <w:rFonts w:cs="Times New Roman"/>
          <w:color w:val="0E101A"/>
        </w:rPr>
        <w:t>-means clustering determined by the within-cluster sum of squares (WCSS)</w:t>
      </w:r>
      <w:r w:rsidRPr="006C14FD">
        <w:rPr>
          <w:rFonts w:cs="Times New Roman"/>
          <w:b/>
          <w:bCs/>
        </w:rPr>
        <w:t xml:space="preserve"> in the Discovery cohort</w:t>
      </w:r>
      <w:r w:rsidRPr="006C14FD">
        <w:rPr>
          <w:rStyle w:val="Strong"/>
          <w:rFonts w:cs="Times New Roman"/>
          <w:color w:val="0E101A"/>
        </w:rPr>
        <w:t>.</w:t>
      </w:r>
    </w:p>
    <w:p w14:paraId="4C79E8B6" w14:textId="77777777" w:rsidR="002A1649" w:rsidRPr="006C14FD" w:rsidRDefault="002A1649" w:rsidP="002A1649">
      <w:pPr>
        <w:spacing w:line="360" w:lineRule="auto"/>
        <w:rPr>
          <w:rFonts w:cs="Times New Roman"/>
        </w:rPr>
      </w:pPr>
      <w:r w:rsidRPr="006C14FD">
        <w:rPr>
          <w:rFonts w:cs="Times New Roman"/>
          <w:i/>
          <w:iCs/>
        </w:rPr>
        <w:t>K</w:t>
      </w:r>
      <w:r w:rsidRPr="006C14FD">
        <w:rPr>
          <w:rFonts w:cs="Times New Roman"/>
        </w:rPr>
        <w:t>-Means clustering based on WCSS indicates that the gut microbiota of CRC patients can be classified into four distinct subtypes.</w:t>
      </w:r>
    </w:p>
    <w:p w14:paraId="7BE16628" w14:textId="77777777" w:rsidR="002A1649" w:rsidRPr="006C14FD" w:rsidRDefault="002A1649" w:rsidP="002A1649">
      <w:pPr>
        <w:spacing w:line="360" w:lineRule="auto"/>
        <w:rPr>
          <w:rFonts w:cs="Times New Roman"/>
        </w:rPr>
      </w:pPr>
    </w:p>
    <w:p w14:paraId="1118F6C8" w14:textId="77777777" w:rsidR="002A1649" w:rsidRPr="006C14FD" w:rsidRDefault="002A1649" w:rsidP="002A1649">
      <w:pPr>
        <w:spacing w:line="360" w:lineRule="auto"/>
        <w:rPr>
          <w:rFonts w:cs="Times New Roman"/>
          <w:b/>
          <w:bCs/>
        </w:rPr>
      </w:pPr>
      <w:r w:rsidRPr="006C14FD">
        <w:rPr>
          <w:rFonts w:cs="Times New Roman"/>
          <w:b/>
          <w:bCs/>
        </w:rPr>
        <w:t>Extended Data Figure 2. Subclassification of colorectal cancer (CRC) based on the gut microbiome in the Validation cohort.</w:t>
      </w:r>
    </w:p>
    <w:p w14:paraId="05C02004" w14:textId="77777777" w:rsidR="002A1649" w:rsidRPr="006C14FD" w:rsidRDefault="002A1649" w:rsidP="002A1649">
      <w:pPr>
        <w:spacing w:line="360" w:lineRule="auto"/>
        <w:rPr>
          <w:rFonts w:cs="Times New Roman"/>
        </w:rPr>
      </w:pPr>
      <w:r w:rsidRPr="006C14FD">
        <w:rPr>
          <w:rFonts w:cs="Times New Roman"/>
          <w:b/>
          <w:bCs/>
        </w:rPr>
        <w:t xml:space="preserve">A. </w:t>
      </w:r>
      <w:r w:rsidRPr="006C14FD">
        <w:rPr>
          <w:rFonts w:cs="Times New Roman"/>
        </w:rPr>
        <w:t>The importance of global microbiome features in the CRC classifier. Each data point corresponds to an individual (sample) within the cohort (</w:t>
      </w:r>
      <w:r w:rsidRPr="006C14FD">
        <w:rPr>
          <w:rFonts w:cs="Times New Roman"/>
          <w:b/>
          <w:bCs/>
        </w:rPr>
        <w:t>Left</w:t>
      </w:r>
      <w:r w:rsidRPr="006C14FD">
        <w:rPr>
          <w:rFonts w:cs="Times New Roman"/>
        </w:rPr>
        <w:t xml:space="preserve">). Plot of the case samples from this cohort and the healthy control (HC) samples from our previous report. The SHAP values, represented on the </w:t>
      </w:r>
      <w:r w:rsidRPr="006C14FD">
        <w:rPr>
          <w:rFonts w:cs="Times New Roman"/>
          <w:i/>
          <w:iCs/>
        </w:rPr>
        <w:t>x</w:t>
      </w:r>
      <w:r w:rsidRPr="006C14FD">
        <w:rPr>
          <w:rFonts w:cs="Times New Roman"/>
        </w:rPr>
        <w:t xml:space="preserve">-axis, provide a quantitative measure of the influence of a bacterial species on the classifier's prediction for a given sample. The colors indicate the relative prevalence of the species, with blue and red indicating low and high prevalence, respectively. Among the species that have the greatest influence on the CRC classifier, including </w:t>
      </w:r>
      <w:r w:rsidRPr="006C14FD">
        <w:rPr>
          <w:rFonts w:cs="Times New Roman"/>
          <w:i/>
          <w:iCs/>
        </w:rPr>
        <w:t>P. stomatis,</w:t>
      </w:r>
      <w:r w:rsidRPr="006C14FD">
        <w:rPr>
          <w:rFonts w:cs="Times New Roman"/>
        </w:rPr>
        <w:t xml:space="preserve"> </w:t>
      </w:r>
      <w:r w:rsidRPr="006C14FD">
        <w:rPr>
          <w:rFonts w:cs="Times New Roman"/>
          <w:i/>
          <w:iCs/>
        </w:rPr>
        <w:t>F. nucleatum</w:t>
      </w:r>
      <w:r w:rsidRPr="006C14FD">
        <w:rPr>
          <w:rFonts w:cs="Times New Roman"/>
        </w:rPr>
        <w:t xml:space="preserve">, </w:t>
      </w:r>
      <w:r w:rsidRPr="006C14FD">
        <w:rPr>
          <w:rFonts w:cs="Times New Roman"/>
          <w:i/>
          <w:iCs/>
        </w:rPr>
        <w:t>D. pneumosintes</w:t>
      </w:r>
      <w:r w:rsidRPr="006C14FD">
        <w:rPr>
          <w:rFonts w:cs="Times New Roman"/>
        </w:rPr>
        <w:t xml:space="preserve">, and </w:t>
      </w:r>
      <w:r w:rsidRPr="006C14FD">
        <w:rPr>
          <w:rFonts w:cs="Times New Roman"/>
          <w:i/>
          <w:iCs/>
        </w:rPr>
        <w:t>P. micra</w:t>
      </w:r>
      <w:r w:rsidRPr="006C14FD">
        <w:rPr>
          <w:rFonts w:cs="Times New Roman"/>
        </w:rPr>
        <w:t xml:space="preserve">, the majority of samples with high relative abundance (indicated in red) are positioned on the positive side of the </w:t>
      </w:r>
      <w:r w:rsidRPr="006C14FD">
        <w:rPr>
          <w:rFonts w:cs="Times New Roman"/>
          <w:i/>
          <w:iCs/>
        </w:rPr>
        <w:t>x</w:t>
      </w:r>
      <w:r w:rsidRPr="006C14FD">
        <w:rPr>
          <w:rFonts w:cs="Times New Roman"/>
        </w:rPr>
        <w:t xml:space="preserve">-axis. This indicates that a higher prevalence of these bacteria is associated with an increased likelihood of CRC. In contrast, most of the blue dots are on the negative </w:t>
      </w:r>
      <w:r w:rsidRPr="006C14FD">
        <w:rPr>
          <w:rFonts w:cs="Times New Roman"/>
          <w:i/>
          <w:iCs/>
        </w:rPr>
        <w:t>x</w:t>
      </w:r>
      <w:r w:rsidRPr="006C14FD">
        <w:rPr>
          <w:rFonts w:cs="Times New Roman"/>
        </w:rPr>
        <w:t>-axis, indicating a correlation between lower bacterial abundance and a decreased likelihood of CRC. The top 10 most important microbiome features were determined by calculating the mean of the absolute SHAP values (</w:t>
      </w:r>
      <w:r w:rsidRPr="006C14FD">
        <w:rPr>
          <w:rFonts w:cs="Times New Roman"/>
          <w:b/>
          <w:bCs/>
        </w:rPr>
        <w:t>Right</w:t>
      </w:r>
      <w:r w:rsidRPr="006C14FD">
        <w:rPr>
          <w:rFonts w:cs="Times New Roman"/>
        </w:rPr>
        <w:t xml:space="preserve">). </w:t>
      </w:r>
      <w:r w:rsidRPr="006C14FD">
        <w:rPr>
          <w:rFonts w:cs="Times New Roman"/>
          <w:b/>
          <w:bCs/>
        </w:rPr>
        <w:t xml:space="preserve">B. </w:t>
      </w:r>
      <w:r w:rsidRPr="006C14FD">
        <w:rPr>
          <w:rFonts w:cs="Times New Roman"/>
        </w:rPr>
        <w:t xml:space="preserve">The results of </w:t>
      </w:r>
      <w:r w:rsidRPr="006C14FD">
        <w:rPr>
          <w:rFonts w:cs="Times New Roman"/>
          <w:i/>
          <w:iCs/>
        </w:rPr>
        <w:t>K</w:t>
      </w:r>
      <w:r w:rsidRPr="006C14FD">
        <w:rPr>
          <w:rFonts w:cs="Times New Roman"/>
        </w:rPr>
        <w:t>-means clustering based on the WCSS indicate that the gut microbiota of patients with CRC can be classified into four distinct subtypes.</w:t>
      </w:r>
      <w:r w:rsidRPr="006C14FD">
        <w:rPr>
          <w:rFonts w:cs="Times New Roman"/>
          <w:b/>
          <w:bCs/>
        </w:rPr>
        <w:t xml:space="preserve"> C.</w:t>
      </w:r>
      <w:r w:rsidRPr="006C14FD">
        <w:rPr>
          <w:rFonts w:cs="Times New Roman"/>
          <w:b/>
          <w:bCs/>
          <w:color w:val="000000" w:themeColor="text1"/>
          <w:shd w:val="clear" w:color="auto" w:fill="FFFFFF"/>
        </w:rPr>
        <w:t xml:space="preserve"> </w:t>
      </w:r>
      <w:r w:rsidRPr="006C14FD">
        <w:rPr>
          <w:rFonts w:cs="Times New Roman"/>
          <w:color w:val="000000" w:themeColor="text1"/>
          <w:shd w:val="clear" w:color="auto" w:fill="FFFFFF"/>
        </w:rPr>
        <w:t xml:space="preserve">The integration of PCA with SHAP values, with CRC probability superimposed. The plotted figures represent case samples from the Validation cohort. </w:t>
      </w:r>
      <w:r w:rsidRPr="006C14FD">
        <w:rPr>
          <w:rFonts w:cs="Times New Roman"/>
          <w:b/>
          <w:bCs/>
          <w:color w:val="000000" w:themeColor="text1"/>
          <w:shd w:val="clear" w:color="auto" w:fill="FFFFFF"/>
        </w:rPr>
        <w:t>D.</w:t>
      </w:r>
      <w:r w:rsidRPr="006C14FD">
        <w:rPr>
          <w:rFonts w:cs="Times New Roman"/>
          <w:color w:val="000000" w:themeColor="text1"/>
          <w:shd w:val="clear" w:color="auto" w:fill="FFFFFF"/>
        </w:rPr>
        <w:t xml:space="preserve"> </w:t>
      </w:r>
      <w:r w:rsidRPr="006C14FD">
        <w:rPr>
          <w:rStyle w:val="Strong"/>
          <w:rFonts w:cs="Times New Roman"/>
          <w:b w:val="0"/>
          <w:bCs w:val="0"/>
          <w:color w:val="0E101A"/>
        </w:rPr>
        <w:t>PCA was performed on SHAP values labeled according to the four different subtypes.</w:t>
      </w:r>
      <w:r w:rsidRPr="006C14FD">
        <w:rPr>
          <w:rFonts w:cs="Times New Roman"/>
          <w:b/>
        </w:rPr>
        <w:t> </w:t>
      </w:r>
      <w:r w:rsidRPr="006C14FD">
        <w:rPr>
          <w:rFonts w:cs="Times New Roman"/>
          <w:bCs/>
        </w:rPr>
        <w:t xml:space="preserve">The case samples from this cohort were effectively clustered into four subtypes using </w:t>
      </w:r>
      <w:r w:rsidRPr="006C14FD">
        <w:rPr>
          <w:rFonts w:cs="Times New Roman"/>
          <w:bCs/>
          <w:i/>
          <w:iCs/>
        </w:rPr>
        <w:t>k</w:t>
      </w:r>
      <w:r w:rsidRPr="006C14FD">
        <w:rPr>
          <w:rFonts w:cs="Times New Roman"/>
          <w:bCs/>
        </w:rPr>
        <w:t>-means clustering (</w:t>
      </w:r>
      <w:r w:rsidRPr="006C14FD">
        <w:rPr>
          <w:rFonts w:cs="Times New Roman"/>
          <w:b/>
        </w:rPr>
        <w:t>Left</w:t>
      </w:r>
      <w:r w:rsidRPr="006C14FD">
        <w:rPr>
          <w:rFonts w:cs="Times New Roman"/>
          <w:bCs/>
        </w:rPr>
        <w:t>). </w:t>
      </w:r>
      <w:r w:rsidRPr="006C14FD">
        <w:rPr>
          <w:rStyle w:val="Strong"/>
          <w:rFonts w:cs="Times New Roman"/>
          <w:b w:val="0"/>
          <w:bCs w:val="0"/>
          <w:color w:val="0E101A"/>
        </w:rPr>
        <w:t>The estimated CRC probabilities by each subtype were calculated using the microbiome as a feature (</w:t>
      </w:r>
      <w:r w:rsidRPr="006C14FD">
        <w:rPr>
          <w:rStyle w:val="Strong"/>
          <w:rFonts w:cs="Times New Roman"/>
          <w:color w:val="0E101A"/>
        </w:rPr>
        <w:t>Right</w:t>
      </w:r>
      <w:r w:rsidRPr="006C14FD">
        <w:rPr>
          <w:rStyle w:val="Strong"/>
          <w:rFonts w:cs="Times New Roman"/>
          <w:b w:val="0"/>
          <w:bCs w:val="0"/>
          <w:color w:val="0E101A"/>
        </w:rPr>
        <w:t>).</w:t>
      </w:r>
      <w:r w:rsidRPr="006C14FD">
        <w:rPr>
          <w:rFonts w:cs="Times New Roman"/>
        </w:rPr>
        <w:t xml:space="preserve"> </w:t>
      </w:r>
      <w:r w:rsidRPr="006C14FD">
        <w:rPr>
          <w:rFonts w:cs="Times New Roman"/>
          <w:kern w:val="0"/>
        </w:rPr>
        <w:t>Subtype 2 was identified as the most accurate in the diagnosis of CRC.</w:t>
      </w:r>
      <w:r w:rsidRPr="006C14FD">
        <w:rPr>
          <w:rFonts w:cs="Times New Roman"/>
          <w:b/>
          <w:bCs/>
          <w:color w:val="000000" w:themeColor="text1"/>
          <w:kern w:val="0"/>
        </w:rPr>
        <w:t xml:space="preserve"> E.</w:t>
      </w:r>
      <w:r w:rsidRPr="006C14FD">
        <w:rPr>
          <w:rFonts w:cs="Times New Roman"/>
          <w:color w:val="000000" w:themeColor="text1"/>
          <w:kern w:val="0"/>
        </w:rPr>
        <w:t xml:space="preserve"> T</w:t>
      </w:r>
      <w:r w:rsidRPr="006C14FD">
        <w:rPr>
          <w:rStyle w:val="Strong"/>
          <w:rFonts w:cs="Times New Roman"/>
          <w:b w:val="0"/>
          <w:bCs w:val="0"/>
          <w:color w:val="0E101A"/>
        </w:rPr>
        <w:t xml:space="preserve">he top 10 most important microbiome traits are identified in each of the four subtypes. In particular, the right panel of </w:t>
      </w:r>
      <w:r w:rsidRPr="006C14FD">
        <w:rPr>
          <w:rFonts w:cs="Times New Roman"/>
          <w:b/>
          <w:bCs/>
        </w:rPr>
        <w:t>Extended Data Figure 2A</w:t>
      </w:r>
      <w:r w:rsidRPr="006C14FD">
        <w:rPr>
          <w:rStyle w:val="Strong"/>
          <w:rFonts w:cs="Times New Roman"/>
          <w:b w:val="0"/>
          <w:bCs w:val="0"/>
          <w:color w:val="0E101A"/>
        </w:rPr>
        <w:t xml:space="preserve"> highlights four globally significant species.</w:t>
      </w:r>
      <w:r w:rsidRPr="006C14FD">
        <w:rPr>
          <w:rFonts w:cs="Times New Roman"/>
        </w:rPr>
        <w:t xml:space="preserve"> The </w:t>
      </w:r>
      <w:r w:rsidRPr="006C14FD">
        <w:rPr>
          <w:rFonts w:cs="Times New Roman"/>
          <w:i/>
          <w:iCs/>
        </w:rPr>
        <w:t>x</w:t>
      </w:r>
      <w:r w:rsidRPr="006C14FD">
        <w:rPr>
          <w:rFonts w:cs="Times New Roman"/>
        </w:rPr>
        <w:t>-axis indicates the mean of the absolute SHAP values.</w:t>
      </w:r>
    </w:p>
    <w:p w14:paraId="3698E643" w14:textId="77777777" w:rsidR="002A1649" w:rsidRPr="006C14FD" w:rsidRDefault="002A1649" w:rsidP="002A1649">
      <w:pPr>
        <w:spacing w:line="360" w:lineRule="auto"/>
        <w:rPr>
          <w:rFonts w:cs="Times New Roman"/>
        </w:rPr>
      </w:pPr>
    </w:p>
    <w:p w14:paraId="22C663A5" w14:textId="77777777" w:rsidR="002A1649" w:rsidRPr="006C14FD" w:rsidRDefault="002A1649" w:rsidP="002A1649">
      <w:pPr>
        <w:spacing w:line="360" w:lineRule="auto"/>
        <w:rPr>
          <w:rFonts w:cs="Times New Roman"/>
        </w:rPr>
      </w:pPr>
      <w:r w:rsidRPr="006C14FD">
        <w:rPr>
          <w:rFonts w:eastAsia="Yu Mincho" w:cs="Times New Roman"/>
          <w:b/>
          <w:bCs/>
        </w:rPr>
        <w:lastRenderedPageBreak/>
        <w:t>Extended Data Figure 3.</w:t>
      </w:r>
      <w:r w:rsidRPr="006C14FD">
        <w:rPr>
          <w:rFonts w:eastAsia="Yu Mincho" w:cs="Times New Roman"/>
        </w:rPr>
        <w:t xml:space="preserve"> </w:t>
      </w:r>
      <w:r w:rsidRPr="006C14FD">
        <w:rPr>
          <w:rStyle w:val="Strong"/>
          <w:rFonts w:cs="Times New Roman"/>
          <w:color w:val="0E101A"/>
        </w:rPr>
        <w:t xml:space="preserve">Comparison of the ratio of non-human </w:t>
      </w:r>
      <w:r w:rsidRPr="006C14FD">
        <w:rPr>
          <w:rFonts w:cs="Times New Roman"/>
          <w:b/>
          <w:bCs/>
        </w:rPr>
        <w:t>bacteria</w:t>
      </w:r>
      <w:r w:rsidRPr="006C14FD">
        <w:rPr>
          <w:rStyle w:val="Strong"/>
          <w:rFonts w:cs="Times New Roman"/>
          <w:color w:val="0E101A"/>
        </w:rPr>
        <w:t xml:space="preserve"> reads between the subtypes based on gut microbiota.</w:t>
      </w:r>
    </w:p>
    <w:p w14:paraId="2FE97979"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color w:val="0E101A"/>
        </w:rPr>
        <w:t xml:space="preserve">The subtypes exhibited a significant disparity in the ratio of non-human </w:t>
      </w:r>
      <w:r w:rsidRPr="006C14FD">
        <w:rPr>
          <w:rFonts w:ascii="Times New Roman" w:hAnsi="Times New Roman" w:cs="Times New Roman"/>
        </w:rPr>
        <w:t>bacteria</w:t>
      </w:r>
      <w:r w:rsidRPr="006C14FD">
        <w:rPr>
          <w:rFonts w:ascii="Times New Roman" w:hAnsi="Times New Roman" w:cs="Times New Roman"/>
          <w:color w:val="0E101A"/>
        </w:rPr>
        <w:t xml:space="preserve"> reads (</w:t>
      </w:r>
      <w:r w:rsidRPr="006C14FD">
        <w:rPr>
          <w:rFonts w:ascii="Times New Roman" w:hAnsi="Times New Roman" w:cs="Times New Roman"/>
          <w:i/>
          <w:iCs/>
          <w:color w:val="0E101A"/>
        </w:rPr>
        <w:t>P</w:t>
      </w:r>
      <w:r w:rsidRPr="006C14FD">
        <w:rPr>
          <w:rFonts w:ascii="Times New Roman" w:hAnsi="Times New Roman" w:cs="Times New Roman"/>
          <w:color w:val="0E101A"/>
        </w:rPr>
        <w:t xml:space="preserve"> = 0.00066). Subtype 1 had a reduced percentage of non-human sequence reads (</w:t>
      </w:r>
      <w:r w:rsidRPr="006C14FD">
        <w:rPr>
          <w:rFonts w:ascii="Times New Roman" w:hAnsi="Times New Roman" w:cs="Times New Roman"/>
          <w:i/>
          <w:iCs/>
          <w:color w:val="0E101A"/>
        </w:rPr>
        <w:t>P</w:t>
      </w:r>
      <w:r w:rsidRPr="006C14FD">
        <w:rPr>
          <w:rFonts w:ascii="Times New Roman" w:hAnsi="Times New Roman" w:cs="Times New Roman"/>
          <w:color w:val="0E101A"/>
        </w:rPr>
        <w:t xml:space="preserve"> = 0.0035), whereas subtype 2 showed a considerable elevation (</w:t>
      </w:r>
      <w:r w:rsidRPr="006C14FD">
        <w:rPr>
          <w:rFonts w:ascii="Times New Roman" w:hAnsi="Times New Roman" w:cs="Times New Roman"/>
          <w:i/>
          <w:iCs/>
          <w:color w:val="0E101A"/>
        </w:rPr>
        <w:t>P</w:t>
      </w:r>
      <w:r w:rsidRPr="006C14FD">
        <w:rPr>
          <w:rFonts w:ascii="Times New Roman" w:hAnsi="Times New Roman" w:cs="Times New Roman"/>
          <w:color w:val="0E101A"/>
        </w:rPr>
        <w:t xml:space="preserve"> = 4.1 </w:t>
      </w:r>
      <w:r w:rsidRPr="006C14FD">
        <w:rPr>
          <w:rFonts w:ascii="Times New Roman" w:hAnsi="Times New Roman" w:cs="Times New Roman"/>
          <w:color w:val="000000" w:themeColor="text1"/>
        </w:rPr>
        <w:t>× 10</w:t>
      </w:r>
      <w:r w:rsidRPr="006C14FD">
        <w:rPr>
          <w:rFonts w:ascii="Times New Roman" w:hAnsi="Times New Roman" w:cs="Times New Roman"/>
          <w:color w:val="000000" w:themeColor="text1"/>
          <w:vertAlign w:val="superscript"/>
        </w:rPr>
        <w:t>-5</w:t>
      </w:r>
      <w:r w:rsidRPr="006C14FD">
        <w:rPr>
          <w:rFonts w:ascii="Times New Roman" w:hAnsi="Times New Roman" w:cs="Times New Roman"/>
          <w:color w:val="0E101A"/>
        </w:rPr>
        <w:t>) compared to the other subtypes.</w:t>
      </w:r>
    </w:p>
    <w:p w14:paraId="2AE5EA34" w14:textId="77777777" w:rsidR="002A1649" w:rsidRPr="006C14FD" w:rsidRDefault="002A1649" w:rsidP="002A1649">
      <w:pPr>
        <w:spacing w:line="360" w:lineRule="auto"/>
        <w:rPr>
          <w:rFonts w:eastAsia="Yu Mincho" w:cs="Times New Roman"/>
          <w:b/>
          <w:bCs/>
        </w:rPr>
      </w:pPr>
    </w:p>
    <w:p w14:paraId="51569F29"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b/>
          <w:bCs/>
          <w:szCs w:val="32"/>
        </w:rPr>
        <w:t>Extended Data Figure 4</w:t>
      </w:r>
      <w:r w:rsidRPr="006C14FD">
        <w:rPr>
          <w:rFonts w:ascii="Times New Roman" w:hAnsi="Times New Roman" w:cs="Times New Roman"/>
          <w:szCs w:val="32"/>
        </w:rPr>
        <w:t>.</w:t>
      </w:r>
      <w:r w:rsidRPr="006C14FD">
        <w:rPr>
          <w:rStyle w:val="BalloonTextChar"/>
          <w:rFonts w:ascii="Times New Roman" w:cs="Times New Roman"/>
          <w:color w:val="0E101A"/>
        </w:rPr>
        <w:t xml:space="preserve"> </w:t>
      </w:r>
      <w:r w:rsidRPr="006C14FD">
        <w:rPr>
          <w:rStyle w:val="Strong"/>
          <w:rFonts w:ascii="Times New Roman" w:hAnsi="Times New Roman" w:cs="Times New Roman"/>
          <w:color w:val="0E101A"/>
        </w:rPr>
        <w:t>Association between microbiota-based subtypes of colorectal cancer and the quantity of chromosomal amplifications.</w:t>
      </w:r>
    </w:p>
    <w:p w14:paraId="0324D2AC"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rPr>
      </w:pPr>
      <w:r w:rsidRPr="006C14FD">
        <w:rPr>
          <w:rFonts w:ascii="Times New Roman" w:hAnsi="Times New Roman" w:cs="Times New Roman"/>
          <w:color w:val="0E101A"/>
        </w:rPr>
        <w:t>Subtype 1 exhibits a notably higher frequency of gene amplifications compared to other subgroups (</w:t>
      </w:r>
      <w:r w:rsidRPr="006C14FD">
        <w:rPr>
          <w:rFonts w:ascii="Times New Roman" w:hAnsi="Times New Roman" w:cs="Times New Roman"/>
          <w:i/>
          <w:iCs/>
          <w:color w:val="0E101A"/>
        </w:rPr>
        <w:t>P</w:t>
      </w:r>
      <w:r w:rsidRPr="006C14FD">
        <w:rPr>
          <w:rFonts w:ascii="Times New Roman" w:hAnsi="Times New Roman" w:cs="Times New Roman"/>
          <w:color w:val="0E101A"/>
        </w:rPr>
        <w:t xml:space="preserve"> = 0.037).</w:t>
      </w:r>
    </w:p>
    <w:p w14:paraId="36B2BDBE"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p>
    <w:p w14:paraId="0225F0C8"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b/>
          <w:bCs/>
          <w:color w:val="0E101A"/>
        </w:rPr>
      </w:pPr>
      <w:r w:rsidRPr="006C14FD">
        <w:rPr>
          <w:rFonts w:ascii="Times New Roman" w:hAnsi="Times New Roman" w:cs="Times New Roman"/>
          <w:b/>
          <w:bCs/>
          <w:szCs w:val="32"/>
        </w:rPr>
        <w:t>Extended Data Figure 5</w:t>
      </w:r>
      <w:r w:rsidRPr="006C14FD">
        <w:rPr>
          <w:rStyle w:val="Strong"/>
          <w:rFonts w:ascii="Times New Roman" w:hAnsi="Times New Roman" w:cs="Times New Roman"/>
          <w:color w:val="0E101A"/>
        </w:rPr>
        <w:t>. The decomposition of single base substitution (SBS) mutational signatures from 138 CRC cases in the Japanese population.</w:t>
      </w:r>
    </w:p>
    <w:p w14:paraId="0492C91B"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b/>
          <w:bCs/>
          <w:color w:val="0E101A"/>
        </w:rPr>
      </w:pPr>
      <w:r w:rsidRPr="006C14FD">
        <w:rPr>
          <w:rFonts w:ascii="Times New Roman" w:hAnsi="Times New Roman" w:cs="Times New Roman"/>
          <w:b/>
          <w:bCs/>
          <w:color w:val="0E101A"/>
        </w:rPr>
        <w:t>A.</w:t>
      </w:r>
      <w:r w:rsidRPr="006C14FD">
        <w:rPr>
          <w:rFonts w:ascii="Times New Roman" w:hAnsi="Times New Roman" w:cs="Times New Roman"/>
          <w:color w:val="0E101A"/>
        </w:rPr>
        <w:t xml:space="preserve"> Non-negative matrix factorization was utilized with automated rank selection. This process involved determining the optimal number of de-novo signatures to decompose. The blue line represents the average stability (AS), the red line represents the mean sample cosine distance (MSCD), and the gray bar represents the preferred solution, which maximizes the tradeoff between MSCD and AS. </w:t>
      </w:r>
      <w:r w:rsidRPr="006C14FD">
        <w:rPr>
          <w:rFonts w:ascii="Times New Roman" w:hAnsi="Times New Roman" w:cs="Times New Roman"/>
          <w:b/>
          <w:bCs/>
          <w:color w:val="0E101A"/>
        </w:rPr>
        <w:t xml:space="preserve">B. </w:t>
      </w:r>
    </w:p>
    <w:p w14:paraId="0E39B6E1" w14:textId="77777777" w:rsidR="002A1649" w:rsidRPr="006C14FD" w:rsidRDefault="002A1649" w:rsidP="002A1649">
      <w:pPr>
        <w:spacing w:line="360" w:lineRule="auto"/>
        <w:rPr>
          <w:rFonts w:cs="Times New Roman"/>
          <w:color w:val="0E101A"/>
        </w:rPr>
      </w:pPr>
      <w:r w:rsidRPr="006C14FD">
        <w:rPr>
          <w:rFonts w:cs="Times New Roman"/>
          <w:color w:val="0E101A"/>
        </w:rPr>
        <w:t xml:space="preserve">The decomposed signatures are fitted into the COSMIC SBS signatures. The 16 mutational signatures identified include SBS88, known as the colibactin signature. Notably, two unique signatures (referred to as Novel 1 and 2, similar to SBS9 and SBS40b, respectively) were also detected. </w:t>
      </w:r>
      <w:r w:rsidRPr="006C14FD">
        <w:rPr>
          <w:rFonts w:cs="Times New Roman"/>
          <w:b/>
          <w:bCs/>
          <w:color w:val="0E101A"/>
        </w:rPr>
        <w:t xml:space="preserve">C. </w:t>
      </w:r>
      <w:r w:rsidRPr="006C14FD">
        <w:rPr>
          <w:rFonts w:cs="Times New Roman"/>
          <w:color w:val="0E101A"/>
        </w:rPr>
        <w:t>The presence of COSMIC SBS signatures in CRC cases. The ratio of SBS signatures is illustrated in the top panel, with the number for each case displayed in the bottom panel. The ordering of CRC cases is determined from left to right based on the percentage of SBS88.</w:t>
      </w:r>
    </w:p>
    <w:p w14:paraId="57298455"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p>
    <w:p w14:paraId="6EC6A115"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Style w:val="Strong"/>
          <w:rFonts w:ascii="Times New Roman" w:hAnsi="Times New Roman" w:cs="Times New Roman"/>
          <w:color w:val="0E101A"/>
        </w:rPr>
        <w:t>Extended Data Figure 6. Identification of mutational signatures of short insertions and deletions (ID) in 138 CRC cases among the Japanese population.</w:t>
      </w:r>
    </w:p>
    <w:p w14:paraId="551E8FE0"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Style w:val="Strong"/>
          <w:rFonts w:ascii="Times New Roman" w:hAnsi="Times New Roman" w:cs="Times New Roman"/>
          <w:color w:val="0E101A"/>
        </w:rPr>
        <w:t>A.</w:t>
      </w:r>
      <w:r w:rsidRPr="006C14FD">
        <w:rPr>
          <w:rStyle w:val="Strong"/>
          <w:rFonts w:ascii="Times New Roman" w:hAnsi="Times New Roman" w:cs="Times New Roman"/>
          <w:b w:val="0"/>
          <w:bCs w:val="0"/>
          <w:color w:val="0E101A"/>
        </w:rPr>
        <w:t xml:space="preserve"> The utilization of non-negative matrix factorization involves the implementation of automated rank selection.</w:t>
      </w:r>
      <w:r w:rsidRPr="006C14FD">
        <w:rPr>
          <w:rFonts w:ascii="Times New Roman" w:hAnsi="Times New Roman" w:cs="Times New Roman"/>
          <w:color w:val="0E101A"/>
        </w:rPr>
        <w:t xml:space="preserve"> The process requires determining the optimum number of de-novo signatures to be decomposed. The resolution led to the acquisition of five ID signatures. </w:t>
      </w:r>
      <w:r w:rsidRPr="006C14FD">
        <w:rPr>
          <w:rStyle w:val="Strong"/>
          <w:rFonts w:ascii="Times New Roman" w:hAnsi="Times New Roman" w:cs="Times New Roman"/>
          <w:color w:val="0E101A"/>
        </w:rPr>
        <w:t xml:space="preserve">B. </w:t>
      </w:r>
      <w:r w:rsidRPr="006C14FD">
        <w:rPr>
          <w:rStyle w:val="Strong"/>
          <w:rFonts w:ascii="Times New Roman" w:hAnsi="Times New Roman" w:cs="Times New Roman"/>
          <w:b w:val="0"/>
          <w:bCs w:val="0"/>
          <w:color w:val="0E101A"/>
        </w:rPr>
        <w:t>The decomposed signatures consist of COSMIC ID signatures.</w:t>
      </w:r>
      <w:r w:rsidRPr="006C14FD">
        <w:rPr>
          <w:rFonts w:ascii="Times New Roman" w:hAnsi="Times New Roman" w:cs="Times New Roman"/>
          <w:color w:val="0E101A"/>
        </w:rPr>
        <w:t xml:space="preserve"> Among the five mutational signatures identified, the </w:t>
      </w:r>
      <w:r w:rsidRPr="006C14FD">
        <w:rPr>
          <w:rFonts w:ascii="Times New Roman" w:hAnsi="Times New Roman" w:cs="Times New Roman"/>
          <w:color w:val="0E101A"/>
        </w:rPr>
        <w:lastRenderedPageBreak/>
        <w:t xml:space="preserve">detection of ID18, commonly known as the colibactin signature, was confirmed. </w:t>
      </w:r>
      <w:r w:rsidRPr="006C14FD">
        <w:rPr>
          <w:rStyle w:val="Strong"/>
          <w:rFonts w:ascii="Times New Roman" w:hAnsi="Times New Roman" w:cs="Times New Roman"/>
          <w:color w:val="0E101A"/>
        </w:rPr>
        <w:t xml:space="preserve">C. </w:t>
      </w:r>
      <w:r w:rsidRPr="006C14FD">
        <w:rPr>
          <w:rStyle w:val="Strong"/>
          <w:rFonts w:ascii="Times New Roman" w:hAnsi="Times New Roman" w:cs="Times New Roman"/>
          <w:b w:val="0"/>
          <w:bCs w:val="0"/>
          <w:color w:val="0E101A"/>
        </w:rPr>
        <w:t>T</w:t>
      </w:r>
      <w:r w:rsidRPr="006C14FD">
        <w:rPr>
          <w:rFonts w:ascii="Times New Roman" w:hAnsi="Times New Roman" w:cs="Times New Roman"/>
          <w:color w:val="0E101A"/>
        </w:rPr>
        <w:t xml:space="preserve">he top panel represents the COSMIC ID signatures ratio of the CRC patients, while the bottom panel displays the corresponding numbers for each case. The CRC </w:t>
      </w:r>
      <w:r w:rsidRPr="006C14FD">
        <w:rPr>
          <w:rStyle w:val="Strong"/>
          <w:rFonts w:ascii="Times New Roman" w:hAnsi="Times New Roman" w:cs="Times New Roman"/>
          <w:b w:val="0"/>
          <w:bCs w:val="0"/>
          <w:color w:val="0E101A"/>
        </w:rPr>
        <w:t>patients</w:t>
      </w:r>
      <w:r w:rsidRPr="006C14FD">
        <w:rPr>
          <w:rFonts w:ascii="Times New Roman" w:hAnsi="Times New Roman" w:cs="Times New Roman"/>
          <w:color w:val="0E101A"/>
        </w:rPr>
        <w:t xml:space="preserve"> are ordered from left to right based on the percentage of ID18.</w:t>
      </w:r>
    </w:p>
    <w:p w14:paraId="108257EC" w14:textId="77777777" w:rsidR="002A1649" w:rsidRPr="006C14FD" w:rsidRDefault="002A1649" w:rsidP="002A1649">
      <w:pPr>
        <w:spacing w:line="360" w:lineRule="auto"/>
        <w:rPr>
          <w:rFonts w:cs="Times New Roman"/>
          <w:szCs w:val="32"/>
        </w:rPr>
      </w:pPr>
    </w:p>
    <w:p w14:paraId="7373C083"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b/>
          <w:bCs/>
        </w:rPr>
        <w:t>Extended Data Figure 7.</w:t>
      </w:r>
      <w:r w:rsidRPr="006C14FD">
        <w:rPr>
          <w:rStyle w:val="BalloonTextChar"/>
          <w:rFonts w:ascii="Times New Roman" w:cs="Times New Roman"/>
          <w:color w:val="0E101A"/>
        </w:rPr>
        <w:t xml:space="preserve"> </w:t>
      </w:r>
      <w:r w:rsidRPr="006C14FD">
        <w:rPr>
          <w:rStyle w:val="Strong"/>
          <w:rFonts w:ascii="Times New Roman" w:hAnsi="Times New Roman" w:cs="Times New Roman"/>
          <w:color w:val="0E101A"/>
        </w:rPr>
        <w:t>Correlation between the copy number of the colibactin gene cluster in stool and the colibactin-associated mutation signature.</w:t>
      </w:r>
    </w:p>
    <w:p w14:paraId="3AAD623E"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b/>
          <w:bCs/>
          <w:color w:val="0E101A"/>
        </w:rPr>
        <w:t>A.</w:t>
      </w:r>
      <w:r w:rsidRPr="006C14FD">
        <w:rPr>
          <w:rFonts w:ascii="Times New Roman" w:hAnsi="Times New Roman" w:cs="Times New Roman"/>
          <w:color w:val="0E101A"/>
        </w:rPr>
        <w:t xml:space="preserve"> The yellow cells in the top two rows indicate the proportion of colibactin signatures SBS88 and ID18 in CRC patients. The third row (red) shows the average copy number of the colibactin genes. The fourth and subsequent rows display the relative abundance of the copy number of each colibactin gene in this dataset. The prevalence of the colibactin genes in fecal samples was determined by analyzing the whole metagenome sequence. Individual patients are represented on the horizontal axis and are ordered from left to right according to the abundance of the </w:t>
      </w:r>
      <w:r w:rsidRPr="006C14FD">
        <w:rPr>
          <w:rFonts w:ascii="Times New Roman" w:hAnsi="Times New Roman" w:cs="Times New Roman"/>
          <w:i/>
          <w:iCs/>
          <w:color w:val="0E101A"/>
        </w:rPr>
        <w:t>clb</w:t>
      </w:r>
      <w:r w:rsidRPr="006C14FD">
        <w:rPr>
          <w:rFonts w:ascii="Times New Roman" w:hAnsi="Times New Roman" w:cs="Times New Roman"/>
          <w:color w:val="0E101A"/>
        </w:rPr>
        <w:t xml:space="preserve"> gene cluster in </w:t>
      </w:r>
      <w:r w:rsidRPr="006C14FD">
        <w:rPr>
          <w:rFonts w:ascii="Times New Roman" w:hAnsi="Times New Roman" w:cs="Times New Roman"/>
        </w:rPr>
        <w:t>WGMS</w:t>
      </w:r>
      <w:r w:rsidRPr="006C14FD">
        <w:rPr>
          <w:rFonts w:ascii="Times New Roman" w:hAnsi="Times New Roman" w:cs="Times New Roman"/>
          <w:color w:val="0E101A"/>
        </w:rPr>
        <w:t xml:space="preserve">. </w:t>
      </w:r>
      <w:r w:rsidRPr="006C14FD">
        <w:rPr>
          <w:rFonts w:ascii="Times New Roman" w:hAnsi="Times New Roman" w:cs="Times New Roman"/>
          <w:b/>
          <w:bCs/>
          <w:color w:val="0E101A"/>
        </w:rPr>
        <w:t>B.</w:t>
      </w:r>
      <w:r w:rsidRPr="006C14FD">
        <w:rPr>
          <w:rFonts w:ascii="Times New Roman" w:hAnsi="Times New Roman" w:cs="Times New Roman"/>
          <w:color w:val="0E101A"/>
        </w:rPr>
        <w:t xml:space="preserve"> The correlation between the average copy number of the colibactin gene cluster in fecal samples, as estimated from </w:t>
      </w:r>
      <w:r w:rsidRPr="006C14FD">
        <w:rPr>
          <w:rFonts w:ascii="Times New Roman" w:hAnsi="Times New Roman" w:cs="Times New Roman"/>
        </w:rPr>
        <w:t>WGMS</w:t>
      </w:r>
      <w:r w:rsidRPr="006C14FD">
        <w:rPr>
          <w:rFonts w:ascii="Times New Roman" w:hAnsi="Times New Roman" w:cs="Times New Roman"/>
          <w:color w:val="0E101A"/>
        </w:rPr>
        <w:t xml:space="preserve">, and the contribution of SBS88. The correlation coefficient was 0.1127. </w:t>
      </w:r>
      <w:r w:rsidRPr="006C14FD">
        <w:rPr>
          <w:rFonts w:ascii="Times New Roman" w:hAnsi="Times New Roman" w:cs="Times New Roman"/>
          <w:b/>
          <w:bCs/>
          <w:color w:val="0E101A"/>
        </w:rPr>
        <w:t>C.</w:t>
      </w:r>
      <w:r w:rsidRPr="006C14FD">
        <w:rPr>
          <w:rFonts w:ascii="Times New Roman" w:hAnsi="Times New Roman" w:cs="Times New Roman"/>
          <w:color w:val="0E101A"/>
        </w:rPr>
        <w:t xml:space="preserve"> The correlation between the copy number of the colibactin gene, </w:t>
      </w:r>
      <w:r w:rsidRPr="006C14FD">
        <w:rPr>
          <w:rFonts w:ascii="Times New Roman" w:hAnsi="Times New Roman" w:cs="Times New Roman"/>
          <w:i/>
          <w:iCs/>
          <w:color w:val="0E101A"/>
        </w:rPr>
        <w:t>clbP</w:t>
      </w:r>
      <w:r w:rsidRPr="006C14FD">
        <w:rPr>
          <w:rFonts w:ascii="Times New Roman" w:hAnsi="Times New Roman" w:cs="Times New Roman"/>
          <w:color w:val="0E101A"/>
        </w:rPr>
        <w:t xml:space="preserve">, in fecal samples, as estimated by quantitative polymerase chain reaction (qPCR), and the contribution of SBS88. The correlation coefficient was -0.1131. </w:t>
      </w:r>
      <w:r w:rsidRPr="006C14FD">
        <w:rPr>
          <w:rFonts w:ascii="Times New Roman" w:hAnsi="Times New Roman" w:cs="Times New Roman"/>
          <w:b/>
          <w:bCs/>
          <w:color w:val="0E101A"/>
        </w:rPr>
        <w:t>D.</w:t>
      </w:r>
      <w:r w:rsidRPr="006C14FD">
        <w:rPr>
          <w:rFonts w:ascii="Times New Roman" w:hAnsi="Times New Roman" w:cs="Times New Roman"/>
          <w:color w:val="0E101A"/>
        </w:rPr>
        <w:t xml:space="preserve"> The high correlation coefficient (0.9775) between the copy number of the colibactin gene (i.e., </w:t>
      </w:r>
      <w:r w:rsidRPr="006C14FD">
        <w:rPr>
          <w:rFonts w:ascii="Times New Roman" w:hAnsi="Times New Roman" w:cs="Times New Roman"/>
          <w:i/>
          <w:iCs/>
          <w:color w:val="0E101A"/>
        </w:rPr>
        <w:t>clbP</w:t>
      </w:r>
      <w:r w:rsidRPr="006C14FD">
        <w:rPr>
          <w:rFonts w:ascii="Times New Roman" w:hAnsi="Times New Roman" w:cs="Times New Roman"/>
          <w:color w:val="0E101A"/>
        </w:rPr>
        <w:t>) in fecal samples estimated through qPCR and that estimated through WGMS strongly supports the validity of our research methodology.</w:t>
      </w:r>
    </w:p>
    <w:p w14:paraId="289EB9B8" w14:textId="77777777" w:rsidR="002A1649" w:rsidRPr="006C14FD" w:rsidRDefault="002A1649" w:rsidP="002A1649">
      <w:pPr>
        <w:spacing w:line="360" w:lineRule="auto"/>
        <w:rPr>
          <w:rFonts w:cs="Times New Roman"/>
          <w:szCs w:val="32"/>
        </w:rPr>
      </w:pPr>
    </w:p>
    <w:p w14:paraId="6C478F79"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Style w:val="Strong"/>
          <w:rFonts w:ascii="Times New Roman" w:hAnsi="Times New Roman" w:cs="Times New Roman"/>
          <w:color w:val="0E101A"/>
        </w:rPr>
        <w:t>Extended Data Figure 8.</w:t>
      </w:r>
      <w:r w:rsidRPr="006C14FD">
        <w:rPr>
          <w:rFonts w:ascii="Times New Roman" w:hAnsi="Times New Roman" w:cs="Times New Roman"/>
          <w:color w:val="0E101A"/>
        </w:rPr>
        <w:t xml:space="preserve"> </w:t>
      </w:r>
      <w:r w:rsidRPr="006C14FD">
        <w:rPr>
          <w:rStyle w:val="Strong"/>
          <w:rFonts w:ascii="Times New Roman" w:hAnsi="Times New Roman" w:cs="Times New Roman"/>
          <w:color w:val="0E101A"/>
        </w:rPr>
        <w:t xml:space="preserve">Relationship between copy number of the colibactin gene (i.e., </w:t>
      </w:r>
      <w:r w:rsidRPr="006C14FD">
        <w:rPr>
          <w:rStyle w:val="Strong"/>
          <w:rFonts w:ascii="Times New Roman" w:hAnsi="Times New Roman" w:cs="Times New Roman"/>
          <w:i/>
          <w:iCs/>
          <w:color w:val="0E101A"/>
        </w:rPr>
        <w:t>clbP</w:t>
      </w:r>
      <w:r w:rsidRPr="006C14FD">
        <w:rPr>
          <w:rStyle w:val="Strong"/>
          <w:rFonts w:ascii="Times New Roman" w:hAnsi="Times New Roman" w:cs="Times New Roman"/>
          <w:color w:val="0E101A"/>
        </w:rPr>
        <w:t xml:space="preserve">) in tumor tissue and the contribution of the colibactin-associated mutation signature. </w:t>
      </w:r>
    </w:p>
    <w:p w14:paraId="105807AD"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b/>
          <w:bCs/>
          <w:color w:val="0E101A"/>
        </w:rPr>
        <w:t>A.</w:t>
      </w:r>
      <w:r w:rsidRPr="006C14FD">
        <w:rPr>
          <w:rFonts w:ascii="Times New Roman" w:hAnsi="Times New Roman" w:cs="Times New Roman"/>
          <w:color w:val="0E101A"/>
        </w:rPr>
        <w:t xml:space="preserve"> Using qPCR, the copy number of the colibactin gene, </w:t>
      </w:r>
      <w:r w:rsidRPr="006C14FD">
        <w:rPr>
          <w:rFonts w:ascii="Times New Roman" w:hAnsi="Times New Roman" w:cs="Times New Roman"/>
          <w:i/>
          <w:iCs/>
          <w:color w:val="0E101A"/>
        </w:rPr>
        <w:t>clbP</w:t>
      </w:r>
      <w:r w:rsidRPr="006C14FD">
        <w:rPr>
          <w:rFonts w:ascii="Times New Roman" w:hAnsi="Times New Roman" w:cs="Times New Roman"/>
          <w:color w:val="0E101A"/>
        </w:rPr>
        <w:t xml:space="preserve">, in tumor samples was measured and compared to the estimated copy number in fecal samples. The correlation coefficient was -0.0157. </w:t>
      </w:r>
      <w:r w:rsidRPr="006C14FD">
        <w:rPr>
          <w:rFonts w:ascii="Times New Roman" w:hAnsi="Times New Roman" w:cs="Times New Roman"/>
          <w:b/>
          <w:bCs/>
          <w:color w:val="0E101A"/>
        </w:rPr>
        <w:t xml:space="preserve">B. </w:t>
      </w:r>
      <w:r w:rsidRPr="006C14FD">
        <w:rPr>
          <w:rFonts w:ascii="Times New Roman" w:hAnsi="Times New Roman" w:cs="Times New Roman"/>
          <w:color w:val="0E101A"/>
        </w:rPr>
        <w:t>The correlation between the copy number of the colibactin gene cluster in fecal samples (determined through WGMS) and the copy number in tumor samples (determined through qPCR) is illustrated as a scatter plot. The correlation coefficient was -0.01.</w:t>
      </w:r>
      <w:r w:rsidRPr="006C14FD">
        <w:rPr>
          <w:rFonts w:ascii="Times New Roman" w:hAnsi="Times New Roman" w:cs="Times New Roman"/>
          <w:b/>
          <w:color w:val="0E101A"/>
        </w:rPr>
        <w:t xml:space="preserve"> C</w:t>
      </w:r>
      <w:r w:rsidRPr="006C14FD">
        <w:rPr>
          <w:rFonts w:ascii="Times New Roman" w:hAnsi="Times New Roman" w:cs="Times New Roman"/>
          <w:color w:val="0E101A"/>
        </w:rPr>
        <w:t xml:space="preserve"> A higher copy number (&gt; 4.2 </w:t>
      </w:r>
      <w:r w:rsidRPr="006C14FD">
        <w:rPr>
          <w:rFonts w:ascii="Times New Roman" w:hAnsi="Times New Roman" w:cs="Times New Roman"/>
          <w:color w:val="000000" w:themeColor="text1"/>
        </w:rPr>
        <w:t>× 10</w:t>
      </w:r>
      <w:r w:rsidRPr="006C14FD">
        <w:rPr>
          <w:rFonts w:ascii="Times New Roman" w:hAnsi="Times New Roman" w:cs="Times New Roman"/>
          <w:color w:val="000000" w:themeColor="text1"/>
          <w:vertAlign w:val="superscript"/>
        </w:rPr>
        <w:t>4</w:t>
      </w:r>
      <w:r w:rsidRPr="006C14FD">
        <w:rPr>
          <w:rFonts w:ascii="Times New Roman" w:hAnsi="Times New Roman" w:cs="Times New Roman"/>
          <w:color w:val="0E101A"/>
        </w:rPr>
        <w:t xml:space="preserve">) of the </w:t>
      </w:r>
      <w:r w:rsidRPr="006C14FD">
        <w:rPr>
          <w:rFonts w:ascii="Times New Roman" w:hAnsi="Times New Roman" w:cs="Times New Roman"/>
          <w:i/>
          <w:iCs/>
          <w:color w:val="0E101A"/>
        </w:rPr>
        <w:t>clbP</w:t>
      </w:r>
      <w:r w:rsidRPr="006C14FD">
        <w:rPr>
          <w:rFonts w:ascii="Times New Roman" w:hAnsi="Times New Roman" w:cs="Times New Roman"/>
          <w:color w:val="0E101A"/>
        </w:rPr>
        <w:t xml:space="preserve"> gene was associated with a greater contribution of SBS88 (</w:t>
      </w:r>
      <w:r w:rsidRPr="006C14FD">
        <w:rPr>
          <w:rFonts w:ascii="Times New Roman" w:hAnsi="Times New Roman" w:cs="Times New Roman"/>
          <w:b/>
          <w:bCs/>
          <w:color w:val="0E101A"/>
        </w:rPr>
        <w:t>left panel</w:t>
      </w:r>
      <w:r w:rsidRPr="006C14FD">
        <w:rPr>
          <w:rFonts w:ascii="Times New Roman" w:hAnsi="Times New Roman" w:cs="Times New Roman"/>
          <w:color w:val="0E101A"/>
        </w:rPr>
        <w:t>) and ID18 (</w:t>
      </w:r>
      <w:r w:rsidRPr="006C14FD">
        <w:rPr>
          <w:rFonts w:ascii="Times New Roman" w:hAnsi="Times New Roman" w:cs="Times New Roman"/>
          <w:b/>
          <w:bCs/>
          <w:color w:val="0E101A"/>
        </w:rPr>
        <w:t>right panel</w:t>
      </w:r>
      <w:r w:rsidRPr="006C14FD">
        <w:rPr>
          <w:rFonts w:ascii="Times New Roman" w:hAnsi="Times New Roman" w:cs="Times New Roman"/>
          <w:color w:val="0E101A"/>
        </w:rPr>
        <w:t>) when compared to cases with a lower copy number (</w:t>
      </w:r>
      <w:r w:rsidRPr="006C14FD">
        <w:rPr>
          <w:rFonts w:ascii="Times New Roman" w:hAnsi="Times New Roman" w:cs="Times New Roman"/>
          <w:i/>
          <w:iCs/>
          <w:color w:val="0E101A"/>
        </w:rPr>
        <w:t>P</w:t>
      </w:r>
      <w:r w:rsidRPr="006C14FD">
        <w:rPr>
          <w:rFonts w:ascii="Times New Roman" w:hAnsi="Times New Roman" w:cs="Times New Roman"/>
          <w:color w:val="0E101A"/>
        </w:rPr>
        <w:t xml:space="preserve"> = 0.010 and 0.0064, </w:t>
      </w:r>
      <w:r w:rsidRPr="006C14FD">
        <w:rPr>
          <w:rFonts w:ascii="Times New Roman" w:hAnsi="Times New Roman" w:cs="Times New Roman"/>
          <w:color w:val="0E101A"/>
        </w:rPr>
        <w:lastRenderedPageBreak/>
        <w:t>respectively, Wilcoxon rank sum test). The presence of low</w:t>
      </w:r>
      <w:r w:rsidRPr="006C14FD">
        <w:rPr>
          <w:rFonts w:ascii="Times New Roman" w:hAnsi="Times New Roman" w:cs="Times New Roman"/>
          <w:i/>
          <w:iCs/>
          <w:color w:val="0E101A"/>
        </w:rPr>
        <w:t xml:space="preserve"> clbP</w:t>
      </w:r>
      <w:r w:rsidRPr="006C14FD">
        <w:rPr>
          <w:rFonts w:ascii="Times New Roman" w:hAnsi="Times New Roman" w:cs="Times New Roman"/>
          <w:color w:val="0E101A"/>
        </w:rPr>
        <w:t xml:space="preserve"> gene levels in tissue accompanied by a high colibactin-related mutational signature might indicate either past exposure to significant colibactin levels or the existence of intratumor heterogeneity. </w:t>
      </w:r>
      <w:r w:rsidRPr="006C14FD">
        <w:rPr>
          <w:rFonts w:ascii="Times New Roman" w:hAnsi="Times New Roman" w:cs="Times New Roman"/>
          <w:b/>
          <w:bCs/>
          <w:color w:val="0E101A"/>
        </w:rPr>
        <w:t>D.</w:t>
      </w:r>
      <w:r w:rsidRPr="006C14FD">
        <w:rPr>
          <w:rFonts w:ascii="Times New Roman" w:hAnsi="Times New Roman" w:cs="Times New Roman"/>
          <w:color w:val="0E101A"/>
        </w:rPr>
        <w:t xml:space="preserve"> The correlation between the copy number of the</w:t>
      </w:r>
      <w:r w:rsidRPr="006C14FD">
        <w:rPr>
          <w:rFonts w:ascii="Times New Roman" w:hAnsi="Times New Roman" w:cs="Times New Roman"/>
          <w:i/>
          <w:iCs/>
          <w:color w:val="0E101A"/>
        </w:rPr>
        <w:t xml:space="preserve"> clbP</w:t>
      </w:r>
      <w:r w:rsidRPr="006C14FD">
        <w:rPr>
          <w:rFonts w:ascii="Times New Roman" w:hAnsi="Times New Roman" w:cs="Times New Roman"/>
          <w:color w:val="0E101A"/>
        </w:rPr>
        <w:t xml:space="preserve"> gene in tumor samples, as determined by qPCR, and the proportion of SBS88 signatures. The correlation coefficient was 0.2229.</w:t>
      </w:r>
      <w:r w:rsidRPr="006C14FD">
        <w:rPr>
          <w:rFonts w:ascii="Times New Roman" w:hAnsi="Times New Roman" w:cs="Times New Roman"/>
          <w:b/>
          <w:bCs/>
          <w:color w:val="0E101A"/>
        </w:rPr>
        <w:t xml:space="preserve"> E. </w:t>
      </w:r>
      <w:r w:rsidRPr="006C14FD">
        <w:rPr>
          <w:rFonts w:ascii="Times New Roman" w:hAnsi="Times New Roman" w:cs="Times New Roman"/>
          <w:color w:val="0E101A"/>
        </w:rPr>
        <w:t xml:space="preserve">The relationship between the copy number of the </w:t>
      </w:r>
      <w:r w:rsidRPr="006C14FD">
        <w:rPr>
          <w:rFonts w:ascii="Times New Roman" w:hAnsi="Times New Roman" w:cs="Times New Roman"/>
          <w:i/>
          <w:iCs/>
          <w:color w:val="0E101A"/>
        </w:rPr>
        <w:t>clbP</w:t>
      </w:r>
      <w:r w:rsidRPr="006C14FD">
        <w:rPr>
          <w:rFonts w:ascii="Times New Roman" w:hAnsi="Times New Roman" w:cs="Times New Roman"/>
          <w:color w:val="0E101A"/>
        </w:rPr>
        <w:t xml:space="preserve"> gene in tumor samples, determined through qPCR, and the proportion of ID18 signatures. The correlation coefficient was 0.1841.</w:t>
      </w:r>
    </w:p>
    <w:p w14:paraId="1C2B2EEC" w14:textId="77777777" w:rsidR="002A1649" w:rsidRPr="006C14FD" w:rsidRDefault="002A1649" w:rsidP="002A1649">
      <w:pPr>
        <w:spacing w:line="360" w:lineRule="auto"/>
        <w:rPr>
          <w:rFonts w:cs="Times New Roman"/>
          <w:szCs w:val="32"/>
        </w:rPr>
      </w:pPr>
    </w:p>
    <w:p w14:paraId="3FB3DA9E" w14:textId="77777777" w:rsidR="002A1649" w:rsidRPr="006C14FD" w:rsidRDefault="002A1649" w:rsidP="002A1649">
      <w:pPr>
        <w:spacing w:line="360" w:lineRule="auto"/>
        <w:rPr>
          <w:rStyle w:val="Strong"/>
          <w:rFonts w:cs="Times New Roman"/>
          <w:b w:val="0"/>
          <w:bCs w:val="0"/>
          <w:color w:val="0E101A"/>
        </w:rPr>
      </w:pPr>
      <w:r w:rsidRPr="006C14FD">
        <w:rPr>
          <w:rFonts w:eastAsia="Yu Mincho" w:cs="Times New Roman"/>
          <w:b/>
          <w:bCs/>
        </w:rPr>
        <w:t xml:space="preserve">Extended Data Figure 9. </w:t>
      </w:r>
      <w:r w:rsidRPr="006C14FD">
        <w:rPr>
          <w:rStyle w:val="Strong"/>
          <w:rFonts w:cs="Times New Roman"/>
          <w:color w:val="0E101A"/>
        </w:rPr>
        <w:t>Mutational signature (SBS) proportions calculated separately for clonal and subclonal mutations in each case.</w:t>
      </w:r>
    </w:p>
    <w:p w14:paraId="71D6B2CA" w14:textId="77777777" w:rsidR="002A1649" w:rsidRPr="006C14FD" w:rsidRDefault="002A1649" w:rsidP="002A1649">
      <w:pPr>
        <w:spacing w:line="360" w:lineRule="auto"/>
        <w:rPr>
          <w:rFonts w:cs="Times New Roman"/>
          <w:bCs/>
        </w:rPr>
      </w:pPr>
      <w:r w:rsidRPr="006C14FD">
        <w:rPr>
          <w:rStyle w:val="Strong"/>
          <w:rFonts w:cs="Times New Roman"/>
          <w:b w:val="0"/>
          <w:bCs w:val="0"/>
          <w:color w:val="0E101A"/>
        </w:rPr>
        <w:t>Both clonal and subclonal mutations were assessed to determine the proportion of SBS signatures present. Patients with a high percentage of SBS88 are displayed in the top row, organized from left to right.</w:t>
      </w:r>
      <w:r w:rsidRPr="006C14FD">
        <w:rPr>
          <w:rFonts w:cs="Times New Roman"/>
          <w:b/>
        </w:rPr>
        <w:t xml:space="preserve"> </w:t>
      </w:r>
      <w:r w:rsidRPr="006C14FD">
        <w:rPr>
          <w:rFonts w:cs="Times New Roman"/>
          <w:bCs/>
        </w:rPr>
        <w:t>The cases in the bottom row are identical to those in the top row, arranged in a left-to-right order.</w:t>
      </w:r>
    </w:p>
    <w:p w14:paraId="5495F5F4" w14:textId="77777777" w:rsidR="002A1649" w:rsidRPr="006C14FD" w:rsidRDefault="002A1649" w:rsidP="002A1649">
      <w:pPr>
        <w:spacing w:line="360" w:lineRule="auto"/>
        <w:rPr>
          <w:rFonts w:cs="Times New Roman"/>
          <w:szCs w:val="32"/>
        </w:rPr>
      </w:pPr>
    </w:p>
    <w:p w14:paraId="1809742D" w14:textId="77777777" w:rsidR="002A1649" w:rsidRPr="006C14FD" w:rsidRDefault="002A1649" w:rsidP="002A1649">
      <w:pPr>
        <w:spacing w:line="360" w:lineRule="auto"/>
        <w:rPr>
          <w:rFonts w:cs="Times New Roman"/>
        </w:rPr>
      </w:pPr>
      <w:r w:rsidRPr="006C14FD">
        <w:rPr>
          <w:rFonts w:eastAsia="Yu Mincho" w:cs="Times New Roman"/>
          <w:b/>
          <w:bCs/>
        </w:rPr>
        <w:t>Extended Data Figure 10</w:t>
      </w:r>
      <w:r w:rsidRPr="006C14FD">
        <w:rPr>
          <w:rFonts w:cs="Times New Roman"/>
          <w:b/>
          <w:bCs/>
        </w:rPr>
        <w:t>.</w:t>
      </w:r>
      <w:r w:rsidRPr="006C14FD">
        <w:rPr>
          <w:rFonts w:cs="Times New Roman"/>
        </w:rPr>
        <w:t xml:space="preserve"> </w:t>
      </w:r>
      <w:r w:rsidRPr="006C14FD">
        <w:rPr>
          <w:rStyle w:val="Strong"/>
          <w:rFonts w:cs="Times New Roman"/>
          <w:color w:val="0E101A"/>
        </w:rPr>
        <w:t>A comparison of copy number aberration timing in CRC based on mutational signature and gut microbiota-based subtype.</w:t>
      </w:r>
    </w:p>
    <w:p w14:paraId="3DBA905B" w14:textId="77777777" w:rsidR="002A1649" w:rsidRPr="006C14FD" w:rsidRDefault="002A1649" w:rsidP="002A1649">
      <w:pPr>
        <w:pStyle w:val="NormalWeb"/>
        <w:spacing w:before="0" w:beforeAutospacing="0" w:after="0" w:afterAutospacing="0" w:line="360" w:lineRule="auto"/>
        <w:jc w:val="both"/>
        <w:rPr>
          <w:rStyle w:val="Strong"/>
          <w:rFonts w:ascii="Times New Roman" w:hAnsi="Times New Roman" w:cs="Times New Roman"/>
          <w:b w:val="0"/>
          <w:bCs w:val="0"/>
          <w:color w:val="0E101A"/>
        </w:rPr>
      </w:pPr>
      <w:r w:rsidRPr="006C14FD">
        <w:rPr>
          <w:rStyle w:val="Strong"/>
          <w:rFonts w:ascii="Times New Roman" w:hAnsi="Times New Roman" w:cs="Times New Roman"/>
          <w:b w:val="0"/>
          <w:bCs w:val="0"/>
          <w:color w:val="0E101A"/>
        </w:rPr>
        <w:t>The correlation between gut microbiome-based CRC subtype and the sequential occurrence of three distinct types of copy number gains (1, copy number neutral loss of heterozygosity (CNN-LOH)/</w:t>
      </w:r>
      <w:r w:rsidRPr="006C14FD">
        <w:rPr>
          <w:rStyle w:val="Emphasis"/>
          <w:rFonts w:ascii="Times New Roman" w:eastAsia="Meiryo UI" w:cs="Times New Roman"/>
          <w:color w:val="0E101A"/>
        </w:rPr>
        <w:t>loss + gain</w:t>
      </w:r>
      <w:r w:rsidRPr="006C14FD">
        <w:rPr>
          <w:rStyle w:val="Strong"/>
          <w:rFonts w:ascii="Times New Roman" w:hAnsi="Times New Roman" w:cs="Times New Roman"/>
          <w:b w:val="0"/>
          <w:bCs w:val="0"/>
          <w:color w:val="0E101A"/>
        </w:rPr>
        <w:t xml:space="preserve"> (N:0); 2, mono-allelic gains (N:1); 3, bi-allelic gains (N:M).</w:t>
      </w:r>
      <w:r w:rsidRPr="006C14FD">
        <w:rPr>
          <w:rFonts w:ascii="Times New Roman" w:hAnsi="Times New Roman" w:cs="Times New Roman"/>
        </w:rPr>
        <w:t xml:space="preserve"> </w:t>
      </w:r>
      <w:r w:rsidRPr="006C14FD">
        <w:rPr>
          <w:rFonts w:ascii="Times New Roman" w:hAnsi="Times New Roman" w:cs="Times New Roman"/>
          <w:color w:val="0E101A"/>
        </w:rPr>
        <w:t>No significant differences were observed between microbiome-based subtypes in terms of 2, mono-allelic gains (N:1) and 3, bi-allelic gains (N:M).</w:t>
      </w:r>
    </w:p>
    <w:p w14:paraId="3940BAC4" w14:textId="77777777" w:rsidR="002A1649" w:rsidRPr="006C14FD" w:rsidRDefault="002A1649" w:rsidP="002A1649">
      <w:pPr>
        <w:spacing w:line="360" w:lineRule="auto"/>
        <w:rPr>
          <w:rFonts w:cs="Times New Roman"/>
          <w:szCs w:val="32"/>
        </w:rPr>
      </w:pPr>
    </w:p>
    <w:p w14:paraId="0349C487" w14:textId="77777777" w:rsidR="002A1649" w:rsidRPr="006C14FD" w:rsidRDefault="002A1649" w:rsidP="002A1649">
      <w:pPr>
        <w:spacing w:line="360" w:lineRule="auto"/>
        <w:rPr>
          <w:rFonts w:eastAsia="Yu Mincho" w:cs="Times New Roman"/>
          <w:b/>
          <w:bCs/>
        </w:rPr>
      </w:pPr>
      <w:r w:rsidRPr="006C14FD">
        <w:rPr>
          <w:rFonts w:eastAsia="Yu Mincho" w:cs="Times New Roman"/>
          <w:b/>
          <w:bCs/>
        </w:rPr>
        <w:t xml:space="preserve">Extended Data Figure 11. Impact of the relative abundance of </w:t>
      </w:r>
      <w:r w:rsidRPr="006C14FD">
        <w:rPr>
          <w:rFonts w:eastAsia="Yu Mincho" w:cs="Times New Roman"/>
          <w:b/>
          <w:bCs/>
          <w:i/>
          <w:iCs/>
        </w:rPr>
        <w:t>P. stomatis</w:t>
      </w:r>
      <w:r w:rsidRPr="006C14FD">
        <w:rPr>
          <w:rFonts w:eastAsia="Yu Mincho" w:cs="Times New Roman"/>
          <w:b/>
          <w:bCs/>
        </w:rPr>
        <w:t xml:space="preserve"> on the prognosis of patients with CRC.</w:t>
      </w:r>
    </w:p>
    <w:p w14:paraId="400521EB"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rPr>
      </w:pPr>
      <w:r w:rsidRPr="006C14FD">
        <w:rPr>
          <w:rFonts w:ascii="Times New Roman" w:eastAsia="Yu Mincho" w:hAnsi="Times New Roman" w:cs="Times New Roman"/>
          <w:b/>
          <w:bCs/>
        </w:rPr>
        <w:t>A.</w:t>
      </w:r>
      <w:r w:rsidRPr="006C14FD">
        <w:rPr>
          <w:rFonts w:ascii="Times New Roman" w:eastAsia="Yu Mincho" w:hAnsi="Times New Roman" w:cs="Times New Roman"/>
        </w:rPr>
        <w:t xml:space="preserve"> A comparative study was carried out to assess the overall survival rates among CRC patients that exhibited elevated levels of </w:t>
      </w:r>
      <w:r w:rsidRPr="006C14FD">
        <w:rPr>
          <w:rFonts w:ascii="Times New Roman" w:eastAsia="Yu Mincho" w:hAnsi="Times New Roman" w:cs="Times New Roman"/>
          <w:i/>
          <w:iCs/>
        </w:rPr>
        <w:t>P. stomatis</w:t>
      </w:r>
      <w:r w:rsidRPr="006C14FD">
        <w:rPr>
          <w:rFonts w:ascii="Times New Roman" w:eastAsia="Yu Mincho" w:hAnsi="Times New Roman" w:cs="Times New Roman"/>
        </w:rPr>
        <w:t xml:space="preserve"> and those that did not. In the Discovery cohort, the CRC patients displaying elevated levels of </w:t>
      </w:r>
      <w:r w:rsidRPr="006C14FD">
        <w:rPr>
          <w:rFonts w:ascii="Times New Roman" w:eastAsia="Yu Mincho" w:hAnsi="Times New Roman" w:cs="Times New Roman"/>
          <w:i/>
          <w:iCs/>
        </w:rPr>
        <w:t>P. stomatis</w:t>
      </w:r>
      <w:r w:rsidRPr="006C14FD">
        <w:rPr>
          <w:rFonts w:ascii="Times New Roman" w:eastAsia="Yu Mincho" w:hAnsi="Times New Roman" w:cs="Times New Roman"/>
        </w:rPr>
        <w:t xml:space="preserve"> exhibited notably lower overall survival rates than other cases (</w:t>
      </w:r>
      <w:r w:rsidRPr="006C14FD">
        <w:rPr>
          <w:rFonts w:ascii="Times New Roman" w:eastAsia="Yu Mincho" w:hAnsi="Times New Roman" w:cs="Times New Roman"/>
          <w:i/>
          <w:iCs/>
        </w:rPr>
        <w:t>P</w:t>
      </w:r>
      <w:r w:rsidRPr="006C14FD">
        <w:rPr>
          <w:rFonts w:ascii="Times New Roman" w:eastAsia="Yu Mincho" w:hAnsi="Times New Roman" w:cs="Times New Roman"/>
        </w:rPr>
        <w:t xml:space="preserve"> = 0.047).</w:t>
      </w:r>
      <w:r w:rsidRPr="006C14FD">
        <w:rPr>
          <w:rFonts w:ascii="Times New Roman" w:eastAsia="Yu Mincho" w:hAnsi="Times New Roman" w:cs="Times New Roman"/>
          <w:b/>
          <w:bCs/>
        </w:rPr>
        <w:t xml:space="preserve"> B. </w:t>
      </w:r>
      <w:r w:rsidRPr="006C14FD">
        <w:rPr>
          <w:rFonts w:ascii="Times New Roman" w:eastAsia="Yu Mincho" w:hAnsi="Times New Roman" w:cs="Times New Roman"/>
        </w:rPr>
        <w:t xml:space="preserve">In the Validation cohort, there was a significant correlation between elevated levels of </w:t>
      </w:r>
      <w:r w:rsidRPr="006C14FD">
        <w:rPr>
          <w:rFonts w:ascii="Times New Roman" w:eastAsia="Yu Mincho" w:hAnsi="Times New Roman" w:cs="Times New Roman"/>
          <w:i/>
          <w:iCs/>
        </w:rPr>
        <w:t>P. stomatis</w:t>
      </w:r>
      <w:r w:rsidRPr="006C14FD">
        <w:rPr>
          <w:rFonts w:ascii="Times New Roman" w:eastAsia="Yu Mincho" w:hAnsi="Times New Roman" w:cs="Times New Roman"/>
        </w:rPr>
        <w:t xml:space="preserve"> and poorer overall survival (</w:t>
      </w:r>
      <w:r w:rsidRPr="006C14FD">
        <w:rPr>
          <w:rFonts w:ascii="Times New Roman" w:eastAsia="Yu Mincho" w:hAnsi="Times New Roman" w:cs="Times New Roman"/>
          <w:i/>
          <w:iCs/>
        </w:rPr>
        <w:t>P</w:t>
      </w:r>
      <w:r w:rsidRPr="006C14FD">
        <w:rPr>
          <w:rFonts w:ascii="Times New Roman" w:eastAsia="Yu Mincho" w:hAnsi="Times New Roman" w:cs="Times New Roman"/>
        </w:rPr>
        <w:t xml:space="preserve"> = 0.0094).</w:t>
      </w:r>
    </w:p>
    <w:p w14:paraId="1FF31B07" w14:textId="77777777" w:rsidR="002A1649" w:rsidRPr="006C14FD" w:rsidRDefault="002A1649" w:rsidP="002A1649">
      <w:pPr>
        <w:spacing w:line="360" w:lineRule="auto"/>
        <w:rPr>
          <w:rFonts w:cs="Times New Roman"/>
          <w:szCs w:val="32"/>
        </w:rPr>
      </w:pPr>
    </w:p>
    <w:p w14:paraId="4C60A02D" w14:textId="77777777" w:rsidR="002A1649" w:rsidRPr="006C14FD" w:rsidRDefault="002A1649" w:rsidP="002A1649">
      <w:pPr>
        <w:spacing w:line="360" w:lineRule="auto"/>
        <w:rPr>
          <w:rFonts w:cs="Times New Roman"/>
          <w:b/>
          <w:bCs/>
        </w:rPr>
      </w:pPr>
      <w:r w:rsidRPr="006C14FD">
        <w:rPr>
          <w:rStyle w:val="Strong"/>
          <w:rFonts w:cs="Times New Roman"/>
          <w:color w:val="0E101A"/>
        </w:rPr>
        <w:lastRenderedPageBreak/>
        <w:t>Extended Data Figure 12.</w:t>
      </w:r>
      <w:r w:rsidRPr="006C14FD">
        <w:rPr>
          <w:rFonts w:cs="Times New Roman"/>
          <w:color w:val="0E101A"/>
        </w:rPr>
        <w:t xml:space="preserve"> </w:t>
      </w:r>
    </w:p>
    <w:p w14:paraId="31EDC6E0" w14:textId="77777777" w:rsidR="002A1649" w:rsidRPr="006C14FD" w:rsidRDefault="002A1649" w:rsidP="002A1649">
      <w:pPr>
        <w:spacing w:line="360" w:lineRule="auto"/>
        <w:rPr>
          <w:rFonts w:cs="Times New Roman"/>
          <w:b/>
          <w:bCs/>
        </w:rPr>
      </w:pPr>
      <w:r w:rsidRPr="006C14FD">
        <w:rPr>
          <w:rFonts w:cs="Times New Roman"/>
          <w:b/>
          <w:bCs/>
        </w:rPr>
        <w:t>Immune cell composition in CRC subtypes based on gut microbiota</w:t>
      </w:r>
      <w:r w:rsidRPr="006C14FD">
        <w:rPr>
          <w:rStyle w:val="Strong"/>
          <w:rFonts w:cs="Times New Roman"/>
          <w:color w:val="0E101A"/>
        </w:rPr>
        <w:t>.</w:t>
      </w:r>
    </w:p>
    <w:p w14:paraId="09F341C4"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color w:val="0E101A"/>
        </w:rPr>
        <w:t xml:space="preserve">The immune cell composition in the tumor was determined through the analysis of tumor whole transcriptome data using CIBERSORTx. </w:t>
      </w:r>
      <w:r w:rsidRPr="006C14FD">
        <w:rPr>
          <w:rFonts w:ascii="Times New Roman" w:hAnsi="Times New Roman" w:cs="Times New Roman"/>
        </w:rPr>
        <w:t xml:space="preserve">There was a statistically significant rise in plasma cells within Subtype 3 compared to the other subtypes (absolute value, </w:t>
      </w:r>
      <w:r w:rsidRPr="006C14FD">
        <w:rPr>
          <w:rFonts w:ascii="Times New Roman" w:hAnsi="Times New Roman" w:cs="Times New Roman"/>
          <w:i/>
          <w:iCs/>
        </w:rPr>
        <w:t>P</w:t>
      </w:r>
      <w:r w:rsidRPr="006C14FD">
        <w:rPr>
          <w:rFonts w:ascii="Times New Roman" w:hAnsi="Times New Roman" w:cs="Times New Roman"/>
        </w:rPr>
        <w:t xml:space="preserve"> = 0.00</w:t>
      </w:r>
      <w:r>
        <w:rPr>
          <w:rFonts w:ascii="Times New Roman" w:hAnsi="Times New Roman" w:cs="Times New Roman"/>
        </w:rPr>
        <w:t>13</w:t>
      </w:r>
      <w:r w:rsidRPr="006C14FD">
        <w:rPr>
          <w:rFonts w:ascii="Times New Roman" w:hAnsi="Times New Roman" w:cs="Times New Roman"/>
        </w:rPr>
        <w:t>; ratio,</w:t>
      </w:r>
      <w:r w:rsidRPr="006C14FD">
        <w:rPr>
          <w:rFonts w:ascii="Times New Roman" w:hAnsi="Times New Roman" w:cs="Times New Roman"/>
          <w:i/>
          <w:iCs/>
        </w:rPr>
        <w:t xml:space="preserve"> P</w:t>
      </w:r>
      <w:r w:rsidRPr="006C14FD">
        <w:rPr>
          <w:rFonts w:ascii="Times New Roman" w:hAnsi="Times New Roman" w:cs="Times New Roman"/>
        </w:rPr>
        <w:t xml:space="preserve"> = 0.00</w:t>
      </w:r>
      <w:r>
        <w:rPr>
          <w:rFonts w:ascii="Times New Roman" w:hAnsi="Times New Roman" w:cs="Times New Roman"/>
        </w:rPr>
        <w:t>19</w:t>
      </w:r>
      <w:r w:rsidRPr="006C14FD">
        <w:rPr>
          <w:rFonts w:ascii="Times New Roman" w:hAnsi="Times New Roman" w:cs="Times New Roman"/>
        </w:rPr>
        <w:t>, Wilcoxon rank sum test</w:t>
      </w:r>
      <w:r>
        <w:rPr>
          <w:rFonts w:ascii="Times New Roman" w:hAnsi="Times New Roman" w:cs="Times New Roman"/>
        </w:rPr>
        <w:t>, one-sided</w:t>
      </w:r>
      <w:r w:rsidRPr="006C14FD">
        <w:rPr>
          <w:rFonts w:ascii="Times New Roman" w:hAnsi="Times New Roman" w:cs="Times New Roman"/>
        </w:rPr>
        <w:t>). No other statistically significant differences were found.</w:t>
      </w:r>
    </w:p>
    <w:p w14:paraId="542EAD21" w14:textId="77777777" w:rsidR="002A1649" w:rsidRPr="006C14FD" w:rsidRDefault="002A1649" w:rsidP="002A1649">
      <w:pPr>
        <w:spacing w:line="360" w:lineRule="auto"/>
        <w:rPr>
          <w:rFonts w:cs="Times New Roman"/>
          <w:szCs w:val="32"/>
        </w:rPr>
      </w:pPr>
    </w:p>
    <w:p w14:paraId="1DB4BC48"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b/>
          <w:bCs/>
        </w:rPr>
        <w:t>Extended Data Figure 13.</w:t>
      </w:r>
      <w:r w:rsidRPr="006C14FD">
        <w:rPr>
          <w:rFonts w:ascii="Times New Roman" w:hAnsi="Times New Roman" w:cs="Times New Roman"/>
        </w:rPr>
        <w:t>_</w:t>
      </w:r>
      <w:r w:rsidRPr="006C14FD">
        <w:rPr>
          <w:rStyle w:val="Strong"/>
          <w:rFonts w:ascii="Times New Roman" w:hAnsi="Times New Roman" w:cs="Times New Roman"/>
          <w:color w:val="0E101A"/>
        </w:rPr>
        <w:t>Metagenome-based classification of CRC and structural variants (SVs).</w:t>
      </w:r>
    </w:p>
    <w:p w14:paraId="39A7E236"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color w:val="0E101A"/>
        </w:rPr>
      </w:pPr>
      <w:r w:rsidRPr="006C14FD">
        <w:rPr>
          <w:rFonts w:ascii="Times New Roman" w:hAnsi="Times New Roman" w:cs="Times New Roman"/>
          <w:b/>
          <w:bCs/>
          <w:color w:val="0E101A"/>
        </w:rPr>
        <w:t xml:space="preserve">A. </w:t>
      </w:r>
      <w:r w:rsidRPr="006C14FD">
        <w:rPr>
          <w:rFonts w:ascii="Times New Roman" w:hAnsi="Times New Roman" w:cs="Times New Roman"/>
          <w:color w:val="0E101A"/>
        </w:rPr>
        <w:t>The number of SVs detected in each case, with their type and size distribution. Three distinct forms of intrachromosomal structural variations, specifically deletions, tandem duplications, and inversions, are quantified individually, distinguishing between small variations (breakpoint distance ≤ 1 kb) and non-small variations. The breakpoint locations of translocation SVs that lead to interchromosome events were annotated using Repeat Masker. These SVs were further classified into transpositions caused by LINE-1 and other types of translocations.</w:t>
      </w:r>
      <w:r w:rsidRPr="006C14FD">
        <w:rPr>
          <w:rStyle w:val="Strong"/>
          <w:rFonts w:ascii="Times New Roman" w:hAnsi="Times New Roman" w:cs="Times New Roman"/>
          <w:color w:val="0E101A"/>
        </w:rPr>
        <w:t xml:space="preserve"> B. </w:t>
      </w:r>
      <w:r w:rsidRPr="006C14FD">
        <w:rPr>
          <w:rStyle w:val="Strong"/>
          <w:rFonts w:ascii="Times New Roman" w:hAnsi="Times New Roman" w:cs="Times New Roman"/>
          <w:b w:val="0"/>
          <w:bCs w:val="0"/>
          <w:color w:val="0E101A"/>
        </w:rPr>
        <w:t>The distribution of the number of LINE-1 retrotranspositions detected per case for each subtype was visualized using a beeswarm boxplot.</w:t>
      </w:r>
      <w:r w:rsidRPr="006C14FD">
        <w:rPr>
          <w:rFonts w:ascii="Times New Roman" w:hAnsi="Times New Roman" w:cs="Times New Roman"/>
          <w:color w:val="0E101A"/>
        </w:rPr>
        <w:t xml:space="preserve"> For clarity, an outlier from Subtype 4, specifically CM116T, has been excluded. </w:t>
      </w:r>
      <w:r w:rsidRPr="006C14FD">
        <w:rPr>
          <w:rStyle w:val="Emphasis"/>
          <w:rFonts w:ascii="Times New Roman" w:cs="Times New Roman"/>
          <w:color w:val="0E101A"/>
        </w:rPr>
        <w:t xml:space="preserve">The determination of P values was carried out using the Wilcoxon </w:t>
      </w:r>
      <w:r w:rsidRPr="006C14FD">
        <w:rPr>
          <w:rFonts w:ascii="Times New Roman" w:hAnsi="Times New Roman" w:cs="Times New Roman"/>
          <w:color w:val="000000"/>
        </w:rPr>
        <w:t>rank sum</w:t>
      </w:r>
      <w:r w:rsidRPr="006C14FD">
        <w:rPr>
          <w:rStyle w:val="Emphasis"/>
          <w:rFonts w:ascii="Times New Roman" w:cs="Times New Roman"/>
          <w:color w:val="0E101A"/>
        </w:rPr>
        <w:t xml:space="preserve"> test.</w:t>
      </w:r>
    </w:p>
    <w:p w14:paraId="789DF31A" w14:textId="77777777" w:rsidR="002A1649" w:rsidRPr="006C14FD" w:rsidRDefault="002A1649" w:rsidP="002A1649">
      <w:pPr>
        <w:spacing w:line="360" w:lineRule="auto"/>
        <w:rPr>
          <w:rFonts w:cs="Times New Roman"/>
        </w:rPr>
      </w:pPr>
    </w:p>
    <w:p w14:paraId="5E842335"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rPr>
      </w:pPr>
      <w:r w:rsidRPr="006C14FD">
        <w:rPr>
          <w:rFonts w:ascii="Times New Roman" w:hAnsi="Times New Roman" w:cs="Times New Roman"/>
          <w:b/>
          <w:bCs/>
          <w:szCs w:val="32"/>
        </w:rPr>
        <w:t>Extended Data Figure 14.</w:t>
      </w:r>
      <w:r w:rsidRPr="006C14FD">
        <w:rPr>
          <w:rFonts w:ascii="Times New Roman" w:hAnsi="Times New Roman" w:cs="Times New Roman"/>
          <w:szCs w:val="32"/>
        </w:rPr>
        <w:t xml:space="preserve"> </w:t>
      </w:r>
      <w:r w:rsidRPr="006C14FD">
        <w:rPr>
          <w:rFonts w:ascii="Times New Roman" w:hAnsi="Times New Roman" w:cs="Times New Roman"/>
          <w:b/>
          <w:bCs/>
        </w:rPr>
        <w:t>Correlation between gut microbiota and driver genes.</w:t>
      </w:r>
    </w:p>
    <w:p w14:paraId="0E477E5A"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b/>
          <w:bCs/>
          <w:szCs w:val="32"/>
        </w:rPr>
      </w:pPr>
      <w:r w:rsidRPr="006C14FD">
        <w:rPr>
          <w:rFonts w:ascii="Times New Roman" w:hAnsi="Times New Roman" w:cs="Times New Roman"/>
        </w:rPr>
        <w:t>The phylogenetic tree of intestinal bacteria, showing driver genes that are significantly correlated with bacterial species. *</w:t>
      </w:r>
      <w:r w:rsidRPr="006C14FD">
        <w:rPr>
          <w:rFonts w:ascii="Times New Roman" w:hAnsi="Times New Roman" w:cs="Times New Roman"/>
          <w:i/>
          <w:iCs/>
        </w:rPr>
        <w:t>P</w:t>
      </w:r>
      <w:r w:rsidRPr="006C14FD">
        <w:rPr>
          <w:rFonts w:ascii="Times New Roman" w:hAnsi="Times New Roman" w:cs="Times New Roman"/>
        </w:rPr>
        <w:t xml:space="preserve"> &lt; 0.05; **</w:t>
      </w:r>
      <w:r w:rsidRPr="006C14FD">
        <w:rPr>
          <w:rFonts w:ascii="Times New Roman" w:hAnsi="Times New Roman" w:cs="Times New Roman"/>
          <w:i/>
          <w:iCs/>
        </w:rPr>
        <w:t>P</w:t>
      </w:r>
      <w:r w:rsidRPr="006C14FD">
        <w:rPr>
          <w:rFonts w:ascii="Times New Roman" w:hAnsi="Times New Roman" w:cs="Times New Roman"/>
        </w:rPr>
        <w:t xml:space="preserve"> &lt; 0.01; ***</w:t>
      </w:r>
      <w:r w:rsidRPr="006C14FD">
        <w:rPr>
          <w:rFonts w:ascii="Times New Roman" w:hAnsi="Times New Roman" w:cs="Times New Roman"/>
          <w:i/>
          <w:iCs/>
        </w:rPr>
        <w:t>P</w:t>
      </w:r>
      <w:r w:rsidRPr="006C14FD">
        <w:rPr>
          <w:rFonts w:ascii="Times New Roman" w:hAnsi="Times New Roman" w:cs="Times New Roman"/>
        </w:rPr>
        <w:t xml:space="preserve"> &lt; 0.001</w:t>
      </w:r>
    </w:p>
    <w:p w14:paraId="67C6EADB"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b/>
          <w:bCs/>
          <w:szCs w:val="32"/>
        </w:rPr>
      </w:pPr>
    </w:p>
    <w:p w14:paraId="552CBB2F" w14:textId="77777777" w:rsidR="002A1649" w:rsidRPr="006C14FD" w:rsidRDefault="002A1649" w:rsidP="002A1649">
      <w:pPr>
        <w:pStyle w:val="NormalWeb"/>
        <w:spacing w:before="0" w:beforeAutospacing="0" w:after="0" w:afterAutospacing="0" w:line="360" w:lineRule="auto"/>
        <w:jc w:val="both"/>
        <w:rPr>
          <w:rFonts w:ascii="Times New Roman" w:hAnsi="Times New Roman" w:cs="Times New Roman"/>
          <w:b/>
          <w:bCs/>
          <w:color w:val="0E101A"/>
        </w:rPr>
      </w:pPr>
      <w:r w:rsidRPr="006C14FD">
        <w:rPr>
          <w:rFonts w:ascii="Times New Roman" w:hAnsi="Times New Roman" w:cs="Times New Roman"/>
          <w:b/>
          <w:bCs/>
          <w:szCs w:val="32"/>
        </w:rPr>
        <w:t>Extended Data Figure 15.</w:t>
      </w:r>
      <w:r w:rsidRPr="006C14FD">
        <w:rPr>
          <w:rFonts w:ascii="Times New Roman" w:hAnsi="Times New Roman" w:cs="Times New Roman"/>
          <w:szCs w:val="32"/>
        </w:rPr>
        <w:t xml:space="preserve"> </w:t>
      </w:r>
      <w:r w:rsidRPr="006C14FD">
        <w:rPr>
          <w:rStyle w:val="Strong"/>
          <w:rFonts w:ascii="Times New Roman" w:hAnsi="Times New Roman" w:cs="Times New Roman"/>
          <w:color w:val="0E101A"/>
        </w:rPr>
        <w:t xml:space="preserve">Chronological trend in the impact of mutational signatures linked to colibactin. </w:t>
      </w:r>
    </w:p>
    <w:p w14:paraId="333CEB3B" w14:textId="3015DBEF" w:rsidR="00755780" w:rsidRDefault="002A1649" w:rsidP="002A1649">
      <w:r w:rsidRPr="006C14FD">
        <w:rPr>
          <w:rFonts w:eastAsia="MS PGothic" w:cs="Times New Roman"/>
          <w:color w:val="0E101A"/>
          <w:kern w:val="0"/>
        </w:rPr>
        <w:t>Patients in this cohort were organized based on their birth dates to illustrate the impact of the colibactin-associated mutational signatures. The average proportions of SBS88 and ID18, which indicate the colibactin signature, were higher in cases born after 1943 than those born before 1943. This discrepancy approached statistical significance (</w:t>
      </w:r>
      <w:r w:rsidRPr="006C14FD">
        <w:rPr>
          <w:rFonts w:eastAsia="MS PGothic" w:cs="Times New Roman"/>
          <w:i/>
          <w:iCs/>
          <w:color w:val="0E101A"/>
          <w:kern w:val="0"/>
        </w:rPr>
        <w:t>P</w:t>
      </w:r>
      <w:r w:rsidRPr="006C14FD">
        <w:rPr>
          <w:rFonts w:eastAsia="MS PGothic" w:cs="Times New Roman"/>
          <w:color w:val="0E101A"/>
          <w:kern w:val="0"/>
        </w:rPr>
        <w:t xml:space="preserve"> = 0.051).</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New Roman (本文のフォント - コンプレ">
    <w:altName w:val="ＭＳ 明朝"/>
    <w:charset w:val="80"/>
    <w:family w:val="roman"/>
    <w:pitch w:val="default"/>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Meiryo UI">
    <w:charset w:val="80"/>
    <w:family w:val="swiss"/>
    <w:pitch w:val="variable"/>
    <w:sig w:usb0="E00002FF" w:usb1="6AC7FFFF"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649"/>
    <w:rsid w:val="002A1649"/>
    <w:rsid w:val="00331A6B"/>
    <w:rsid w:val="00755780"/>
    <w:rsid w:val="00832C5A"/>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648D2"/>
  <w15:chartTrackingRefBased/>
  <w15:docId w15:val="{28EDB216-10CF-4E2B-BB7D-73986F023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649"/>
    <w:pPr>
      <w:widowControl w:val="0"/>
      <w:spacing w:after="0" w:line="240" w:lineRule="auto"/>
      <w:jc w:val="both"/>
    </w:pPr>
    <w:rPr>
      <w:rFonts w:ascii="Times New Roman" w:eastAsiaTheme="minorEastAsia" w:hAnsi="Times New Roman" w:cs="Times New Roman (本文のフォント - コンプレ"/>
      <w:sz w:val="24"/>
      <w:szCs w:val="24"/>
      <w:lang w:eastAsia="ja-JP"/>
      <w14:ligatures w14:val="none"/>
    </w:rPr>
  </w:style>
  <w:style w:type="paragraph" w:styleId="Heading1">
    <w:name w:val="heading 1"/>
    <w:basedOn w:val="Normal"/>
    <w:next w:val="Normal"/>
    <w:link w:val="Heading1Char"/>
    <w:uiPriority w:val="9"/>
    <w:qFormat/>
    <w:rsid w:val="002A1649"/>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A1649"/>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A1649"/>
    <w:pPr>
      <w:keepNext/>
      <w:keepLines/>
      <w:widowControl/>
      <w:spacing w:before="160" w:after="80" w:line="259"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A1649"/>
    <w:pPr>
      <w:keepNext/>
      <w:keepLines/>
      <w:widowControl/>
      <w:spacing w:before="80" w:after="40" w:line="259" w:lineRule="auto"/>
      <w:jc w:val="left"/>
      <w:outlineLvl w:val="3"/>
    </w:pPr>
    <w:rPr>
      <w:rFonts w:asciiTheme="minorHAnsi" w:eastAsiaTheme="majorEastAsia" w:hAnsiTheme="minorHAnsi" w:cstheme="majorBidi"/>
      <w:i/>
      <w:iCs/>
      <w:color w:val="0F4761" w:themeColor="accent1" w:themeShade="BF"/>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2A1649"/>
    <w:pPr>
      <w:keepNext/>
      <w:keepLines/>
      <w:widowControl/>
      <w:spacing w:before="80" w:after="40" w:line="259" w:lineRule="auto"/>
      <w:jc w:val="left"/>
      <w:outlineLvl w:val="4"/>
    </w:pPr>
    <w:rPr>
      <w:rFonts w:asciiTheme="minorHAnsi" w:eastAsiaTheme="majorEastAsia" w:hAnsiTheme="minorHAnsi" w:cstheme="majorBidi"/>
      <w:color w:val="0F4761" w:themeColor="accent1" w:themeShade="BF"/>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2A1649"/>
    <w:pPr>
      <w:keepNext/>
      <w:keepLines/>
      <w:widowControl/>
      <w:spacing w:before="40" w:line="259" w:lineRule="auto"/>
      <w:jc w:val="left"/>
      <w:outlineLvl w:val="5"/>
    </w:pPr>
    <w:rPr>
      <w:rFonts w:asciiTheme="minorHAnsi" w:eastAsiaTheme="majorEastAsia" w:hAnsiTheme="minorHAnsi"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2A1649"/>
    <w:pPr>
      <w:keepNext/>
      <w:keepLines/>
      <w:widowControl/>
      <w:spacing w:before="40" w:line="259" w:lineRule="auto"/>
      <w:jc w:val="left"/>
      <w:outlineLvl w:val="6"/>
    </w:pPr>
    <w:rPr>
      <w:rFonts w:asciiTheme="minorHAnsi" w:eastAsiaTheme="majorEastAsia" w:hAnsiTheme="minorHAnsi"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2A1649"/>
    <w:pPr>
      <w:keepNext/>
      <w:keepLines/>
      <w:widowControl/>
      <w:spacing w:line="259" w:lineRule="auto"/>
      <w:jc w:val="left"/>
      <w:outlineLvl w:val="7"/>
    </w:pPr>
    <w:rPr>
      <w:rFonts w:asciiTheme="minorHAnsi" w:eastAsiaTheme="majorEastAsia" w:hAnsiTheme="minorHAnsi"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2A1649"/>
    <w:pPr>
      <w:keepNext/>
      <w:keepLines/>
      <w:widowControl/>
      <w:spacing w:line="259" w:lineRule="auto"/>
      <w:jc w:val="left"/>
      <w:outlineLvl w:val="8"/>
    </w:pPr>
    <w:rPr>
      <w:rFonts w:asciiTheme="minorHAnsi" w:eastAsiaTheme="majorEastAsia" w:hAnsiTheme="minorHAnsi"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6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16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16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16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16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16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16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16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1649"/>
    <w:rPr>
      <w:rFonts w:eastAsiaTheme="majorEastAsia" w:cstheme="majorBidi"/>
      <w:color w:val="272727" w:themeColor="text1" w:themeTint="D8"/>
    </w:rPr>
  </w:style>
  <w:style w:type="paragraph" w:styleId="Title">
    <w:name w:val="Title"/>
    <w:basedOn w:val="Normal"/>
    <w:next w:val="Normal"/>
    <w:link w:val="TitleChar"/>
    <w:uiPriority w:val="10"/>
    <w:qFormat/>
    <w:rsid w:val="002A1649"/>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A16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1649"/>
    <w:pPr>
      <w:widowControl/>
      <w:numPr>
        <w:ilvl w:val="1"/>
      </w:numPr>
      <w:spacing w:after="160" w:line="259"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2A16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1649"/>
    <w:pPr>
      <w:widowControl/>
      <w:spacing w:before="160" w:after="160" w:line="259" w:lineRule="auto"/>
      <w:jc w:val="center"/>
    </w:pPr>
    <w:rPr>
      <w:rFonts w:asciiTheme="minorHAnsi" w:eastAsiaTheme="minorHAnsi" w:hAnsiTheme="minorHAnsi" w:cstheme="minorBidi"/>
      <w:i/>
      <w:iCs/>
      <w:color w:val="404040" w:themeColor="text1" w:themeTint="BF"/>
      <w:sz w:val="22"/>
      <w:szCs w:val="22"/>
      <w:lang w:eastAsia="en-US"/>
      <w14:ligatures w14:val="standardContextual"/>
    </w:rPr>
  </w:style>
  <w:style w:type="character" w:customStyle="1" w:styleId="QuoteChar">
    <w:name w:val="Quote Char"/>
    <w:basedOn w:val="DefaultParagraphFont"/>
    <w:link w:val="Quote"/>
    <w:uiPriority w:val="29"/>
    <w:rsid w:val="002A1649"/>
    <w:rPr>
      <w:i/>
      <w:iCs/>
      <w:color w:val="404040" w:themeColor="text1" w:themeTint="BF"/>
    </w:rPr>
  </w:style>
  <w:style w:type="paragraph" w:styleId="ListParagraph">
    <w:name w:val="List Paragraph"/>
    <w:basedOn w:val="Normal"/>
    <w:uiPriority w:val="34"/>
    <w:qFormat/>
    <w:rsid w:val="002A1649"/>
    <w:pPr>
      <w:widowControl/>
      <w:spacing w:after="160" w:line="259" w:lineRule="auto"/>
      <w:ind w:left="720"/>
      <w:contextualSpacing/>
      <w:jc w:val="left"/>
    </w:pPr>
    <w:rPr>
      <w:rFonts w:asciiTheme="minorHAnsi" w:eastAsiaTheme="minorHAnsi" w:hAnsiTheme="minorHAnsi" w:cstheme="minorBidi"/>
      <w:sz w:val="22"/>
      <w:szCs w:val="22"/>
      <w:lang w:eastAsia="en-US"/>
      <w14:ligatures w14:val="standardContextual"/>
    </w:rPr>
  </w:style>
  <w:style w:type="character" w:styleId="IntenseEmphasis">
    <w:name w:val="Intense Emphasis"/>
    <w:basedOn w:val="DefaultParagraphFont"/>
    <w:uiPriority w:val="21"/>
    <w:qFormat/>
    <w:rsid w:val="002A1649"/>
    <w:rPr>
      <w:i/>
      <w:iCs/>
      <w:color w:val="0F4761" w:themeColor="accent1" w:themeShade="BF"/>
    </w:rPr>
  </w:style>
  <w:style w:type="paragraph" w:styleId="IntenseQuote">
    <w:name w:val="Intense Quote"/>
    <w:basedOn w:val="Normal"/>
    <w:next w:val="Normal"/>
    <w:link w:val="IntenseQuoteChar"/>
    <w:uiPriority w:val="30"/>
    <w:qFormat/>
    <w:rsid w:val="002A1649"/>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2A1649"/>
    <w:rPr>
      <w:i/>
      <w:iCs/>
      <w:color w:val="0F4761" w:themeColor="accent1" w:themeShade="BF"/>
    </w:rPr>
  </w:style>
  <w:style w:type="character" w:styleId="IntenseReference">
    <w:name w:val="Intense Reference"/>
    <w:basedOn w:val="DefaultParagraphFont"/>
    <w:uiPriority w:val="32"/>
    <w:qFormat/>
    <w:rsid w:val="002A1649"/>
    <w:rPr>
      <w:b/>
      <w:bCs/>
      <w:smallCaps/>
      <w:color w:val="0F4761" w:themeColor="accent1" w:themeShade="BF"/>
      <w:spacing w:val="5"/>
    </w:rPr>
  </w:style>
  <w:style w:type="paragraph" w:styleId="BalloonText">
    <w:name w:val="Balloon Text"/>
    <w:basedOn w:val="Normal"/>
    <w:link w:val="BalloonTextChar"/>
    <w:uiPriority w:val="99"/>
    <w:semiHidden/>
    <w:unhideWhenUsed/>
    <w:rsid w:val="002A1649"/>
    <w:rPr>
      <w:rFonts w:ascii="MS Mincho" w:eastAsia="MS Mincho"/>
      <w:sz w:val="18"/>
      <w:szCs w:val="18"/>
    </w:rPr>
  </w:style>
  <w:style w:type="character" w:customStyle="1" w:styleId="BalloonTextChar">
    <w:name w:val="Balloon Text Char"/>
    <w:basedOn w:val="DefaultParagraphFont"/>
    <w:link w:val="BalloonText"/>
    <w:uiPriority w:val="99"/>
    <w:semiHidden/>
    <w:rsid w:val="002A1649"/>
    <w:rPr>
      <w:rFonts w:ascii="MS Mincho" w:eastAsia="MS Mincho" w:hAnsi="Times New Roman" w:cs="Times New Roman (本文のフォント - コンプレ"/>
      <w:sz w:val="18"/>
      <w:szCs w:val="18"/>
      <w:lang w:eastAsia="ja-JP"/>
      <w14:ligatures w14:val="none"/>
    </w:rPr>
  </w:style>
  <w:style w:type="paragraph" w:styleId="NormalWeb">
    <w:name w:val="Normal (Web)"/>
    <w:basedOn w:val="Normal"/>
    <w:uiPriority w:val="99"/>
    <w:unhideWhenUsed/>
    <w:rsid w:val="002A1649"/>
    <w:pPr>
      <w:widowControl/>
      <w:spacing w:before="100" w:beforeAutospacing="1" w:after="100" w:afterAutospacing="1"/>
      <w:jc w:val="left"/>
    </w:pPr>
    <w:rPr>
      <w:rFonts w:ascii="MS PGothic" w:eastAsia="MS PGothic" w:hAnsi="MS PGothic" w:cs="MS PGothic"/>
      <w:kern w:val="0"/>
    </w:rPr>
  </w:style>
  <w:style w:type="character" w:styleId="Emphasis">
    <w:name w:val="Emphasis"/>
    <w:basedOn w:val="DefaultParagraphFont"/>
    <w:uiPriority w:val="20"/>
    <w:qFormat/>
    <w:rsid w:val="002A1649"/>
    <w:rPr>
      <w:i/>
      <w:iCs/>
    </w:rPr>
  </w:style>
  <w:style w:type="character" w:styleId="Strong">
    <w:name w:val="Strong"/>
    <w:basedOn w:val="DefaultParagraphFont"/>
    <w:uiPriority w:val="22"/>
    <w:qFormat/>
    <w:rsid w:val="002A16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1746</Words>
  <Characters>9958</Characters>
  <Application>Microsoft Office Word</Application>
  <DocSecurity>0</DocSecurity>
  <Lines>82</Lines>
  <Paragraphs>23</Paragraphs>
  <ScaleCrop>false</ScaleCrop>
  <Company>Springer Nature</Company>
  <LinksUpToDate>false</LinksUpToDate>
  <CharactersWithSpaces>11681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2024-08-28T07:47:00Z</dcterms:created>
  <dcterms:modified xsi:type="dcterms:W3CDTF">2024-08-28T07:47:00Z</dcterms:modified>
</cp:coreProperties>
</file>