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29A" w:rsidRPr="00C8729A" w:rsidRDefault="00C8729A" w:rsidP="00CA52B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Supplementary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material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to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“</w:t>
      </w:r>
      <w:r w:rsidRPr="00C872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pt-BR"/>
        </w:rPr>
        <w:t xml:space="preserve">Novel Epitope-Based Diagnostic Probes Selected by Phage Display for </w:t>
      </w:r>
      <w:r w:rsidRPr="00C8729A">
        <w:rPr>
          <w:rFonts w:ascii="Times New Roman" w:eastAsia="Times New Roman" w:hAnsi="Times New Roman" w:cs="Times New Roman"/>
          <w:bCs/>
          <w:sz w:val="24"/>
          <w:szCs w:val="24"/>
          <w:lang w:val="en-US" w:eastAsia="pt-BR"/>
        </w:rPr>
        <w:t xml:space="preserve">the </w:t>
      </w:r>
      <w:r w:rsidRPr="00C872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pt-BR"/>
        </w:rPr>
        <w:t>Serological Detection of HDV”</w:t>
      </w:r>
    </w:p>
    <w:p w:rsid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pt-BR"/>
        </w:rPr>
      </w:pPr>
    </w:p>
    <w:p w:rsidR="00C8729A" w:rsidRPr="00C8729A" w:rsidRDefault="00096B4E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pt-B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pt-BR"/>
        </w:rPr>
        <w:t>Supplementary</w:t>
      </w:r>
      <w:r w:rsidR="00C8729A" w:rsidRPr="00C872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pt-BR"/>
        </w:rPr>
        <w:t xml:space="preserve"> Materials and Methods</w:t>
      </w: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</w:pP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 xml:space="preserve">Sample characterization and </w:t>
      </w:r>
      <w:r w:rsidRPr="00C8729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ethical</w:t>
      </w:r>
      <w:r w:rsidRPr="00C872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 xml:space="preserve"> aspects</w:t>
      </w: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</w:pPr>
    </w:p>
    <w:p w:rsidR="00C8729A" w:rsidRPr="00C8729A" w:rsidRDefault="00C8729A" w:rsidP="00CA52B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All the procedures followed the ethics guidelines and regulations. Two hundred blood serum samples were collected from a public diagnosis laboratory in the Amazon (northern region of Brazil) at the Central Laboratory of Public Health of Acre (LACEN-AC). The laboratory classified and codified the samples into the following groups according to their serologic status of viral hepatitis: Group 1 – HBsAg, anti-HBc total, anti-HBs, and anti-HCV negative (10 samples); Group 2 – HBsAg, anti-HCV, anti-HBc total negative and positive anti-HBs positive (10 samples); Group 3 (HBV Control) – HBsAg positive and anti-HDV negative (93 samples); and Group 4 (anti-HDV+) – HBsAg and anti-HDV positive (87 samples). The Ethics Committee of the Federal University of Uberlândia approved this project (CAAE: #44208621.2.0000.5152).</w:t>
      </w: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 xml:space="preserve">Phage </w:t>
      </w:r>
      <w:r w:rsidRPr="00C8729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display</w:t>
      </w: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</w:pPr>
    </w:p>
    <w:p w:rsid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pt-BR"/>
        </w:rPr>
        <w:t xml:space="preserve">Coupling of </w:t>
      </w:r>
      <w:proofErr w:type="spellStart"/>
      <w:r w:rsidRPr="00C8729A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pt-BR"/>
        </w:rPr>
        <w:t>IgGs</w:t>
      </w:r>
      <w:proofErr w:type="spellEnd"/>
      <w:r w:rsidRPr="00C8729A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pt-BR"/>
        </w:rPr>
        <w:t xml:space="preserve"> in protein G magnetic beads:</w:t>
      </w:r>
    </w:p>
    <w:p w:rsidR="00C8729A" w:rsidRPr="00C8729A" w:rsidRDefault="00C8729A" w:rsidP="00CA52B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To start the </w:t>
      </w:r>
      <w:r w:rsidRPr="00C8729A">
        <w:rPr>
          <w:rFonts w:ascii="Times New Roman" w:eastAsia="Times New Roman" w:hAnsi="Times New Roman" w:cs="Times New Roman"/>
          <w:i/>
          <w:sz w:val="24"/>
          <w:szCs w:val="24"/>
          <w:lang w:val="en-US" w:eastAsia="pt-BR"/>
        </w:rPr>
        <w:t>phage display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selection cycles, we employed magnetic protein G-coupled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Dynabeads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pt-BR"/>
        </w:rPr>
        <w:t>TM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(Life Technologies Corporation®, Carlsbad, CA, USA) for IgG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antibody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coupling. The protocol was performed following the manufacturer's guidelines, with some modifications. First, 2x10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pt-BR"/>
        </w:rPr>
        <w:t>9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bead particles (100 µL of the stock) were washed 3 times with phosphate-buffered saline (PBS) to activate the microspheres. Then, 100 µL of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pooled sample (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10 µL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from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10 patients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)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from each group of participants (Group 1, Group 2, Group 3,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and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Group 4)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was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added to 4 different tubes and incubated under agitation for 40 minutes at room temperature. The antibody-adsorbed beads were separated on a magnet stand (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DynaMag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™, Washington Mills North Grafton, Inc., North Grafton, MA, USA) to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remove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the supernatant (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nonbinding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antibodies). The attached beads were subsequently washed 3 times in PBS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supplemented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with 0.05% Tween 20 (0.05%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PBS-T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) to remove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nonbinding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antibodies.</w:t>
      </w: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en-US" w:eastAsia="pt-BR"/>
        </w:rPr>
        <w:t>Phage-ELISA:</w:t>
      </w:r>
    </w:p>
    <w:p w:rsidR="00C8729A" w:rsidRPr="00C8729A" w:rsidRDefault="00C8729A" w:rsidP="00CA52B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lastRenderedPageBreak/>
        <w:t xml:space="preserve">An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ELISA was performed to analyze the reactivity of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the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clones with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IgGs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from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the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anti-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HDV+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patients against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the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hepatitis B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control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.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Microtiter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plates (NUNC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Maxisorp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) were coated with 1:500 anti-M13 monoclonal antibody (GE Healthcare) diluted in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50 mM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bicarbonate buffer (pH 9.6) for 16 hours at 4 °C.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The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plates were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subsequently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washed (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with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PBS) and blocked with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0.05%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3% BSA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in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PBS-T for 1 hour at 37 °C. Then, the plates were washed 3 times with 0.05%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PBS-T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and incubated with phage supernatant for 1 hour at 37 °C. Subsequently, the plates were washed 6 times and incubated with a pool of serum from hepatitis B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control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patients and anti-HDV+ diluted 1:100 in 0.05%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PBS-T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for 1 hour at 37 °C. Again,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the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plates were washed six times and incubated with anti-human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IgG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conjugated with horseradish peroxidase (HRP) (1:5000). After 6 washes, antigen/antibody binding was detected by adding ortho-phenylenediamine (OPD) buffer at 1 mg/mL with 3% H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pt-BR"/>
        </w:rPr>
        <w:t>2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O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pt-BR"/>
        </w:rPr>
        <w:t>2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(Sigma Chemical Co.). To stop the reaction,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4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N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sulfuric acid was added. Reactivity was measured using a plate reader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492 nm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. The most promising phages were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subjected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to another round of phage ELISA with serum from individual patients (10 positives and 10 negatives from hepatitis D). We also assessed two blocking agents (BSA or skim milk) and serum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dilutions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(1:100, 1:250, and 1:500) and two different phage concentrations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10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pt-BR"/>
        </w:rPr>
        <w:t>10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and 10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pt-BR"/>
        </w:rPr>
        <w:t xml:space="preserve">11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pfu/well.</w:t>
      </w: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>Recombinant protein design, expression and purification</w:t>
      </w:r>
    </w:p>
    <w:p w:rsidR="00C8729A" w:rsidRPr="00C8729A" w:rsidRDefault="00C8729A" w:rsidP="00CA52B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</w:p>
    <w:p w:rsidR="00C8729A" w:rsidRPr="00C8729A" w:rsidRDefault="00C8729A" w:rsidP="00CA52B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rHDV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was synthesized using the pET-22b (+) cloning vector by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GenOne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Biotech (Rio de Janeiro, Brazil), and this vector was constructed from the L-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HDAg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virus protein sequence of portion 63-118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aa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with 12,4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kDa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. The plasmid was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subsequently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transformed into </w:t>
      </w:r>
      <w:r w:rsidRPr="00C8729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pt-BR"/>
        </w:rPr>
        <w:t xml:space="preserve">E. coli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BL21 (DE3)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pLysS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cells, which were subsequently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incubated on a Luria–Bertani (LB) agar plate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supplemented with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100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μg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/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mL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ampicillin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overnight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37 °C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. A single colony from this plate was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inoculated in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 10 mL LB culture (100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μg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/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mL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ampicillin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), which was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subsequently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grown for 12 h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37 °C and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250 rpm.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An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overnight culture was used to inoculate 600 mL of LB (100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μg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/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mL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ampicillin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)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 after which the mixture was incubated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to an optical density of 0.600 (OD=0.8). After growth,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1 mM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IPTG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was added,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and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the mixture was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incubated for 5 hours at 37 °C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and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250 rpm.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We collected the cells by centrifugation (3,500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×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g for 15 min,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4 °C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) and resuspended them in PBS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supplemented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with 0.25% lysozyme. The cells were lysed by thermal shock and sonication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3 times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under 0.55 cycles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at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55% amplitude for 30 seconds. After sonication, the cells were centrifuged at 10,000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×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g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4 °C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for 30 minutes. Then, the supernatant was discarded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and urea buffer (8 M urea and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25 mM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Tris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-HCl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pH 8.0) was added to the precipitated cells.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The mixture was subsequently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centrifuged at 10,000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×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g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and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4 °C for 20 minutes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 after which the precipitate was discarded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. The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lastRenderedPageBreak/>
        <w:t xml:space="preserve">supernatant was purified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via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HPLC (Shimadzu, Kyoto, Japan) and quantified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via SDS‒PAGE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using the ImageJ program, with BSA (1 mg/mL)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serving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as a reference.</w:t>
      </w: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</w:p>
    <w:p w:rsidR="00C8729A" w:rsidRPr="00C8729A" w:rsidRDefault="00C8729A" w:rsidP="00CA52B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>ELISA using the synthetic peptides and recombinant prote</w:t>
      </w:r>
      <w:r w:rsidRPr="00C8729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in</w:t>
      </w:r>
    </w:p>
    <w:p w:rsidR="00C8729A" w:rsidRPr="00C8729A" w:rsidRDefault="00C8729A" w:rsidP="00CA52B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</w:p>
    <w:p w:rsidR="001D05B3" w:rsidRDefault="00C8729A" w:rsidP="00CA52B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The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first ELISA with the synthetic peptides (HDAg1, HDAg2, HDAg3) was performed to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determine the optimal conditions for diluting the serum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(1:100, 1:250) and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diluting the peptides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(200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ng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/well and 1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μg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/well). For this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purpose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, an ELISA plate (Greiner,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Frickenhausen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, Germany) was coated in duplicate with HDAg1, HDAg2,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or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HDAg3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and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diluted with carbonate buffer (0.1 M NaHCO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pt-BR"/>
        </w:rPr>
        <w:t>3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, pH 8.6) overnight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4 °C. The cells were then washed (0.05% PBS-T) and blocked (0.05% PBS-T with 5% skim milk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) for 1 hour. The plate was incubated for 1 h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37 °C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with individual sera (1:100 and 1:250 in 0.05%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PBS-T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). The wells were washed 6 times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followed by incubation with anti-IgG human HRP (GE Healthcare) diluted (1:5000) in 0.05%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PBS-T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for 1 h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37 °C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. The plate was washed 6 times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and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developed with OPD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SigmaFast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™ (Sigma‒Aldrich)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and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the absorbance was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read at 492 nm. Another ELISA protocol was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used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to compare the reactivity of HDAg3 and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rHDV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in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anti-HDV+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patients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(87 samples) and HBV controls (93 samples). An ELISA plate was coated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with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duplicate HDAg3 (200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ng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/well) and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rHDV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(0.05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μg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/well) diluted with carbonate buffer (0.1 M NaHCO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pt-BR"/>
        </w:rPr>
        <w:t>3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, pH 8.6) overnight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4 °C. The wells were then washed (0.1% PBS-T) and blocked (0.1% PBS-T with 5% skim milk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) for 1 hour. The plate was incubated for 1 h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37 °C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with individual sera (1:250 in 0.1%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PBS-T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). The wells were washed 6 times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followed by incubation with anti-human IgG HRP (GE Healthcare) and anti-human IgM (µ-chain specific) HRP (Sigma‒Aldrich) diluted (1:5000) in 0.1%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PBS-T 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for 1 h at 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37 °C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. The plate was washed 6 times and developed with OPD </w:t>
      </w:r>
      <w:proofErr w:type="spellStart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SigmaFast</w:t>
      </w:r>
      <w:proofErr w:type="spellEnd"/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™ (Sigma‒Aldrich)</w:t>
      </w:r>
      <w:r w:rsidRPr="00C8729A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,</w:t>
      </w:r>
      <w:r w:rsidRPr="00C8729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and subsequent readings were taken at 492 nm.</w:t>
      </w:r>
    </w:p>
    <w:p w:rsidR="00096B4E" w:rsidRDefault="00096B4E" w:rsidP="00CA52B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br w:type="page"/>
      </w:r>
    </w:p>
    <w:p w:rsidR="00096B4E" w:rsidRPr="00D77BA2" w:rsidRDefault="00096B4E" w:rsidP="00096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lastRenderedPageBreak/>
        <w:t>Supplementary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D77B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Table</w:t>
      </w:r>
      <w:proofErr w:type="spellEnd"/>
      <w:r w:rsidRPr="00D77B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S</w:t>
      </w:r>
      <w:r w:rsidRPr="00D77BA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1. </w:t>
      </w:r>
      <w:proofErr w:type="spellStart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Sequence</w:t>
      </w:r>
      <w:proofErr w:type="spellEnd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and</w:t>
      </w:r>
      <w:proofErr w:type="spellEnd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frequency</w:t>
      </w:r>
      <w:proofErr w:type="spellEnd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of</w:t>
      </w:r>
      <w:proofErr w:type="spellEnd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phage</w:t>
      </w:r>
      <w:proofErr w:type="spellEnd"/>
      <w:r w:rsidRPr="00D77B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clones.</w:t>
      </w:r>
    </w:p>
    <w:tbl>
      <w:tblPr>
        <w:tblW w:w="0" w:type="auto"/>
        <w:tblLayout w:type="fixed"/>
        <w:tblLook w:val="06A0"/>
      </w:tblPr>
      <w:tblGrid>
        <w:gridCol w:w="680"/>
        <w:gridCol w:w="1106"/>
        <w:gridCol w:w="1077"/>
        <w:gridCol w:w="283"/>
        <w:gridCol w:w="680"/>
        <w:gridCol w:w="1106"/>
        <w:gridCol w:w="1077"/>
        <w:gridCol w:w="283"/>
        <w:gridCol w:w="680"/>
        <w:gridCol w:w="1077"/>
        <w:gridCol w:w="1077"/>
      </w:tblGrid>
      <w:tr w:rsidR="00096B4E" w:rsidRPr="00D77BA2" w:rsidTr="005D1C60">
        <w:trPr>
          <w:trHeight w:val="525"/>
        </w:trPr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Clones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Sequence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Frequency clones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096B4E" w:rsidRPr="00D77BA2" w:rsidRDefault="00096B4E" w:rsidP="005D1C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Clones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Sequence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Frequency clones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096B4E" w:rsidRPr="00D77BA2" w:rsidRDefault="00096B4E" w:rsidP="005D1C6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Clones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Sequence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Frequency clones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KQEDGGP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HD17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KDSVSGP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NSHRHGA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KDAMGGP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KDNPGGP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DTTLTWF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RNEDGGP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KDAVGGP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KDESGSY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30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QQEDGGP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KDSVAGP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TQKEPAW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NRDHRIQ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YLHGYGT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RYDDGGP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KDNTGGP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LWWEKPT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MSTDNNY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PRQEDGG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LWWEKQK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KDGSGGP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MNESFPG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LWWQTHL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MEEDGGP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KDEFGAY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RSDDGGP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LTDVRGA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SKQEDGG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KAYPYLK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KEGHECQ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SKEATPF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RDSHRLL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LWWEQSR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KDEHAGS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DTTLSDN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KDGLAGP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KEDQRGQ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HD29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KEDHVGP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KDPGAGP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TSEDGGP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QQEDGGH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SRIQMLH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KDGAGGP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KDDAGGP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3/80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B4E" w:rsidRPr="00D77BA2" w:rsidTr="005D1C60">
        <w:trPr>
          <w:trHeight w:val="285"/>
        </w:trPr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HD16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DTTLHLG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2/80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HD32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KDEYGAY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1/80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7BA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096B4E" w:rsidRPr="00D77BA2" w:rsidRDefault="00096B4E" w:rsidP="005D1C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096B4E" w:rsidRDefault="00096B4E" w:rsidP="00096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pt-BR"/>
        </w:rPr>
      </w:pPr>
    </w:p>
    <w:p w:rsidR="00096B4E" w:rsidRDefault="00096B4E" w:rsidP="00096B4E">
      <w:pP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pt-BR"/>
        </w:rPr>
        <w:br w:type="page"/>
      </w:r>
    </w:p>
    <w:p w:rsidR="00096B4E" w:rsidRPr="005C76EC" w:rsidRDefault="00096B4E" w:rsidP="00096B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pt-BR"/>
        </w:rPr>
        <w:lastRenderedPageBreak/>
        <w:t>Supplementary</w:t>
      </w:r>
      <w:proofErr w:type="spellEnd"/>
      <w:r w:rsidRPr="005C76EC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pt-BR"/>
        </w:rPr>
        <w:t xml:space="preserve"> </w:t>
      </w:r>
      <w:proofErr w:type="spellStart"/>
      <w:r w:rsidRPr="005C76EC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pt-BR"/>
        </w:rPr>
        <w:t>Table</w:t>
      </w:r>
      <w:proofErr w:type="spellEnd"/>
      <w:r w:rsidRPr="005C76EC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pt-BR"/>
        </w:rPr>
        <w:t>S</w:t>
      </w:r>
      <w:r w:rsidRPr="005C76EC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pt-BR"/>
        </w:rPr>
        <w:t xml:space="preserve">2. </w:t>
      </w:r>
      <w:proofErr w:type="spellStart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>Genotype</w:t>
      </w:r>
      <w:proofErr w:type="spellEnd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 xml:space="preserve"> </w:t>
      </w:r>
      <w:proofErr w:type="spellStart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>of</w:t>
      </w:r>
      <w:proofErr w:type="spellEnd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 xml:space="preserve"> HDV </w:t>
      </w:r>
      <w:proofErr w:type="spellStart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>sample</w:t>
      </w:r>
      <w:proofErr w:type="spellEnd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 xml:space="preserve">, </w:t>
      </w:r>
      <w:proofErr w:type="spellStart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>epidemiological</w:t>
      </w:r>
      <w:proofErr w:type="spellEnd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 xml:space="preserve"> data, </w:t>
      </w:r>
      <w:proofErr w:type="spellStart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>and</w:t>
      </w:r>
      <w:proofErr w:type="spellEnd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 xml:space="preserve"> viral </w:t>
      </w:r>
      <w:proofErr w:type="spellStart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>load</w:t>
      </w:r>
      <w:proofErr w:type="spellEnd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 xml:space="preserve"> </w:t>
      </w:r>
      <w:proofErr w:type="spellStart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>of</w:t>
      </w:r>
      <w:proofErr w:type="spellEnd"/>
      <w:r w:rsidRPr="005C76EC">
        <w:rPr>
          <w:rFonts w:ascii="Times New Roman" w:eastAsia="Times New Roman" w:hAnsi="Times New Roman" w:cs="Times New Roman"/>
          <w:color w:val="000000"/>
          <w:sz w:val="24"/>
          <w:szCs w:val="20"/>
          <w:lang w:eastAsia="pt-BR"/>
        </w:rPr>
        <w:t xml:space="preserve"> HDV.</w:t>
      </w:r>
    </w:p>
    <w:tbl>
      <w:tblPr>
        <w:tblStyle w:val="SimplesTabela21"/>
        <w:tblW w:w="0" w:type="auto"/>
        <w:tblLook w:val="06A0"/>
      </w:tblPr>
      <w:tblGrid>
        <w:gridCol w:w="1124"/>
        <w:gridCol w:w="230"/>
        <w:gridCol w:w="1198"/>
        <w:gridCol w:w="1457"/>
        <w:gridCol w:w="2060"/>
        <w:gridCol w:w="1249"/>
        <w:gridCol w:w="1186"/>
      </w:tblGrid>
      <w:tr w:rsidR="00096B4E" w:rsidRPr="005C76EC" w:rsidTr="005D1C60">
        <w:trPr>
          <w:cnfStyle w:val="100000000000"/>
          <w:trHeight w:val="645"/>
        </w:trPr>
        <w:tc>
          <w:tcPr>
            <w:cnfStyle w:val="001000000000"/>
            <w:tcW w:w="1124" w:type="dxa"/>
            <w:noWrap/>
            <w:vAlign w:val="center"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ID sample</w:t>
            </w:r>
          </w:p>
        </w:tc>
        <w:tc>
          <w:tcPr>
            <w:tcW w:w="1428" w:type="dxa"/>
            <w:gridSpan w:val="2"/>
            <w:vAlign w:val="center"/>
            <w:hideMark/>
          </w:tcPr>
          <w:p w:rsidR="00096B4E" w:rsidRPr="005C76EC" w:rsidRDefault="00096B4E" w:rsidP="005D1C6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Viral </w:t>
            </w:r>
            <w:proofErr w:type="spellStart"/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Load</w:t>
            </w:r>
            <w:proofErr w:type="spellEnd"/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Log</w:t>
            </w:r>
            <w:proofErr w:type="spellEnd"/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10 copies/mL)</w:t>
            </w:r>
          </w:p>
        </w:tc>
        <w:tc>
          <w:tcPr>
            <w:tcW w:w="1457" w:type="dxa"/>
            <w:noWrap/>
            <w:vAlign w:val="center"/>
            <w:hideMark/>
          </w:tcPr>
          <w:p w:rsidR="00096B4E" w:rsidRPr="005C76EC" w:rsidRDefault="00096B4E" w:rsidP="005D1C6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Collection</w:t>
            </w:r>
            <w:proofErr w:type="spellEnd"/>
          </w:p>
          <w:p w:rsidR="00096B4E" w:rsidRPr="005C76EC" w:rsidRDefault="00096B4E" w:rsidP="005D1C6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Date</w:t>
            </w:r>
          </w:p>
        </w:tc>
        <w:tc>
          <w:tcPr>
            <w:tcW w:w="2060" w:type="dxa"/>
            <w:noWrap/>
            <w:vAlign w:val="center"/>
            <w:hideMark/>
          </w:tcPr>
          <w:p w:rsidR="00096B4E" w:rsidRPr="005C76EC" w:rsidRDefault="00096B4E" w:rsidP="005D1C6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Residence</w:t>
            </w:r>
            <w:proofErr w:type="spellEnd"/>
          </w:p>
          <w:p w:rsidR="00096B4E" w:rsidRPr="005C76EC" w:rsidRDefault="00096B4E" w:rsidP="005D1C6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City</w:t>
            </w:r>
          </w:p>
        </w:tc>
        <w:tc>
          <w:tcPr>
            <w:tcW w:w="1249" w:type="dxa"/>
            <w:noWrap/>
            <w:vAlign w:val="center"/>
            <w:hideMark/>
          </w:tcPr>
          <w:p w:rsidR="00096B4E" w:rsidRPr="005C76EC" w:rsidRDefault="00096B4E" w:rsidP="005D1C6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5C76E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GenBank</w:t>
            </w:r>
            <w:proofErr w:type="spellEnd"/>
          </w:p>
        </w:tc>
        <w:tc>
          <w:tcPr>
            <w:tcW w:w="1186" w:type="dxa"/>
            <w:vAlign w:val="center"/>
          </w:tcPr>
          <w:p w:rsidR="00096B4E" w:rsidRPr="005C76EC" w:rsidRDefault="00096B4E" w:rsidP="005D1C60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HDV </w:t>
            </w:r>
            <w:proofErr w:type="spellStart"/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Genotype</w:t>
            </w:r>
            <w:proofErr w:type="spellEnd"/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4.3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6,02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14/08/2018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keepNext/>
              <w:keepLines/>
              <w:jc w:val="center"/>
              <w:outlineLvl w:val="5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OR792427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4.4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6,38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23/11/2018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Boca do Acre – AM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keepNext/>
              <w:keepLines/>
              <w:jc w:val="center"/>
              <w:outlineLvl w:val="5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OR792428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4.9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3,69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29/10/2018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Guajará- AM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keepNext/>
              <w:keepLines/>
              <w:jc w:val="center"/>
              <w:outlineLvl w:val="5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OR792429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4.18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4,69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12/06/2019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keepNext/>
              <w:keepLines/>
              <w:jc w:val="center"/>
              <w:outlineLvl w:val="5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OR792430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4.20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6,50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22/02/2019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keepNext/>
              <w:keepLines/>
              <w:jc w:val="center"/>
              <w:outlineLvl w:val="5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OR792431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4.23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5,36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28/01/2019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keepNext/>
              <w:keepLines/>
              <w:jc w:val="center"/>
              <w:outlineLvl w:val="5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OR792432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4.27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6,52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19/12/2018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OR792433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4.31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5,27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11/10/2018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OR792434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4.38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5,04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26/07/2018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OR792435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4.39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7,72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11/07/2018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OR792436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4.48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5,05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13/04/2018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OR792437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4.52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6,37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16/12/2018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OR792438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4.54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6,40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19/12/2018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Porto Walter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OR792439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4.56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4,46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08/01/2019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OR792440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4.59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5,98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26/11/2018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OR792441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4.71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31/10/2018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OR792442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4.74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4,70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25/09/2018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OR792443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4.76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7,68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31/08/2018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Tarauacá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OR792444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4.77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6,10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31/08/2018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Envira – AM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OR792445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4.81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5,10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27/08/2018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OR792446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4.82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6,17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21/08/2018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Sena Madureira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OR792447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4.84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6,83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09/08/2018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Porto Walter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OR792448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4.87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6,59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09/07/2018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Feijó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OR792449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4.93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4,75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12/12/2018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OR792450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4.94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6,33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03/08/2018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Sena Madureira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OR792451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4.96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4,61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07/11/2018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Cruzeiro do Sul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OR792452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4.98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5,93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06/11/2018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Porto Walter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OR792453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  <w:tr w:rsidR="00096B4E" w:rsidRPr="005C76EC" w:rsidTr="005D1C60">
        <w:trPr>
          <w:trHeight w:val="306"/>
        </w:trPr>
        <w:tc>
          <w:tcPr>
            <w:cnfStyle w:val="001000000000"/>
            <w:tcW w:w="1354" w:type="dxa"/>
            <w:gridSpan w:val="2"/>
            <w:noWrap/>
            <w:hideMark/>
          </w:tcPr>
          <w:p w:rsidR="00096B4E" w:rsidRPr="005C76EC" w:rsidRDefault="00096B4E" w:rsidP="005D1C6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4.105</w:t>
            </w:r>
          </w:p>
        </w:tc>
        <w:tc>
          <w:tcPr>
            <w:tcW w:w="1198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5,62</w:t>
            </w:r>
          </w:p>
        </w:tc>
        <w:tc>
          <w:tcPr>
            <w:tcW w:w="1457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05/07/2018</w:t>
            </w:r>
          </w:p>
        </w:tc>
        <w:tc>
          <w:tcPr>
            <w:tcW w:w="2060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Rio Branco – AC</w:t>
            </w:r>
          </w:p>
        </w:tc>
        <w:tc>
          <w:tcPr>
            <w:tcW w:w="1249" w:type="dxa"/>
            <w:noWrap/>
            <w:hideMark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pt-BR"/>
              </w:rPr>
              <w:t>OR792454</w:t>
            </w:r>
          </w:p>
        </w:tc>
        <w:tc>
          <w:tcPr>
            <w:tcW w:w="1186" w:type="dxa"/>
          </w:tcPr>
          <w:p w:rsidR="00096B4E" w:rsidRPr="005C76EC" w:rsidRDefault="00096B4E" w:rsidP="005D1C60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5C76E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HDV-3</w:t>
            </w:r>
          </w:p>
        </w:tc>
      </w:tr>
    </w:tbl>
    <w:p w:rsidR="002A42E0" w:rsidRDefault="002A42E0" w:rsidP="00CA52B2">
      <w:pPr>
        <w:spacing w:after="0" w:line="360" w:lineRule="auto"/>
        <w:jc w:val="both"/>
      </w:pPr>
    </w:p>
    <w:p w:rsidR="002A42E0" w:rsidRDefault="002A42E0" w:rsidP="00147811">
      <w:pPr>
        <w:spacing w:line="360" w:lineRule="auto"/>
      </w:pPr>
      <w:r>
        <w:br w:type="page"/>
      </w:r>
    </w:p>
    <w:p w:rsidR="00096B4E" w:rsidRDefault="002A42E0" w:rsidP="00147811">
      <w:pPr>
        <w:spacing w:after="0" w:line="360" w:lineRule="auto"/>
        <w:jc w:val="both"/>
      </w:pPr>
      <w:r>
        <w:rPr>
          <w:noProof/>
          <w:lang w:eastAsia="pt-BR"/>
        </w:rPr>
        <w:lastRenderedPageBreak/>
        <w:drawing>
          <wp:inline distT="0" distB="0" distL="0" distR="0">
            <wp:extent cx="5981700" cy="3551180"/>
            <wp:effectExtent l="0" t="0" r="0" b="0"/>
            <wp:docPr id="540931737" name="Imagem 1" descr="Gráfico, Gráfico de lin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931737" name="Imagem 1" descr="Gráfico, Gráfico de linhas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486" cy="3557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2E0" w:rsidRDefault="002A42E0" w:rsidP="001478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</w:pPr>
      <w:proofErr w:type="spellStart"/>
      <w:r w:rsidRPr="002A42E0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pt-BR"/>
        </w:rPr>
        <w:t>Supplementary</w:t>
      </w:r>
      <w:proofErr w:type="spellEnd"/>
      <w:r w:rsidRPr="002A42E0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pt-BR"/>
        </w:rPr>
        <w:t xml:space="preserve"> Fig. S1.</w:t>
      </w:r>
      <w:r w:rsidRPr="002A42E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Antigenicity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analysis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of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the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L-HDAg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protein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sequence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with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the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Bepipred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program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.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The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yellow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peaks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represent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the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B-cell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epitopes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,</w:t>
      </w:r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and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the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green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peaks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represent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non-B</w:t>
      </w:r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-</w:t>
      </w:r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cell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epitopes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.</w:t>
      </w:r>
    </w:p>
    <w:p w:rsidR="002A42E0" w:rsidRDefault="002A42E0" w:rsidP="001478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</w:pPr>
    </w:p>
    <w:p w:rsidR="002A42E0" w:rsidRDefault="002A42E0" w:rsidP="001478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953125" cy="5740513"/>
            <wp:effectExtent l="0" t="0" r="0" b="0"/>
            <wp:docPr id="427061203" name="Imagem 2" descr="Tela de computador com luz vermelh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061203" name="Imagem 2" descr="Tela de computador com luz vermelh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574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2E0" w:rsidRPr="002A42E0" w:rsidRDefault="002A42E0" w:rsidP="0014781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pt-BR"/>
        </w:rPr>
      </w:pPr>
      <w:bookmarkStart w:id="0" w:name="_Hlk160632056"/>
      <w:proofErr w:type="spellStart"/>
      <w:r w:rsidRPr="002A42E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pt-BR"/>
        </w:rPr>
        <w:t>Supplementary</w:t>
      </w:r>
      <w:proofErr w:type="spellEnd"/>
      <w:r w:rsidRPr="002A42E0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pt-BR"/>
        </w:rPr>
        <w:t xml:space="preserve"> Fig. S2. </w:t>
      </w:r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ELISA to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evaluate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the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synthetic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peptides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. (A)</w:t>
      </w:r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Different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synthetic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>peptides</w:t>
      </w:r>
      <w:proofErr w:type="spellEnd"/>
      <w:r w:rsidRPr="002A42E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  <w:t xml:space="preserve"> </w:t>
      </w:r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HDAg1, HDAg2,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and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HDAg3; (B)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different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concentrations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of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serum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(1:100, 1:250)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with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HDAg3;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and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(C)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different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concentrations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of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HDAg3 (200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ng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and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1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μg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)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from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10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serum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anti-HDV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+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individuals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from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10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serum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 xml:space="preserve"> HBV </w:t>
      </w:r>
      <w:proofErr w:type="spellStart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controls</w:t>
      </w:r>
      <w:proofErr w:type="spellEnd"/>
      <w:r w:rsidRPr="002A42E0">
        <w:rPr>
          <w:rFonts w:ascii="Times New Roman" w:eastAsia="Times New Roman" w:hAnsi="Times New Roman" w:cs="Times New Roman"/>
          <w:kern w:val="2"/>
          <w:sz w:val="24"/>
          <w:szCs w:val="24"/>
          <w:lang w:eastAsia="pt-BR"/>
        </w:rPr>
        <w:t>.</w:t>
      </w:r>
      <w:bookmarkEnd w:id="0"/>
    </w:p>
    <w:p w:rsidR="002A42E0" w:rsidRPr="002A42E0" w:rsidRDefault="002A42E0" w:rsidP="0014781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val="en-US" w:eastAsia="pt-BR"/>
        </w:rPr>
      </w:pPr>
    </w:p>
    <w:p w:rsidR="002A42E0" w:rsidRPr="002A42E0" w:rsidRDefault="002A42E0" w:rsidP="001478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t-BR"/>
        </w:rPr>
      </w:pPr>
    </w:p>
    <w:p w:rsidR="002A42E0" w:rsidRDefault="002A42E0" w:rsidP="00147811">
      <w:pPr>
        <w:spacing w:after="0" w:line="360" w:lineRule="auto"/>
        <w:jc w:val="both"/>
      </w:pPr>
    </w:p>
    <w:sectPr w:rsidR="002A42E0" w:rsidSect="00C8729A">
      <w:pgSz w:w="11906" w:h="16838"/>
      <w:pgMar w:top="1418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8729A"/>
    <w:rsid w:val="000170C5"/>
    <w:rsid w:val="00096B4E"/>
    <w:rsid w:val="000C684B"/>
    <w:rsid w:val="00147811"/>
    <w:rsid w:val="001D05B3"/>
    <w:rsid w:val="002A42E0"/>
    <w:rsid w:val="008F6601"/>
    <w:rsid w:val="00C8729A"/>
    <w:rsid w:val="00CA52B2"/>
    <w:rsid w:val="00D10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5B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SimplesTabela21">
    <w:name w:val="Simples Tabela 21"/>
    <w:basedOn w:val="Tabelanormal"/>
    <w:uiPriority w:val="42"/>
    <w:rsid w:val="00096B4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96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6B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3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1578</Words>
  <Characters>8525</Characters>
  <Application>Microsoft Office Word</Application>
  <DocSecurity>0</DocSecurity>
  <Lines>71</Lines>
  <Paragraphs>20</Paragraphs>
  <ScaleCrop>false</ScaleCrop>
  <Company/>
  <LinksUpToDate>false</LinksUpToDate>
  <CharactersWithSpaces>10083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6</cp:revision>
  <dcterms:created xsi:type="dcterms:W3CDTF">2024-07-17T22:50:00Z</dcterms:created>
  <dcterms:modified xsi:type="dcterms:W3CDTF">2024-09-02T15:02:00Z</dcterms:modified>
</cp:coreProperties>
</file>