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360" w:lineRule="auto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SUPPLEMENTARY MATERIAL</w:t>
      </w:r>
    </w:p>
    <w:p w:rsidR="00000000" w:rsidDel="00000000" w:rsidP="00000000" w:rsidRDefault="00000000" w:rsidRPr="00000000" w14:paraId="00000002">
      <w:pPr>
        <w:spacing w:after="0" w:line="360" w:lineRule="auto"/>
        <w:ind w:left="-2" w:hanging="2"/>
        <w:jc w:val="both"/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Mapping the global distribution and predicting the potential expansion of </w:t>
      </w:r>
      <w:r w:rsidDel="00000000" w:rsidR="00000000" w:rsidRPr="00000000">
        <w:rPr>
          <w:rFonts w:ascii="Arial" w:cs="Arial" w:eastAsia="Arial" w:hAnsi="Arial"/>
          <w:i w:val="1"/>
          <w:color w:val="222222"/>
          <w:highlight w:val="white"/>
          <w:rtl w:val="0"/>
        </w:rPr>
        <w:t xml:space="preserve">Ceratium </w:t>
      </w: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(Dinophyceae): development of an interactive platform</w:t>
      </w:r>
    </w:p>
    <w:p w:rsidR="00000000" w:rsidDel="00000000" w:rsidP="00000000" w:rsidRDefault="00000000" w:rsidRPr="00000000" w14:paraId="00000003">
      <w:pPr>
        <w:spacing w:after="0" w:line="360" w:lineRule="auto"/>
        <w:ind w:left="-2" w:hanging="2"/>
        <w:jc w:val="both"/>
        <w:rPr>
          <w:rFonts w:ascii="Arial" w:cs="Arial" w:eastAsia="Arial" w:hAnsi="Arial"/>
          <w:b w:val="1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ind w:left="-2" w:hanging="2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AUTHORS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AND AFFILIATIONS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Victoria Accattatis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Micaela Milano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b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Ruan Dutra da Silva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Paula Huber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d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Sebastian Metz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António J. Calado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f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Sandra C. Craveiro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f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Marina Forastier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g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Claudia Piccini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h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Luciana de Souza Cardoso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Melina Devercelli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a,i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*</w:t>
      </w:r>
    </w:p>
    <w:p w:rsidR="00000000" w:rsidDel="00000000" w:rsidP="00000000" w:rsidRDefault="00000000" w:rsidRPr="00000000" w14:paraId="00000006">
      <w:pPr>
        <w:spacing w:after="0" w:line="36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superscript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Instituto Nacional de Limnología (INALI), Consejo Nacional de Investigaciones Científicas y Técnicas, Universidad Nacional del Litoral, Ciudad Universitaria, Santa Fe, Argentina.</w:t>
      </w:r>
    </w:p>
    <w:p w:rsidR="00000000" w:rsidDel="00000000" w:rsidP="00000000" w:rsidRDefault="00000000" w:rsidRPr="00000000" w14:paraId="00000008">
      <w:pPr>
        <w:spacing w:after="0" w:line="36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superscript"/>
          <w:rtl w:val="0"/>
        </w:rPr>
        <w:t xml:space="preserve">b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Facultad de Humanidades, Artes y Ciencias Sociales, Universidad Autónoma de Entre Ríos (UADER), Entre Ríos, Argentina.</w:t>
      </w:r>
    </w:p>
    <w:p w:rsidR="00000000" w:rsidDel="00000000" w:rsidP="00000000" w:rsidRDefault="00000000" w:rsidRPr="00000000" w14:paraId="00000009">
      <w:pPr>
        <w:spacing w:after="0" w:line="36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super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Instituto de Biociências, Universidade Federal do Rio Grande do Sul, Porto Alegre, Rio Grande do Sul, Brasil.</w:t>
      </w:r>
    </w:p>
    <w:p w:rsidR="00000000" w:rsidDel="00000000" w:rsidP="00000000" w:rsidRDefault="00000000" w:rsidRPr="00000000" w14:paraId="0000000A">
      <w:pPr>
        <w:spacing w:after="0" w:line="36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superscript"/>
          <w:rtl w:val="0"/>
        </w:rPr>
        <w:t xml:space="preserve">d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Departamento de Hidrobiología, Universidade Federal de São Carlos. São Carlos, Brasil. </w:t>
      </w:r>
    </w:p>
    <w:p w:rsidR="00000000" w:rsidDel="00000000" w:rsidP="00000000" w:rsidRDefault="00000000" w:rsidRPr="00000000" w14:paraId="0000000B">
      <w:pPr>
        <w:spacing w:after="0" w:line="36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superscript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Department of Archaeology, University of York, York, UK</w:t>
      </w:r>
    </w:p>
    <w:p w:rsidR="00000000" w:rsidDel="00000000" w:rsidP="00000000" w:rsidRDefault="00000000" w:rsidRPr="00000000" w14:paraId="0000000C">
      <w:pPr>
        <w:spacing w:after="0" w:line="36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superscript"/>
          <w:rtl w:val="0"/>
        </w:rPr>
        <w:t xml:space="preserve">f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Department of Biology and GeoBioTec Research Unit, University of Aveiro, P-3810-193 Aveiro, Portugal</w:t>
      </w:r>
    </w:p>
    <w:p w:rsidR="00000000" w:rsidDel="00000000" w:rsidP="00000000" w:rsidRDefault="00000000" w:rsidRPr="00000000" w14:paraId="0000000D">
      <w:pPr>
        <w:spacing w:after="0" w:line="36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superscript"/>
          <w:rtl w:val="0"/>
        </w:rPr>
        <w:t xml:space="preserve">g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Centro de Ecología Aplicada del Litoral (CECOAL) Consejo Nacional de Investigaciones Científicas y Técnicas- (CONICET), Universidad Nacional del Nordeste (UNNE), Corrientes, Argentina</w:t>
      </w:r>
    </w:p>
    <w:p w:rsidR="00000000" w:rsidDel="00000000" w:rsidP="00000000" w:rsidRDefault="00000000" w:rsidRPr="00000000" w14:paraId="0000000E">
      <w:pPr>
        <w:spacing w:after="0" w:line="36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superscript"/>
          <w:rtl w:val="0"/>
        </w:rPr>
        <w:t xml:space="preserve">h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Departamento de Microbiología, Instituto de Investigaciones Biológicas Clemente Estable, Avenida Italia 3318, 11600 Montevideo, Uruguay</w:t>
      </w:r>
    </w:p>
    <w:p w:rsidR="00000000" w:rsidDel="00000000" w:rsidP="00000000" w:rsidRDefault="00000000" w:rsidRPr="00000000" w14:paraId="0000000F">
      <w:pPr>
        <w:spacing w:after="0" w:line="36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superscript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Centro Regional Litoral, Instituto Nacional del Agua, Santa Fe, Argentina.</w:t>
      </w:r>
    </w:p>
    <w:p w:rsidR="00000000" w:rsidDel="00000000" w:rsidP="00000000" w:rsidRDefault="00000000" w:rsidRPr="00000000" w14:paraId="00000010">
      <w:pPr>
        <w:spacing w:after="0" w:line="36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36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*Corresponding author</w:t>
      </w:r>
    </w:p>
    <w:p w:rsidR="00000000" w:rsidDel="00000000" w:rsidP="00000000" w:rsidRDefault="00000000" w:rsidRPr="00000000" w14:paraId="00000012">
      <w:pPr>
        <w:spacing w:after="0" w:line="36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Email address: meldevercelli@gmail.com</w:t>
      </w:r>
    </w:p>
    <w:p w:rsidR="00000000" w:rsidDel="00000000" w:rsidP="00000000" w:rsidRDefault="00000000" w:rsidRPr="00000000" w14:paraId="00000013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360" w:lineRule="auto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Supplementary Table 1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color w:val="1f1f1f"/>
          <w:sz w:val="20"/>
          <w:szCs w:val="20"/>
          <w:highlight w:val="white"/>
          <w:rtl w:val="0"/>
        </w:rPr>
        <w:t xml:space="preserve">Codes and names of the environmental variables obtained from Terraclimate (https://www.climatologylab.org/terraclimate.html). Variables retained after running the variance inflation factor (VIF) are marked with *.</w:t>
      </w:r>
      <w:r w:rsidDel="00000000" w:rsidR="00000000" w:rsidRPr="00000000">
        <w:rPr>
          <w:rtl w:val="0"/>
        </w:rPr>
      </w:r>
    </w:p>
    <w:tbl>
      <w:tblPr>
        <w:tblStyle w:val="Table1"/>
        <w:tblW w:w="874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25"/>
        <w:gridCol w:w="3000"/>
        <w:gridCol w:w="840"/>
        <w:gridCol w:w="1035"/>
        <w:gridCol w:w="1035"/>
        <w:gridCol w:w="1035"/>
        <w:gridCol w:w="975"/>
        <w:tblGridChange w:id="0">
          <w:tblGrid>
            <w:gridCol w:w="825"/>
            <w:gridCol w:w="3000"/>
            <w:gridCol w:w="840"/>
            <w:gridCol w:w="1035"/>
            <w:gridCol w:w="1035"/>
            <w:gridCol w:w="1035"/>
            <w:gridCol w:w="975"/>
          </w:tblGrid>
        </w:tblGridChange>
      </w:tblGrid>
      <w:tr>
        <w:trPr>
          <w:cantSplit w:val="0"/>
          <w:trHeight w:val="22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bdbdbd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c0c0c"/>
                <w:rtl w:val="0"/>
              </w:rPr>
              <w:t xml:space="preserve">Code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bdbdbd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c0c0c"/>
                <w:rtl w:val="0"/>
              </w:rPr>
              <w:t xml:space="preserve">Climatic variable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bdbdbd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c0c0c"/>
                <w:rtl w:val="0"/>
              </w:rPr>
              <w:t xml:space="preserve">Units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bdbdbd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color w:val="0c0c0c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c0c0c"/>
                <w:rtl w:val="0"/>
              </w:rPr>
              <w:t xml:space="preserve">Max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bdbdbd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color w:val="0c0c0c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c0c0c"/>
                <w:rtl w:val="0"/>
              </w:rPr>
              <w:t xml:space="preserve">Min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bdbdbd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color w:val="0c0c0c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c0c0c"/>
                <w:rtl w:val="0"/>
              </w:rPr>
              <w:t xml:space="preserve">Mean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bdbdbd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color w:val="0c0c0c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c0c0c"/>
                <w:rtl w:val="0"/>
              </w:rPr>
              <w:t xml:space="preserve">Sd</w:t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AET*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Actual Evapotranspiration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107,28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10,80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75,84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18,23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DEF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Climate Water Deficit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114,69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1,70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25,24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26,29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PDSI*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Palmer Drought Severity Index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3,49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-5,91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1,84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PET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Potential evapotranspiration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133,00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72,58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101,49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13,19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PPT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Precipitation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262,83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11,36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114,69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43,00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Q*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Runoff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142,25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39,40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29,97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SOIL*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Soil Moisture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223,03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47,09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31,88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SRAD*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Downward surface shortwave radiation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W/m2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227,06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149,52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185,71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14,82</w:t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SWE*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Snow water equivalent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0,03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TMAX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Max Temperature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32,68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12,52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24,58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3,39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TMIN*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Min Temperature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21,21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-4,96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13,86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3,71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VAP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Vapor pressure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kPa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2,60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1,71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0,37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VPD*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Vapor Pressure Deficit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kPa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1,56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0,22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WS*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Wind speed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m/s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4,62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1,00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2,41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0,64</w:t>
            </w:r>
          </w:p>
        </w:tc>
      </w:tr>
    </w:tbl>
    <w:p w:rsidR="00000000" w:rsidDel="00000000" w:rsidP="00000000" w:rsidRDefault="00000000" w:rsidRPr="00000000" w14:paraId="0000008B">
      <w:pPr>
        <w:spacing w:after="0"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0"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Supplementary Table 3. </w:t>
      </w:r>
      <w:r w:rsidDel="00000000" w:rsidR="00000000" w:rsidRPr="00000000">
        <w:rPr>
          <w:rFonts w:ascii="Arial" w:cs="Arial" w:eastAsia="Arial" w:hAnsi="Arial"/>
          <w:color w:val="1f1f1f"/>
          <w:sz w:val="20"/>
          <w:szCs w:val="20"/>
          <w:rtl w:val="0"/>
        </w:rPr>
        <w:t xml:space="preserve">Percent contribution and permutation importance of each environmental variable in developing MaxEnt models for </w:t>
      </w:r>
      <w:r w:rsidDel="00000000" w:rsidR="00000000" w:rsidRPr="00000000">
        <w:rPr>
          <w:rFonts w:ascii="Arial" w:cs="Arial" w:eastAsia="Arial" w:hAnsi="Arial"/>
          <w:i w:val="1"/>
          <w:color w:val="1f1f1f"/>
          <w:sz w:val="20"/>
          <w:szCs w:val="20"/>
          <w:rtl w:val="0"/>
        </w:rPr>
        <w:t xml:space="preserve">C. furcoides</w:t>
      </w:r>
      <w:r w:rsidDel="00000000" w:rsidR="00000000" w:rsidRPr="00000000">
        <w:rPr>
          <w:rFonts w:ascii="Arial" w:cs="Arial" w:eastAsia="Arial" w:hAnsi="Arial"/>
          <w:color w:val="1f1f1f"/>
          <w:sz w:val="20"/>
          <w:szCs w:val="20"/>
          <w:rtl w:val="0"/>
        </w:rPr>
        <w:t xml:space="preserve"> and </w:t>
      </w:r>
      <w:r w:rsidDel="00000000" w:rsidR="00000000" w:rsidRPr="00000000">
        <w:rPr>
          <w:rFonts w:ascii="Arial" w:cs="Arial" w:eastAsia="Arial" w:hAnsi="Arial"/>
          <w:i w:val="1"/>
          <w:color w:val="1f1f1f"/>
          <w:sz w:val="20"/>
          <w:szCs w:val="20"/>
          <w:rtl w:val="0"/>
        </w:rPr>
        <w:t xml:space="preserve">C. hirundinella</w:t>
      </w:r>
      <w:r w:rsidDel="00000000" w:rsidR="00000000" w:rsidRPr="00000000">
        <w:rPr>
          <w:rFonts w:ascii="Arial" w:cs="Arial" w:eastAsia="Arial" w:hAnsi="Arial"/>
          <w:color w:val="1f1f1f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tbl>
      <w:tblPr>
        <w:tblStyle w:val="Table2"/>
        <w:tblW w:w="885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15"/>
        <w:gridCol w:w="1770"/>
        <w:gridCol w:w="2085"/>
        <w:gridCol w:w="1905"/>
        <w:gridCol w:w="2175"/>
        <w:tblGridChange w:id="0">
          <w:tblGrid>
            <w:gridCol w:w="915"/>
            <w:gridCol w:w="1770"/>
            <w:gridCol w:w="2085"/>
            <w:gridCol w:w="1905"/>
            <w:gridCol w:w="2175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0"/>
                <w:szCs w:val="20"/>
                <w:rtl w:val="0"/>
              </w:rPr>
              <w:t xml:space="preserve">Ceratium furcoides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0"/>
                <w:szCs w:val="20"/>
                <w:rtl w:val="0"/>
              </w:rPr>
              <w:t xml:space="preserve">Ceratium hirundinella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bdbdbd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c0c0c"/>
                <w:sz w:val="20"/>
                <w:szCs w:val="20"/>
                <w:rtl w:val="0"/>
              </w:rPr>
              <w:t xml:space="preserve">Variable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bdbdbd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c0c0c"/>
                <w:sz w:val="20"/>
                <w:szCs w:val="20"/>
                <w:rtl w:val="0"/>
              </w:rPr>
              <w:t xml:space="preserve">Percent contribution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bdbdbd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c0c0c"/>
                <w:sz w:val="20"/>
                <w:szCs w:val="20"/>
                <w:rtl w:val="0"/>
              </w:rPr>
              <w:t xml:space="preserve">Permutation importance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bdbdbd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c0c0c"/>
                <w:sz w:val="20"/>
                <w:szCs w:val="20"/>
                <w:rtl w:val="0"/>
              </w:rPr>
              <w:t xml:space="preserve">Percent contribution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bdbdbd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c0c0c"/>
                <w:sz w:val="20"/>
                <w:szCs w:val="20"/>
                <w:rtl w:val="0"/>
              </w:rPr>
              <w:t xml:space="preserve">Permutation importance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TMIN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35.9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19.3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SOIL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24.2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12.9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AET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12.2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44.6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VPD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11.1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SRAD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0.1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23.2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16.3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PDSI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7.7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0.3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Q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3f3f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SWE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0.1</w:t>
            </w:r>
          </w:p>
        </w:tc>
      </w:tr>
    </w:tbl>
    <w:p w:rsidR="00000000" w:rsidDel="00000000" w:rsidP="00000000" w:rsidRDefault="00000000" w:rsidRPr="00000000" w14:paraId="000000C4">
      <w:pPr>
        <w:spacing w:after="0"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Fig. S1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Trend in research containing records of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Ceratium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species published between 1880 and 2023.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Fig. S2.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Plots showing the performance metrics for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Ceratium furcoides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(a) and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C. hirundinella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(b) across different combinations of feature classes (fc) and regularization multipliers (rm) used to optimize the MaxEnt model for species distribution. Each point represents a unique model. These plots illustrate the trade-off between model complexity and predictive accuracy, aiding in the selection of an optimal parameter set that balances fit and generalization ability.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spacing w:after="0" w:line="360" w:lineRule="auto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0" w:line="36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Fig. S3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 Jackknife tests for evaluating the relative importance of environmental variables using regularized training gain for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Ceratium furcoides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(a) and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C. hirundinella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(b). For codes, see Supplementary Table 1.</w:t>
      </w:r>
    </w:p>
    <w:p w:rsidR="00000000" w:rsidDel="00000000" w:rsidP="00000000" w:rsidRDefault="00000000" w:rsidRPr="00000000" w14:paraId="000000CA">
      <w:pPr>
        <w:spacing w:after="0" w:line="3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after="0" w:line="360" w:lineRule="auto"/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17" w:top="1417" w:left="1701" w:right="1701" w:header="72" w:footer="7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E">
    <w:pPr>
      <w:rPr>
        <w:color w:val="0d0d0d"/>
        <w:highlight w:val="whit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228600</wp:posOffset>
          </wp:positionH>
          <wp:positionV relativeFrom="paragraph">
            <wp:posOffset>723900</wp:posOffset>
          </wp:positionV>
          <wp:extent cx="3029324" cy="2921317"/>
          <wp:effectExtent b="0" l="0" r="0" t="0"/>
          <wp:wrapTopAndBottom distB="114300" distT="114300"/>
          <wp:docPr id="1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029324" cy="292131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-76198</wp:posOffset>
          </wp:positionH>
          <wp:positionV relativeFrom="paragraph">
            <wp:posOffset>1181100</wp:posOffset>
          </wp:positionV>
          <wp:extent cx="6325518" cy="3286442"/>
          <wp:effectExtent b="0" l="0" r="0" t="0"/>
          <wp:wrapNone/>
          <wp:docPr id="17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10273" l="4343" r="4482" t="6706"/>
                  <a:stretch>
                    <a:fillRect/>
                  </a:stretch>
                </pic:blipFill>
                <pic:spPr>
                  <a:xfrm>
                    <a:off x="0" y="0"/>
                    <a:ext cx="6325518" cy="3286442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C">
    <w:pPr>
      <w:spacing w:after="120" w:line="240" w:lineRule="auto"/>
      <w:jc w:val="both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after="0" w:line="240" w:lineRule="auto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A44E37"/>
    <w:rPr>
      <w:rFonts w:ascii="Calibri" w:cs="Calibri" w:eastAsia="Calibri" w:hAnsi="Calibri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WjkbrsbPdB7I3h+dipj3a9wI1g==">CgMxLjA4AHIhMS1leHQ3ME8xYkZLT0xjRHBLZ1hETjFHbHRJc3ZLSHpB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2024-08-02T14:17:00Z</dcterms:created>
  <dc:creator>I-MAG</dc:creator>
</cp:coreProperties>
</file>