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72E4" w14:textId="4C0EC4FC" w:rsidR="00B568FB" w:rsidRPr="00A72315" w:rsidRDefault="00B568FB" w:rsidP="00A72315">
      <w:pPr>
        <w:pStyle w:val="Rubrik1"/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A72315">
        <w:rPr>
          <w:rFonts w:ascii="Arial" w:hAnsi="Arial" w:cs="Arial"/>
          <w:sz w:val="24"/>
          <w:szCs w:val="24"/>
          <w:lang w:val="en-US"/>
        </w:rPr>
        <w:t>SUPPLEMENTARY APPENDIX: NET ALBUMIN LEAKAGE IN PATIENTS IN THE ICU WITH SUSPECTED SEPSIS. A PROSPECTIVE ANALYSIS USING MASS BALANCE CALCULATIONS</w:t>
      </w:r>
    </w:p>
    <w:p w14:paraId="674A626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</w:p>
    <w:p w14:paraId="2BACFD01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Dag Selden</w:t>
      </w:r>
    </w:p>
    <w:p w14:paraId="2672DA12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Perioperative Medicine and Intensive Care, Karolinska University Hospital, Huddinge</w:t>
      </w:r>
    </w:p>
    <w:p w14:paraId="1F249BB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Department of Clinical Science Intervention and Technology (CLINTEC), Karolinska Institutet, Hälsovägen, Stockholm, Sweden</w:t>
      </w:r>
    </w:p>
    <w:p w14:paraId="5A757CC9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dag.selden@ki.se</w:t>
      </w:r>
    </w:p>
    <w:p w14:paraId="684120A8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258EAD9E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Nicolas Tardif</w:t>
      </w:r>
    </w:p>
    <w:p w14:paraId="6DA73F0B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Department of Clinical Science Intervention and Technology (CLINTEC), Karolinska Institutet, Hälsovägen, Stockholm, Sweden</w:t>
      </w:r>
    </w:p>
    <w:p w14:paraId="442A6F2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nicolas.tardif@ki.se</w:t>
      </w:r>
    </w:p>
    <w:p w14:paraId="2AF5E848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36DCDAD6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Jan Wernerman</w:t>
      </w:r>
    </w:p>
    <w:p w14:paraId="51C424EC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Perioperative Medicine and Intensive Care, Karolinska University Hospital, Huddinge</w:t>
      </w:r>
    </w:p>
    <w:p w14:paraId="6CC9622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Department of Clinical Science Intervention and Technology (CLINTEC), Karolinska Institutet, Hälsovägen, Stockholm, Sweden</w:t>
      </w:r>
    </w:p>
    <w:p w14:paraId="04C65127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jan.wernerman@ki.se</w:t>
      </w:r>
    </w:p>
    <w:p w14:paraId="4723EB75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480CBA6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Olav Rooyackers</w:t>
      </w:r>
    </w:p>
    <w:p w14:paraId="2B56CAAB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Perioperative Medicine and Intensive Care, Karolinska University Hospital, Huddinge</w:t>
      </w:r>
    </w:p>
    <w:p w14:paraId="3BA9DB23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Department of Clinical Science Intervention and Technology (CLINTEC), Karolinska Institutet, Hälsovägen, Stockholm, Sweden</w:t>
      </w:r>
    </w:p>
    <w:p w14:paraId="7E489F75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  <w:lang w:val="sv-SE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  <w:lang w:val="sv-SE"/>
        </w:rPr>
        <w:t>olav.rooyackers@ki.se</w:t>
      </w:r>
    </w:p>
    <w:p w14:paraId="431A523A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  <w:lang w:val="sv-SE"/>
        </w:rPr>
      </w:pPr>
    </w:p>
    <w:p w14:paraId="63D14553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  <w:lang w:val="sv-SE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  <w:lang w:val="sv-SE"/>
        </w:rPr>
        <w:t>Åke Norberg</w:t>
      </w:r>
    </w:p>
    <w:p w14:paraId="6E5D5B37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Perioperative Medicine and Intensive Care, Karolinska University Hospital, Huddinge</w:t>
      </w:r>
    </w:p>
    <w:p w14:paraId="0E813390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Department of Clinical Science Intervention and Technology (CLINTEC), Karolinska Institutet, Hälsovägen, Stockholm, Sweden</w:t>
      </w:r>
    </w:p>
    <w:p w14:paraId="0DA3C20E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ake.norberg@ki.se</w:t>
      </w:r>
    </w:p>
    <w:p w14:paraId="582DFB53" w14:textId="77777777" w:rsidR="00B568FB" w:rsidRPr="00A72315" w:rsidRDefault="00B568FB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</w:p>
    <w:p w14:paraId="70B785B6" w14:textId="77777777" w:rsidR="00A72315" w:rsidRDefault="00A72315" w:rsidP="00A72315">
      <w:pPr>
        <w:pStyle w:val="Beskrivning"/>
        <w:spacing w:line="48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</w:p>
    <w:p w14:paraId="55F4ACD3" w14:textId="56ED8296" w:rsidR="00BE3389" w:rsidRPr="00A72315" w:rsidRDefault="00BE3389" w:rsidP="00A72315">
      <w:pPr>
        <w:pStyle w:val="Beskrivning"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proofErr w:type="gramStart"/>
      <w:r w:rsidRPr="00A7231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Table  S</w:t>
      </w:r>
      <w:proofErr w:type="gramEnd"/>
      <w:r w:rsidRPr="00A7231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1.  </w:t>
      </w:r>
      <w:proofErr w:type="gramStart"/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>Levels  of</w:t>
      </w:r>
      <w:proofErr w:type="gramEnd"/>
      <w:r w:rsidRPr="00A72315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net albumin leakage, glycocalyx shedding products, cytokines and fluid balance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79"/>
        <w:gridCol w:w="1670"/>
        <w:gridCol w:w="1556"/>
        <w:gridCol w:w="1530"/>
        <w:gridCol w:w="1230"/>
        <w:gridCol w:w="1523"/>
      </w:tblGrid>
      <w:tr w:rsidR="00BE3389" w:rsidRPr="00A72315" w14:paraId="59E94229" w14:textId="77777777" w:rsidTr="00652B80">
        <w:trPr>
          <w:trHeight w:val="448"/>
        </w:trPr>
        <w:tc>
          <w:tcPr>
            <w:tcW w:w="1838" w:type="dxa"/>
            <w:vAlign w:val="center"/>
          </w:tcPr>
          <w:p w14:paraId="26971071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5E8736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Hour    0</w:t>
            </w:r>
          </w:p>
        </w:tc>
        <w:tc>
          <w:tcPr>
            <w:tcW w:w="1701" w:type="dxa"/>
            <w:vAlign w:val="center"/>
          </w:tcPr>
          <w:p w14:paraId="2175D306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Hour    4</w:t>
            </w:r>
          </w:p>
        </w:tc>
        <w:tc>
          <w:tcPr>
            <w:tcW w:w="1701" w:type="dxa"/>
            <w:vAlign w:val="center"/>
          </w:tcPr>
          <w:p w14:paraId="402D4DB1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Hour    24</w:t>
            </w:r>
          </w:p>
        </w:tc>
        <w:tc>
          <w:tcPr>
            <w:tcW w:w="1276" w:type="dxa"/>
            <w:vAlign w:val="center"/>
          </w:tcPr>
          <w:p w14:paraId="250A6834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559" w:type="dxa"/>
            <w:vAlign w:val="center"/>
          </w:tcPr>
          <w:p w14:paraId="1B4C51C2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Reference ranges</w:t>
            </w:r>
            <w:r w:rsidRPr="00A7231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BE3389" w:rsidRPr="00A72315" w14:paraId="4438C6D0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649C120F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Net albumin 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leakage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g]</w:t>
            </w:r>
          </w:p>
        </w:tc>
        <w:tc>
          <w:tcPr>
            <w:tcW w:w="1843" w:type="dxa"/>
            <w:vAlign w:val="center"/>
          </w:tcPr>
          <w:p w14:paraId="526DAA41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4297387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3 ± 8</w:t>
            </w:r>
          </w:p>
        </w:tc>
        <w:tc>
          <w:tcPr>
            <w:tcW w:w="1701" w:type="dxa"/>
            <w:vAlign w:val="center"/>
          </w:tcPr>
          <w:p w14:paraId="5541DBCE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8 ± 10</w:t>
            </w:r>
          </w:p>
        </w:tc>
        <w:tc>
          <w:tcPr>
            <w:tcW w:w="1276" w:type="dxa"/>
            <w:vAlign w:val="center"/>
          </w:tcPr>
          <w:p w14:paraId="5A9A5EE7" w14:textId="2C8326D9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0.04</w:t>
            </w:r>
            <w:r w:rsidR="00E1426E" w:rsidRPr="00A72315">
              <w:rPr>
                <w:rFonts w:ascii="Arial" w:hAnsi="Arial" w:cs="Arial"/>
                <w:sz w:val="24"/>
                <w:szCs w:val="24"/>
              </w:rPr>
              <w:t>9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6F37A16D" w14:textId="2644F5B5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N</w:t>
            </w:r>
            <w:r w:rsidR="00731157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BE3389" w:rsidRPr="00A72315" w14:paraId="486F67AE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512FE8E9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Syndecan-1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ng/ml]</w:t>
            </w:r>
          </w:p>
        </w:tc>
        <w:tc>
          <w:tcPr>
            <w:tcW w:w="1843" w:type="dxa"/>
            <w:vAlign w:val="center"/>
          </w:tcPr>
          <w:p w14:paraId="36071A32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410 (140 - 1122)</w:t>
            </w:r>
          </w:p>
        </w:tc>
        <w:tc>
          <w:tcPr>
            <w:tcW w:w="1701" w:type="dxa"/>
            <w:vAlign w:val="center"/>
          </w:tcPr>
          <w:p w14:paraId="4984CB0D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155 (112 - 1208)</w:t>
            </w:r>
          </w:p>
        </w:tc>
        <w:tc>
          <w:tcPr>
            <w:tcW w:w="1701" w:type="dxa"/>
            <w:vAlign w:val="center"/>
          </w:tcPr>
          <w:p w14:paraId="066E983A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445 (165 - 840)</w:t>
            </w:r>
          </w:p>
        </w:tc>
        <w:tc>
          <w:tcPr>
            <w:tcW w:w="1276" w:type="dxa"/>
            <w:vAlign w:val="center"/>
          </w:tcPr>
          <w:p w14:paraId="5BD2AF20" w14:textId="6BE2C61F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</w:t>
            </w:r>
            <w:bookmarkStart w:id="0" w:name="OLE_LINK1"/>
            <w:r w:rsidR="00E1426E" w:rsidRPr="00A72315">
              <w:rPr>
                <w:rFonts w:ascii="Arial" w:hAnsi="Arial" w:cs="Arial"/>
                <w:sz w:val="24"/>
                <w:szCs w:val="24"/>
              </w:rPr>
              <w:t>69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b</w:t>
            </w:r>
            <w:bookmarkEnd w:id="0"/>
          </w:p>
        </w:tc>
        <w:tc>
          <w:tcPr>
            <w:tcW w:w="1559" w:type="dxa"/>
            <w:vAlign w:val="center"/>
          </w:tcPr>
          <w:p w14:paraId="3C955875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26-439</w:t>
            </w:r>
          </w:p>
        </w:tc>
      </w:tr>
      <w:tr w:rsidR="00BE3389" w:rsidRPr="00A72315" w14:paraId="237AD24F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74E95C9E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Hyaluronan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ng/ml]</w:t>
            </w:r>
          </w:p>
        </w:tc>
        <w:tc>
          <w:tcPr>
            <w:tcW w:w="1843" w:type="dxa"/>
            <w:vAlign w:val="center"/>
          </w:tcPr>
          <w:p w14:paraId="37931482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1081 (418 - 3294)</w:t>
            </w:r>
          </w:p>
        </w:tc>
        <w:tc>
          <w:tcPr>
            <w:tcW w:w="1701" w:type="dxa"/>
            <w:vAlign w:val="center"/>
          </w:tcPr>
          <w:p w14:paraId="2086837D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815 (527 - 4234)</w:t>
            </w:r>
          </w:p>
        </w:tc>
        <w:tc>
          <w:tcPr>
            <w:tcW w:w="1701" w:type="dxa"/>
            <w:vAlign w:val="center"/>
          </w:tcPr>
          <w:p w14:paraId="636F1817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524 (95 - 6932)</w:t>
            </w:r>
          </w:p>
        </w:tc>
        <w:tc>
          <w:tcPr>
            <w:tcW w:w="1276" w:type="dxa"/>
            <w:vAlign w:val="center"/>
          </w:tcPr>
          <w:p w14:paraId="37FC27B6" w14:textId="300F8134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</w:t>
            </w:r>
            <w:r w:rsidR="00E1426E" w:rsidRPr="00A72315">
              <w:rPr>
                <w:rFonts w:ascii="Arial" w:hAnsi="Arial" w:cs="Arial"/>
                <w:sz w:val="24"/>
                <w:szCs w:val="24"/>
              </w:rPr>
              <w:t>22ä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5F8C4689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5-24</w:t>
            </w:r>
          </w:p>
        </w:tc>
      </w:tr>
      <w:tr w:rsidR="00BE3389" w:rsidRPr="00A72315" w14:paraId="0148AA70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39E2E0B0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Interleukin-6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pg/ml]</w:t>
            </w:r>
          </w:p>
        </w:tc>
        <w:tc>
          <w:tcPr>
            <w:tcW w:w="1843" w:type="dxa"/>
            <w:vAlign w:val="center"/>
          </w:tcPr>
          <w:p w14:paraId="4FD29E6C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1114 (132 - 14556)</w:t>
            </w:r>
          </w:p>
        </w:tc>
        <w:tc>
          <w:tcPr>
            <w:tcW w:w="1701" w:type="dxa"/>
            <w:vAlign w:val="center"/>
          </w:tcPr>
          <w:p w14:paraId="5E1470F2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973 (322 - 12114)</w:t>
            </w:r>
          </w:p>
        </w:tc>
        <w:tc>
          <w:tcPr>
            <w:tcW w:w="1701" w:type="dxa"/>
            <w:vAlign w:val="center"/>
          </w:tcPr>
          <w:p w14:paraId="513DDA57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188 (40 - 1214)</w:t>
            </w:r>
          </w:p>
        </w:tc>
        <w:tc>
          <w:tcPr>
            <w:tcW w:w="1276" w:type="dxa"/>
            <w:vAlign w:val="center"/>
          </w:tcPr>
          <w:p w14:paraId="4CEE210F" w14:textId="4FB0372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</w:t>
            </w:r>
            <w:r w:rsidR="00E1426E" w:rsidRPr="00A72315">
              <w:rPr>
                <w:rFonts w:ascii="Arial" w:hAnsi="Arial" w:cs="Arial"/>
                <w:sz w:val="24"/>
                <w:szCs w:val="24"/>
              </w:rPr>
              <w:t>25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vAlign w:val="center"/>
          </w:tcPr>
          <w:p w14:paraId="6677140A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1-2</w:t>
            </w:r>
          </w:p>
        </w:tc>
      </w:tr>
      <w:tr w:rsidR="00BE3389" w:rsidRPr="00A72315" w14:paraId="2AB60290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5BBF4641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Interleukin-8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pg/ml]</w:t>
            </w:r>
          </w:p>
        </w:tc>
        <w:tc>
          <w:tcPr>
            <w:tcW w:w="1843" w:type="dxa"/>
            <w:vAlign w:val="center"/>
          </w:tcPr>
          <w:p w14:paraId="53F714F6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155 (38 - 2432)</w:t>
            </w:r>
          </w:p>
        </w:tc>
        <w:tc>
          <w:tcPr>
            <w:tcW w:w="1701" w:type="dxa"/>
            <w:vAlign w:val="center"/>
          </w:tcPr>
          <w:p w14:paraId="48EC1581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171 (37 - 613)</w:t>
            </w:r>
          </w:p>
        </w:tc>
        <w:tc>
          <w:tcPr>
            <w:tcW w:w="1701" w:type="dxa"/>
            <w:vAlign w:val="center"/>
          </w:tcPr>
          <w:p w14:paraId="2401E489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73 41 - 1238)</w:t>
            </w:r>
          </w:p>
        </w:tc>
        <w:tc>
          <w:tcPr>
            <w:tcW w:w="1276" w:type="dxa"/>
            <w:vAlign w:val="center"/>
          </w:tcPr>
          <w:p w14:paraId="77A91A1B" w14:textId="40BC2E60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0.8</w:t>
            </w:r>
            <w:r w:rsidR="00E1426E" w:rsidRPr="00A72315">
              <w:rPr>
                <w:rFonts w:ascii="Arial" w:hAnsi="Arial" w:cs="Arial"/>
                <w:sz w:val="24"/>
                <w:szCs w:val="24"/>
              </w:rPr>
              <w:t>0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vAlign w:val="center"/>
          </w:tcPr>
          <w:p w14:paraId="2D5B82CF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4-10</w:t>
            </w:r>
          </w:p>
        </w:tc>
      </w:tr>
      <w:tr w:rsidR="00BE3389" w:rsidRPr="00A72315" w14:paraId="353BAC4C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238D0D1B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Tumor necrosis factor-α</w:t>
            </w:r>
            <w:proofErr w:type="gramStart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[</w:t>
            </w:r>
            <w:proofErr w:type="gramEnd"/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pg/ml]</w:t>
            </w:r>
          </w:p>
        </w:tc>
        <w:tc>
          <w:tcPr>
            <w:tcW w:w="1843" w:type="dxa"/>
            <w:vAlign w:val="center"/>
          </w:tcPr>
          <w:p w14:paraId="753C8086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203 (60 - 3216)</w:t>
            </w:r>
          </w:p>
        </w:tc>
        <w:tc>
          <w:tcPr>
            <w:tcW w:w="1701" w:type="dxa"/>
            <w:vAlign w:val="center"/>
          </w:tcPr>
          <w:p w14:paraId="2D1B8BF8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249 (69 - 1334)</w:t>
            </w:r>
          </w:p>
        </w:tc>
        <w:tc>
          <w:tcPr>
            <w:tcW w:w="1701" w:type="dxa"/>
            <w:vAlign w:val="center"/>
          </w:tcPr>
          <w:p w14:paraId="14D5632B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82 (51 - 615)</w:t>
            </w:r>
          </w:p>
        </w:tc>
        <w:tc>
          <w:tcPr>
            <w:tcW w:w="1276" w:type="dxa"/>
            <w:vAlign w:val="center"/>
          </w:tcPr>
          <w:p w14:paraId="594A1354" w14:textId="709D55B9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</w:t>
            </w:r>
            <w:r w:rsidR="00E1426E" w:rsidRPr="00A72315">
              <w:rPr>
                <w:rFonts w:ascii="Arial" w:hAnsi="Arial" w:cs="Arial"/>
                <w:sz w:val="24"/>
                <w:szCs w:val="24"/>
              </w:rPr>
              <w:t>20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vAlign w:val="center"/>
          </w:tcPr>
          <w:p w14:paraId="09D46BE3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12-32</w:t>
            </w:r>
          </w:p>
        </w:tc>
      </w:tr>
      <w:tr w:rsidR="00BE3389" w:rsidRPr="00A72315" w14:paraId="3D5B7143" w14:textId="77777777" w:rsidTr="00652B80">
        <w:trPr>
          <w:trHeight w:val="673"/>
        </w:trPr>
        <w:tc>
          <w:tcPr>
            <w:tcW w:w="1838" w:type="dxa"/>
            <w:vAlign w:val="center"/>
          </w:tcPr>
          <w:p w14:paraId="4D4DA85D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315">
              <w:rPr>
                <w:rFonts w:ascii="Arial" w:hAnsi="Arial" w:cs="Arial"/>
                <w:b/>
                <w:bCs/>
                <w:sz w:val="24"/>
                <w:szCs w:val="24"/>
              </w:rPr>
              <w:t>Fluid balance [L]</w:t>
            </w:r>
          </w:p>
        </w:tc>
        <w:tc>
          <w:tcPr>
            <w:tcW w:w="1843" w:type="dxa"/>
            <w:vAlign w:val="center"/>
          </w:tcPr>
          <w:p w14:paraId="3740DFF0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EDBC018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1.3 ± 0.8</w:t>
            </w:r>
          </w:p>
        </w:tc>
        <w:tc>
          <w:tcPr>
            <w:tcW w:w="1701" w:type="dxa"/>
            <w:vAlign w:val="center"/>
          </w:tcPr>
          <w:p w14:paraId="5F65449D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3.7 ± 3.2</w:t>
            </w:r>
          </w:p>
        </w:tc>
        <w:tc>
          <w:tcPr>
            <w:tcW w:w="1276" w:type="dxa"/>
            <w:vAlign w:val="center"/>
          </w:tcPr>
          <w:p w14:paraId="4B062A74" w14:textId="7777777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0.0058</w:t>
            </w:r>
            <w:r w:rsidRPr="00A72315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469781CD" w14:textId="2506A907" w:rsidR="00BE3389" w:rsidRPr="00A72315" w:rsidRDefault="00BE3389" w:rsidP="00A72315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315">
              <w:rPr>
                <w:rFonts w:ascii="Arial" w:hAnsi="Arial" w:cs="Arial"/>
                <w:sz w:val="24"/>
                <w:szCs w:val="24"/>
              </w:rPr>
              <w:t>N</w:t>
            </w:r>
            <w:r w:rsidR="00731157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14:paraId="7814DE5E" w14:textId="1D84AA55" w:rsidR="00BE3389" w:rsidRPr="00A72315" w:rsidRDefault="00BE3389" w:rsidP="00A72315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A72315">
        <w:rPr>
          <w:rFonts w:ascii="Arial" w:hAnsi="Arial" w:cs="Arial"/>
          <w:sz w:val="24"/>
          <w:szCs w:val="24"/>
          <w:lang w:val="en-US"/>
        </w:rPr>
        <w:t xml:space="preserve">Values are presented as median (range) or mean ± standard deviation, as appropriate. </w:t>
      </w:r>
      <w:r w:rsidRPr="00A72315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72315">
        <w:rPr>
          <w:rFonts w:ascii="Arial" w:hAnsi="Arial" w:cs="Arial"/>
          <w:sz w:val="24"/>
          <w:szCs w:val="24"/>
          <w:lang w:val="en-US"/>
        </w:rPr>
        <w:t xml:space="preserve"> based on analysis of samples from 35 healthy volunteers analyzed at the same time </w:t>
      </w:r>
      <w:r w:rsidRPr="00A72315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A72315">
        <w:rPr>
          <w:rFonts w:ascii="Arial" w:hAnsi="Arial" w:cs="Arial"/>
          <w:sz w:val="24"/>
          <w:szCs w:val="24"/>
          <w:lang w:val="en-US"/>
        </w:rPr>
        <w:t xml:space="preserve">Anova with the Greenhouse-Geisser correction, </w:t>
      </w:r>
      <w:r w:rsidRPr="00A72315">
        <w:rPr>
          <w:rFonts w:ascii="Arial" w:hAnsi="Arial" w:cs="Arial"/>
          <w:sz w:val="24"/>
          <w:szCs w:val="24"/>
          <w:vertAlign w:val="superscript"/>
          <w:lang w:val="en-US"/>
        </w:rPr>
        <w:t>b</w:t>
      </w:r>
      <w:r w:rsidRPr="00A72315">
        <w:rPr>
          <w:rFonts w:ascii="Arial" w:hAnsi="Arial" w:cs="Arial"/>
          <w:sz w:val="24"/>
          <w:szCs w:val="24"/>
          <w:lang w:val="en-US"/>
        </w:rPr>
        <w:t>Mixed effects model</w:t>
      </w:r>
      <w:r w:rsidR="00731157">
        <w:rPr>
          <w:rFonts w:ascii="Arial" w:hAnsi="Arial" w:cs="Arial"/>
          <w:sz w:val="24"/>
          <w:szCs w:val="24"/>
          <w:lang w:val="en-US"/>
        </w:rPr>
        <w:t>. NA = Not applicable</w:t>
      </w:r>
    </w:p>
    <w:p w14:paraId="3D195966" w14:textId="10876491" w:rsidR="00BE3389" w:rsidRPr="00A72315" w:rsidRDefault="00BE3389" w:rsidP="00A72315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3529BF3B" w14:textId="1D9A08E3" w:rsidR="00BE3389" w:rsidRPr="00A72315" w:rsidRDefault="00BE3389" w:rsidP="00A72315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2ECD51BA" w14:textId="2568C519" w:rsidR="00BE3389" w:rsidRPr="00A72315" w:rsidRDefault="00271BA3" w:rsidP="00A72315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A72315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3F5E231A" wp14:editId="6ACBB79A">
            <wp:extent cx="6120000" cy="2668926"/>
            <wp:effectExtent l="0" t="0" r="0" b="0"/>
            <wp:docPr id="2" name="Bildobjekt 2" descr="En bild som visar kvadrat, skärmbild, Färggrann, Rektan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kvadrat, skärmbild, Färggrann, Rektangel&#10;&#10;Automatiskt genererad beskrivni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4078" r="2710" b="5671"/>
                    <a:stretch/>
                  </pic:blipFill>
                  <pic:spPr bwMode="auto">
                    <a:xfrm>
                      <a:off x="0" y="0"/>
                      <a:ext cx="6120000" cy="2668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F6633" w14:textId="555D6936" w:rsidR="00BE3389" w:rsidRPr="00A72315" w:rsidRDefault="00BE3389" w:rsidP="00A72315">
      <w:pPr>
        <w:pStyle w:val="Rubrik3"/>
        <w:spacing w:line="480" w:lineRule="auto"/>
        <w:rPr>
          <w:rFonts w:ascii="Arial" w:hAnsi="Arial" w:cs="Arial"/>
          <w:b w:val="0"/>
          <w:bCs/>
          <w:sz w:val="24"/>
        </w:rPr>
      </w:pPr>
      <w:r w:rsidRPr="00A72315">
        <w:rPr>
          <w:rFonts w:ascii="Arial" w:hAnsi="Arial" w:cs="Arial"/>
          <w:sz w:val="24"/>
        </w:rPr>
        <w:t>Fig S1</w:t>
      </w:r>
      <w:r w:rsidRPr="00A72315">
        <w:rPr>
          <w:rFonts w:ascii="Arial" w:hAnsi="Arial" w:cs="Arial"/>
          <w:b w:val="0"/>
          <w:bCs/>
          <w:sz w:val="24"/>
        </w:rPr>
        <w:t xml:space="preserve"> Correlation matrix (Pearson’s coefficient) in 9 patients between net albumin leakage (NAL) and the area under the curve of interleukin-6 (IL-6), interleukin-8 (IL-8), tumor necrosis factor-α (TNF-</w:t>
      </w:r>
      <w:r w:rsidRPr="00A72315">
        <w:rPr>
          <w:rFonts w:ascii="Arial" w:hAnsi="Arial" w:cs="Arial"/>
          <w:sz w:val="24"/>
        </w:rPr>
        <w:t xml:space="preserve"> </w:t>
      </w:r>
      <w:r w:rsidRPr="00A72315">
        <w:rPr>
          <w:rFonts w:ascii="Arial" w:hAnsi="Arial" w:cs="Arial"/>
          <w:b w:val="0"/>
          <w:bCs/>
          <w:sz w:val="24"/>
        </w:rPr>
        <w:t>α), syndecan-1, hyaluronan and fluid balance levels in time period 0–4 hours in the ICU (</w:t>
      </w:r>
      <w:r w:rsidRPr="00A72315">
        <w:rPr>
          <w:rFonts w:ascii="Arial" w:hAnsi="Arial" w:cs="Arial"/>
          <w:sz w:val="24"/>
        </w:rPr>
        <w:t>a</w:t>
      </w:r>
      <w:r w:rsidRPr="00A72315">
        <w:rPr>
          <w:rFonts w:ascii="Arial" w:hAnsi="Arial" w:cs="Arial"/>
          <w:b w:val="0"/>
          <w:bCs/>
          <w:sz w:val="24"/>
        </w:rPr>
        <w:t>) levels in time period 4–24 hours in the ICU (</w:t>
      </w:r>
      <w:r w:rsidRPr="00A72315">
        <w:rPr>
          <w:rFonts w:ascii="Arial" w:hAnsi="Arial" w:cs="Arial"/>
          <w:sz w:val="24"/>
        </w:rPr>
        <w:t>b</w:t>
      </w:r>
      <w:r w:rsidRPr="00A72315">
        <w:rPr>
          <w:rFonts w:ascii="Arial" w:hAnsi="Arial" w:cs="Arial"/>
          <w:b w:val="0"/>
          <w:bCs/>
          <w:sz w:val="24"/>
        </w:rPr>
        <w:t>)</w:t>
      </w:r>
      <w:r w:rsidR="00174367" w:rsidRPr="00A72315">
        <w:rPr>
          <w:rFonts w:ascii="Arial" w:hAnsi="Arial" w:cs="Arial"/>
          <w:b w:val="0"/>
          <w:bCs/>
          <w:sz w:val="24"/>
        </w:rPr>
        <w:t>. To achieve a p-value of &lt;0.05 the Pearson correlation coefficient needs to be ≥ 0.66.</w:t>
      </w:r>
    </w:p>
    <w:sectPr w:rsidR="00BE3389" w:rsidRPr="00A72315" w:rsidSect="00424893">
      <w:footerReference w:type="default" r:id="rId7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1F2E" w14:textId="77777777" w:rsidR="00424893" w:rsidRDefault="00424893" w:rsidP="00424893">
      <w:pPr>
        <w:spacing w:after="0" w:line="240" w:lineRule="auto"/>
      </w:pPr>
      <w:r>
        <w:separator/>
      </w:r>
    </w:p>
  </w:endnote>
  <w:endnote w:type="continuationSeparator" w:id="0">
    <w:p w14:paraId="173835DD" w14:textId="77777777" w:rsidR="00424893" w:rsidRDefault="00424893" w:rsidP="0042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495532"/>
      <w:docPartObj>
        <w:docPartGallery w:val="Page Numbers (Bottom of Page)"/>
        <w:docPartUnique/>
      </w:docPartObj>
    </w:sdtPr>
    <w:sdtEndPr/>
    <w:sdtContent>
      <w:p w14:paraId="56E4678B" w14:textId="2AD9EF46" w:rsidR="00424893" w:rsidRDefault="0042489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30DA4" w14:textId="77777777" w:rsidR="00424893" w:rsidRDefault="004248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AAFEC" w14:textId="77777777" w:rsidR="00424893" w:rsidRDefault="00424893" w:rsidP="00424893">
      <w:pPr>
        <w:spacing w:after="0" w:line="240" w:lineRule="auto"/>
      </w:pPr>
      <w:r>
        <w:separator/>
      </w:r>
    </w:p>
  </w:footnote>
  <w:footnote w:type="continuationSeparator" w:id="0">
    <w:p w14:paraId="1738AE8A" w14:textId="77777777" w:rsidR="00424893" w:rsidRDefault="00424893" w:rsidP="00424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3389"/>
    <w:rsid w:val="00174367"/>
    <w:rsid w:val="001D6631"/>
    <w:rsid w:val="002479ED"/>
    <w:rsid w:val="00271BA3"/>
    <w:rsid w:val="003270B1"/>
    <w:rsid w:val="00364E84"/>
    <w:rsid w:val="00424893"/>
    <w:rsid w:val="00484765"/>
    <w:rsid w:val="005B3349"/>
    <w:rsid w:val="005C6AD7"/>
    <w:rsid w:val="00602DCE"/>
    <w:rsid w:val="00652B80"/>
    <w:rsid w:val="00731157"/>
    <w:rsid w:val="008D6DB9"/>
    <w:rsid w:val="00A72315"/>
    <w:rsid w:val="00AE4A0B"/>
    <w:rsid w:val="00B31FDF"/>
    <w:rsid w:val="00B568FB"/>
    <w:rsid w:val="00BE3389"/>
    <w:rsid w:val="00E1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60A3"/>
  <w15:docId w15:val="{ADAA71B8-9A88-4534-BCC2-107C35F3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68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6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E3389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sz w:val="18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BE33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E3389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E3389"/>
    <w:rPr>
      <w:sz w:val="20"/>
      <w:szCs w:val="20"/>
      <w:lang w:val="en-US"/>
    </w:rPr>
  </w:style>
  <w:style w:type="table" w:styleId="Tabellrutnt">
    <w:name w:val="Table Grid"/>
    <w:basedOn w:val="Normaltabell"/>
    <w:uiPriority w:val="59"/>
    <w:rsid w:val="00BE33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BE3389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BE3389"/>
    <w:rPr>
      <w:rFonts w:eastAsiaTheme="majorEastAsia" w:cstheme="majorBidi"/>
      <w:b/>
      <w:sz w:val="18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DB9"/>
    <w:pPr>
      <w:spacing w:before="0" w:after="160"/>
    </w:pPr>
    <w:rPr>
      <w:b/>
      <w:bCs/>
      <w:lang w:val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DB9"/>
    <w:rPr>
      <w:b/>
      <w:bCs/>
      <w:sz w:val="20"/>
      <w:szCs w:val="2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6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B56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424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4893"/>
  </w:style>
  <w:style w:type="paragraph" w:styleId="Sidfot">
    <w:name w:val="footer"/>
    <w:basedOn w:val="Normal"/>
    <w:link w:val="SidfotChar"/>
    <w:uiPriority w:val="99"/>
    <w:unhideWhenUsed/>
    <w:rsid w:val="00424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4893"/>
  </w:style>
  <w:style w:type="character" w:styleId="Radnummer">
    <w:name w:val="line number"/>
    <w:basedOn w:val="Standardstycketeckensnitt"/>
    <w:uiPriority w:val="99"/>
    <w:semiHidden/>
    <w:unhideWhenUsed/>
    <w:rsid w:val="0042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4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Seldén</dc:creator>
  <cp:keywords/>
  <dc:description/>
  <cp:lastModifiedBy>Dag Seldén</cp:lastModifiedBy>
  <cp:revision>2</cp:revision>
  <dcterms:created xsi:type="dcterms:W3CDTF">2024-06-26T12:32:00Z</dcterms:created>
  <dcterms:modified xsi:type="dcterms:W3CDTF">2024-08-21T11:58:00Z</dcterms:modified>
</cp:coreProperties>
</file>