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Python via .NET 22.8.0 -->
  <w:body>
    <w:p w:rsidR="00EC1116" w14:paraId="56D3D058" w14:textId="1EE74F3C">
      <w:pPr>
        <w:pStyle w:val="NormalWeb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Table S1. </w:t>
      </w:r>
      <w:r>
        <w:rPr>
          <w:rFonts w:ascii="Times New Roman" w:eastAsia="Times New Roman" w:hAnsi="Times New Roman" w:cs="Times New Roman"/>
          <w:color w:val="000000"/>
        </w:rPr>
        <w:t>Univariate and multivariate analys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Times New Roman" w:eastAsia="Times New Roman" w:hAnsi="Times New Roman" w:cs="Times New Roman"/>
          <w:color w:val="000000"/>
        </w:rPr>
        <w:t xml:space="preserve">s of </w:t>
      </w:r>
      <w:r w:rsidR="00BA7830">
        <w:rPr>
          <w:rFonts w:ascii="Times New Roman" w:eastAsia="Times New Roman" w:hAnsi="Times New Roman" w:cs="Times New Roman"/>
          <w:color w:val="000000"/>
        </w:rPr>
        <w:t xml:space="preserve">cancer-specific survival </w:t>
      </w:r>
      <w:r>
        <w:rPr>
          <w:rFonts w:ascii="Times New Roman" w:eastAsia="Times New Roman" w:hAnsi="Times New Roman" w:cs="Times New Roman"/>
          <w:color w:val="000000"/>
        </w:rPr>
        <w:t xml:space="preserve">after </w:t>
      </w:r>
      <w:r w:rsidR="00BA7830">
        <w:rPr>
          <w:rFonts w:ascii="Times New Roman" w:eastAsia="Times New Roman" w:hAnsi="Times New Roman" w:cs="Times New Roman"/>
          <w:color w:val="000000"/>
        </w:rPr>
        <w:t>second-</w:t>
      </w:r>
      <w:r>
        <w:rPr>
          <w:rFonts w:ascii="Times New Roman" w:eastAsia="Times New Roman" w:hAnsi="Times New Roman" w:cs="Times New Roman"/>
          <w:color w:val="000000"/>
        </w:rPr>
        <w:t xml:space="preserve">line therapy. </w:t>
      </w:r>
    </w:p>
    <w:tbl>
      <w:tblPr>
        <w:tblStyle w:val="TableGrid"/>
        <w:tblW w:w="10315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41"/>
        <w:gridCol w:w="1189"/>
        <w:gridCol w:w="1504"/>
        <w:gridCol w:w="1095"/>
        <w:gridCol w:w="1284"/>
        <w:gridCol w:w="1203"/>
        <w:gridCol w:w="1199"/>
      </w:tblGrid>
      <w:tr w14:paraId="56D3D05C" w14:textId="77777777" w:rsidTr="004835F1">
        <w:tblPrEx>
          <w:tblW w:w="10315" w:type="dxa"/>
          <w:tblInd w:w="-714" w:type="dxa"/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16"/>
        </w:trPr>
        <w:tc>
          <w:tcPr>
            <w:tcW w:w="284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EC1116" w14:paraId="56D3D059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378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1116" w:rsidRPr="00653701" w14:paraId="56D3D05A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Univariate analysis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1116" w:rsidRPr="00653701" w14:paraId="56D3D05B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Multivariate analysis</w:t>
            </w:r>
          </w:p>
        </w:tc>
      </w:tr>
      <w:tr w14:paraId="56D3D064" w14:textId="77777777" w:rsidTr="004835F1">
        <w:tblPrEx>
          <w:tblW w:w="10315" w:type="dxa"/>
          <w:tblInd w:w="-714" w:type="dxa"/>
          <w:tblLook w:val="04A0"/>
        </w:tblPrEx>
        <w:trPr>
          <w:trHeight w:val="416"/>
        </w:trPr>
        <w:tc>
          <w:tcPr>
            <w:tcW w:w="284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C1116" w14:paraId="56D3D05D" w14:textId="77777777"/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:rsidR="00EC1116" w:rsidRPr="00653701" w14:paraId="56D3D05E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HR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</w:tcPr>
          <w:p w:rsidR="00EC1116" w:rsidRPr="00653701" w14:paraId="56D3D05F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95% CI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</w:tcPr>
          <w:p w:rsidR="00EC1116" w:rsidRPr="00653701" w14:paraId="56D3D060" w14:textId="0E57BCE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i/>
                <w:sz w:val="24"/>
              </w:rPr>
              <w:t>P</w:t>
            </w:r>
            <w:r w:rsidRPr="00653701" w:rsidR="00BA7830">
              <w:rPr>
                <w:rFonts w:ascii="Times New Roman" w:eastAsia="Times New Roman" w:hAnsi="Times New Roman" w:cs="Times New Roman"/>
                <w:b/>
                <w:bCs/>
                <w:i w:val="0"/>
                <w:iCs/>
                <w:sz w:val="24"/>
              </w:rPr>
              <w:t>-</w:t>
            </w:r>
            <w:r w:rsidRPr="00653701">
              <w:rPr>
                <w:rFonts w:ascii="Times New Roman" w:eastAsia="Times New Roman" w:hAnsi="Times New Roman" w:cs="Times New Roman"/>
                <w:b/>
                <w:bCs/>
                <w:i w:val="0"/>
                <w:iCs/>
                <w:sz w:val="24"/>
              </w:rPr>
              <w:t>value</w:t>
            </w: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</w:tcPr>
          <w:p w:rsidR="00EC1116" w:rsidRPr="00653701" w14:paraId="56D3D061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HR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</w:tcPr>
          <w:p w:rsidR="00EC1116" w:rsidRPr="00653701" w14:paraId="56D3D062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95% CI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</w:tcPr>
          <w:p w:rsidR="00EC1116" w:rsidRPr="00653701" w14:paraId="56D3D063" w14:textId="1DC9A69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i/>
                <w:sz w:val="24"/>
              </w:rPr>
              <w:t>P</w:t>
            </w:r>
            <w:r w:rsidRPr="00653701" w:rsidR="00BA7830">
              <w:rPr>
                <w:rFonts w:ascii="Times New Roman" w:eastAsia="Times New Roman" w:hAnsi="Times New Roman" w:cs="Times New Roman"/>
                <w:b/>
                <w:bCs/>
                <w:i w:val="0"/>
                <w:iCs/>
                <w:sz w:val="24"/>
              </w:rPr>
              <w:t>-</w:t>
            </w:r>
            <w:r w:rsidRPr="00653701">
              <w:rPr>
                <w:rFonts w:ascii="Times New Roman" w:eastAsia="Times New Roman" w:hAnsi="Times New Roman" w:cs="Times New Roman"/>
                <w:b/>
                <w:bCs/>
                <w:i w:val="0"/>
                <w:iCs/>
                <w:sz w:val="24"/>
              </w:rPr>
              <w:t>value</w:t>
            </w:r>
          </w:p>
        </w:tc>
      </w:tr>
      <w:tr w14:paraId="56D3D076" w14:textId="77777777" w:rsidTr="00653701">
        <w:tblPrEx>
          <w:tblW w:w="10315" w:type="dxa"/>
          <w:tblInd w:w="-714" w:type="dxa"/>
          <w:tblLook w:val="04A0"/>
        </w:tblPrEx>
        <w:trPr>
          <w:trHeight w:val="293"/>
        </w:trPr>
        <w:tc>
          <w:tcPr>
            <w:tcW w:w="2841" w:type="dxa"/>
            <w:tcBorders>
              <w:top w:val="single" w:sz="4" w:space="0" w:color="auto"/>
            </w:tcBorders>
          </w:tcPr>
          <w:p w:rsidR="00EC1116" w14:paraId="56D3D065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Age (years)</w:t>
            </w:r>
          </w:p>
          <w:p w:rsidR="00EC1116" w14:paraId="56D3D066" w14:textId="77777777">
            <w:pPr>
              <w:spacing w:line="24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&lt;66</w:t>
            </w:r>
          </w:p>
          <w:p w:rsidR="00EC1116" w14:paraId="56D3D067" w14:textId="77777777">
            <w:pPr>
              <w:spacing w:line="24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≥66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:rsidR="00EC1116" w14:paraId="56D3D068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69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Reference</w:t>
            </w:r>
          </w:p>
          <w:p w:rsidR="00EC1116" w14:paraId="56D3D06A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1.28</w:t>
            </w:r>
          </w:p>
        </w:tc>
        <w:tc>
          <w:tcPr>
            <w:tcW w:w="1504" w:type="dxa"/>
            <w:tcBorders>
              <w:top w:val="single" w:sz="4" w:space="0" w:color="auto"/>
            </w:tcBorders>
          </w:tcPr>
          <w:p w:rsidR="00EC1116" w14:paraId="56D3D06B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6C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6D" w14:textId="7945ED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0.77</w:t>
            </w:r>
            <w:r w:rsidR="005D1E8A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2.14</w:t>
            </w:r>
          </w:p>
        </w:tc>
        <w:tc>
          <w:tcPr>
            <w:tcW w:w="1094" w:type="dxa"/>
            <w:tcBorders>
              <w:top w:val="single" w:sz="4" w:space="0" w:color="auto"/>
            </w:tcBorders>
          </w:tcPr>
          <w:p w:rsidR="00EC1116" w14:paraId="56D3D06E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6F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0.35</w:t>
            </w:r>
          </w:p>
        </w:tc>
        <w:tc>
          <w:tcPr>
            <w:tcW w:w="1284" w:type="dxa"/>
            <w:tcBorders>
              <w:top w:val="single" w:sz="4" w:space="0" w:color="auto"/>
            </w:tcBorders>
          </w:tcPr>
          <w:p w:rsidR="00EC1116" w14:paraId="56D3D070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71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203" w:type="dxa"/>
            <w:tcBorders>
              <w:top w:val="single" w:sz="4" w:space="0" w:color="auto"/>
            </w:tcBorders>
          </w:tcPr>
          <w:p w:rsidR="00EC1116" w14:paraId="56D3D072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73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</w:tcBorders>
          </w:tcPr>
          <w:p w:rsidR="00EC1116" w14:paraId="56D3D074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75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14:paraId="56D3D089" w14:textId="77777777" w:rsidTr="00653701">
        <w:tblPrEx>
          <w:tblW w:w="10315" w:type="dxa"/>
          <w:tblInd w:w="-714" w:type="dxa"/>
          <w:tblLook w:val="04A0"/>
        </w:tblPrEx>
        <w:trPr>
          <w:trHeight w:val="317"/>
        </w:trPr>
        <w:tc>
          <w:tcPr>
            <w:tcW w:w="2841" w:type="dxa"/>
            <w:vAlign w:val="center"/>
          </w:tcPr>
          <w:p w:rsidR="00EC1116" w14:paraId="56D3D077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Sex</w:t>
            </w:r>
          </w:p>
          <w:p w:rsidR="00EC1116" w14:paraId="56D3D078" w14:textId="77777777">
            <w:pPr>
              <w:pStyle w:val="NormalWeb"/>
              <w:spacing w:before="0" w:beforeAutospacing="0" w:after="0" w:afterAutospacing="0"/>
              <w:ind w:firstLine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Female</w:t>
            </w:r>
          </w:p>
          <w:p w:rsidR="00EC1116" w14:paraId="56D3D079" w14:textId="77777777">
            <w:pPr>
              <w:pStyle w:val="NormalWeb"/>
              <w:spacing w:before="0" w:beforeAutospacing="0" w:after="0" w:afterAutospacing="0"/>
              <w:ind w:firstLine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Male</w:t>
            </w:r>
          </w:p>
        </w:tc>
        <w:tc>
          <w:tcPr>
            <w:tcW w:w="1189" w:type="dxa"/>
            <w:vAlign w:val="center"/>
          </w:tcPr>
          <w:p w:rsidR="00EC1116" w14:paraId="56D3D07A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07B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  <w:p w:rsidR="00EC1116" w14:paraId="56D3D07C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0.62</w:t>
            </w:r>
          </w:p>
        </w:tc>
        <w:tc>
          <w:tcPr>
            <w:tcW w:w="1504" w:type="dxa"/>
            <w:vAlign w:val="center"/>
          </w:tcPr>
          <w:p w:rsidR="00EC1116" w14:paraId="56D3D07D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7E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7F" w14:textId="5F63612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0.35</w:t>
            </w:r>
            <w:r w:rsidR="005D1E8A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1.12</w:t>
            </w:r>
          </w:p>
        </w:tc>
        <w:tc>
          <w:tcPr>
            <w:tcW w:w="1094" w:type="dxa"/>
            <w:vAlign w:val="center"/>
          </w:tcPr>
          <w:p w:rsidR="00EC1116" w14:paraId="56D3D080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0.11</w:t>
            </w:r>
          </w:p>
        </w:tc>
        <w:tc>
          <w:tcPr>
            <w:tcW w:w="1284" w:type="dxa"/>
          </w:tcPr>
          <w:p w:rsidR="00EC1116" w14:paraId="56D3D081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082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  <w:p w:rsidR="00EC1116" w14:paraId="56D3D083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0.59</w:t>
            </w:r>
          </w:p>
        </w:tc>
        <w:tc>
          <w:tcPr>
            <w:tcW w:w="1203" w:type="dxa"/>
          </w:tcPr>
          <w:p w:rsidR="00EC1116" w14:paraId="56D3D084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85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86" w14:textId="590DC12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0.33</w:t>
            </w:r>
            <w:r w:rsidR="005D1E8A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1.07</w:t>
            </w:r>
          </w:p>
        </w:tc>
        <w:tc>
          <w:tcPr>
            <w:tcW w:w="1199" w:type="dxa"/>
          </w:tcPr>
          <w:p w:rsidR="00EC1116" w14:paraId="56D3D087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88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0.082</w:t>
            </w:r>
          </w:p>
        </w:tc>
      </w:tr>
      <w:tr w14:paraId="56D3D09B" w14:textId="77777777" w:rsidTr="00653701">
        <w:tblPrEx>
          <w:tblW w:w="10315" w:type="dxa"/>
          <w:tblInd w:w="-714" w:type="dxa"/>
          <w:tblLook w:val="04A0"/>
        </w:tblPrEx>
        <w:trPr>
          <w:trHeight w:val="472"/>
        </w:trPr>
        <w:tc>
          <w:tcPr>
            <w:tcW w:w="2841" w:type="dxa"/>
            <w:vAlign w:val="center"/>
          </w:tcPr>
          <w:p w:rsidR="00EC1116" w14:paraId="56D3D08A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IMDC risk</w:t>
            </w:r>
          </w:p>
          <w:p w:rsidR="00EC1116" w14:paraId="56D3D08B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Favorable / Intermediate</w:t>
            </w:r>
          </w:p>
          <w:p w:rsidR="00EC1116" w14:paraId="56D3D08C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Poor</w:t>
            </w:r>
          </w:p>
        </w:tc>
        <w:tc>
          <w:tcPr>
            <w:tcW w:w="1189" w:type="dxa"/>
            <w:vAlign w:val="center"/>
          </w:tcPr>
          <w:p w:rsidR="00EC1116" w14:paraId="56D3D08D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08E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  <w:p w:rsidR="00EC1116" w14:paraId="56D3D08F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3.61</w:t>
            </w:r>
          </w:p>
        </w:tc>
        <w:tc>
          <w:tcPr>
            <w:tcW w:w="1504" w:type="dxa"/>
            <w:vAlign w:val="center"/>
          </w:tcPr>
          <w:p w:rsidR="00EC1116" w14:paraId="56D3D090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91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92" w14:textId="25C85D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2.07</w:t>
            </w:r>
            <w:r w:rsidR="005D1E8A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6.30</w:t>
            </w:r>
          </w:p>
        </w:tc>
        <w:tc>
          <w:tcPr>
            <w:tcW w:w="1094" w:type="dxa"/>
            <w:vAlign w:val="center"/>
          </w:tcPr>
          <w:p w:rsidR="00EC1116" w14:paraId="56D3D093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&lt;0.01</w:t>
            </w:r>
          </w:p>
        </w:tc>
        <w:tc>
          <w:tcPr>
            <w:tcW w:w="1284" w:type="dxa"/>
            <w:vAlign w:val="center"/>
          </w:tcPr>
          <w:p w:rsidR="00EC1116" w14:paraId="56D3D094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95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  <w:p w:rsidR="00EC1116" w14:paraId="56D3D096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3.25</w:t>
            </w:r>
          </w:p>
        </w:tc>
        <w:tc>
          <w:tcPr>
            <w:tcW w:w="1203" w:type="dxa"/>
            <w:vAlign w:val="center"/>
          </w:tcPr>
          <w:p w:rsidR="00EC1116" w14:paraId="56D3D097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98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99" w14:textId="4858413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1.81</w:t>
            </w:r>
            <w:r w:rsidR="005D1E8A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5.81</w:t>
            </w:r>
          </w:p>
        </w:tc>
        <w:tc>
          <w:tcPr>
            <w:tcW w:w="1199" w:type="dxa"/>
            <w:vAlign w:val="center"/>
          </w:tcPr>
          <w:p w:rsidR="00EC1116" w14:paraId="56D3D09A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&lt;0.01</w:t>
            </w:r>
          </w:p>
        </w:tc>
      </w:tr>
      <w:tr w14:paraId="56D3D0A3" w14:textId="77777777" w:rsidTr="00653701">
        <w:tblPrEx>
          <w:tblW w:w="10315" w:type="dxa"/>
          <w:tblInd w:w="-714" w:type="dxa"/>
          <w:tblLook w:val="04A0"/>
        </w:tblPrEx>
        <w:trPr>
          <w:trHeight w:val="341"/>
        </w:trPr>
        <w:tc>
          <w:tcPr>
            <w:tcW w:w="2841" w:type="dxa"/>
            <w:vAlign w:val="center"/>
          </w:tcPr>
          <w:p w:rsidR="00EC1116" w14:paraId="56D3D09C" w14:textId="77777777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Local therapy for BM</w:t>
            </w:r>
          </w:p>
        </w:tc>
        <w:tc>
          <w:tcPr>
            <w:tcW w:w="1189" w:type="dxa"/>
            <w:vAlign w:val="center"/>
          </w:tcPr>
          <w:p w:rsidR="00EC1116" w14:paraId="56D3D09D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1.25</w:t>
            </w:r>
          </w:p>
        </w:tc>
        <w:tc>
          <w:tcPr>
            <w:tcW w:w="1504" w:type="dxa"/>
            <w:vAlign w:val="center"/>
          </w:tcPr>
          <w:p w:rsidR="00EC1116" w14:paraId="56D3D09E" w14:textId="3017590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0.72</w:t>
            </w:r>
            <w:r w:rsidR="005D1E8A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2.17</w:t>
            </w:r>
          </w:p>
        </w:tc>
        <w:tc>
          <w:tcPr>
            <w:tcW w:w="1094" w:type="dxa"/>
            <w:vAlign w:val="center"/>
          </w:tcPr>
          <w:p w:rsidR="00EC1116" w14:paraId="56D3D09F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0.43</w:t>
            </w:r>
          </w:p>
        </w:tc>
        <w:tc>
          <w:tcPr>
            <w:tcW w:w="1284" w:type="dxa"/>
            <w:vAlign w:val="center"/>
          </w:tcPr>
          <w:p w:rsidR="00EC1116" w14:paraId="56D3D0A0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203" w:type="dxa"/>
            <w:vAlign w:val="center"/>
          </w:tcPr>
          <w:p w:rsidR="00EC1116" w14:paraId="56D3D0A1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199" w:type="dxa"/>
            <w:vAlign w:val="center"/>
          </w:tcPr>
          <w:p w:rsidR="00EC1116" w14:paraId="56D3D0A2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14:paraId="56D3D0B4" w14:textId="77777777" w:rsidTr="00653701">
        <w:tblPrEx>
          <w:tblW w:w="10315" w:type="dxa"/>
          <w:tblInd w:w="-714" w:type="dxa"/>
          <w:tblLook w:val="04A0"/>
        </w:tblPrEx>
        <w:trPr>
          <w:trHeight w:val="496"/>
        </w:trPr>
        <w:tc>
          <w:tcPr>
            <w:tcW w:w="2841" w:type="dxa"/>
            <w:vAlign w:val="center"/>
          </w:tcPr>
          <w:p w:rsidR="00EC1116" w14:paraId="56D3D0A4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Metastasis other than bone</w:t>
            </w:r>
          </w:p>
          <w:p w:rsidR="00EC1116" w14:paraId="56D3D0A5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No</w:t>
            </w:r>
          </w:p>
          <w:p w:rsidR="00EC1116" w14:paraId="56D3D0A6" w14:textId="77777777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Yes</w:t>
            </w:r>
          </w:p>
        </w:tc>
        <w:tc>
          <w:tcPr>
            <w:tcW w:w="1189" w:type="dxa"/>
            <w:vAlign w:val="center"/>
          </w:tcPr>
          <w:p w:rsidR="00EC1116" w14:paraId="56D3D0A7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  <w:p w:rsidR="00EC1116" w14:paraId="56D3D0A8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  <w:p w:rsidR="00EC1116" w14:paraId="56D3D0A9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1.21</w:t>
            </w:r>
          </w:p>
        </w:tc>
        <w:tc>
          <w:tcPr>
            <w:tcW w:w="1504" w:type="dxa"/>
            <w:vAlign w:val="center"/>
          </w:tcPr>
          <w:p w:rsidR="00EC1116" w14:paraId="56D3D0AA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AB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AC" w14:textId="6E2E1C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0.59</w:t>
            </w:r>
            <w:r w:rsidR="00AC70C9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2.47</w:t>
            </w:r>
          </w:p>
        </w:tc>
        <w:tc>
          <w:tcPr>
            <w:tcW w:w="1094" w:type="dxa"/>
            <w:vAlign w:val="center"/>
          </w:tcPr>
          <w:p w:rsidR="00EC1116" w14:paraId="56D3D0AD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0.60</w:t>
            </w:r>
          </w:p>
        </w:tc>
        <w:tc>
          <w:tcPr>
            <w:tcW w:w="1284" w:type="dxa"/>
          </w:tcPr>
          <w:p w:rsidR="00EC1116" w14:paraId="56D3D0AE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AF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203" w:type="dxa"/>
          </w:tcPr>
          <w:p w:rsidR="00EC1116" w14:paraId="56D3D0B0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B1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199" w:type="dxa"/>
          </w:tcPr>
          <w:p w:rsidR="00EC1116" w14:paraId="56D3D0B2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B3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14:paraId="56D3D0C5" w14:textId="77777777" w:rsidTr="00653701">
        <w:tblPrEx>
          <w:tblW w:w="10315" w:type="dxa"/>
          <w:tblInd w:w="-714" w:type="dxa"/>
          <w:tblLook w:val="04A0"/>
        </w:tblPrEx>
        <w:trPr>
          <w:trHeight w:val="366"/>
        </w:trPr>
        <w:tc>
          <w:tcPr>
            <w:tcW w:w="2841" w:type="dxa"/>
            <w:vAlign w:val="center"/>
          </w:tcPr>
          <w:p w:rsidR="00EC1116" w14:paraId="56D3D0B5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Number of BM</w:t>
            </w:r>
          </w:p>
          <w:p w:rsidR="00EC1116" w14:paraId="56D3D0B6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Single</w:t>
            </w:r>
          </w:p>
          <w:p w:rsidR="00EC1116" w14:paraId="56D3D0B7" w14:textId="77777777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Multiple</w:t>
            </w:r>
          </w:p>
        </w:tc>
        <w:tc>
          <w:tcPr>
            <w:tcW w:w="1189" w:type="dxa"/>
            <w:vAlign w:val="center"/>
          </w:tcPr>
          <w:p w:rsidR="00EC1116" w14:paraId="56D3D0B8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</w:p>
          <w:p w:rsidR="00EC1116" w14:paraId="56D3D0B9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  <w:p w:rsidR="00EC1116" w14:paraId="56D3D0BA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1.25</w:t>
            </w:r>
          </w:p>
        </w:tc>
        <w:tc>
          <w:tcPr>
            <w:tcW w:w="1504" w:type="dxa"/>
            <w:vAlign w:val="center"/>
          </w:tcPr>
          <w:p w:rsidR="00EC1116" w14:paraId="56D3D0BB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BC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BD" w14:textId="291483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0.67</w:t>
            </w:r>
            <w:r w:rsidR="00AC70C9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2.32</w:t>
            </w:r>
          </w:p>
        </w:tc>
        <w:tc>
          <w:tcPr>
            <w:tcW w:w="1094" w:type="dxa"/>
            <w:vAlign w:val="center"/>
          </w:tcPr>
          <w:p w:rsidR="00EC1116" w14:paraId="56D3D0BE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0.49</w:t>
            </w:r>
          </w:p>
        </w:tc>
        <w:tc>
          <w:tcPr>
            <w:tcW w:w="1284" w:type="dxa"/>
          </w:tcPr>
          <w:p w:rsidR="00EC1116" w14:paraId="56D3D0BF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C0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203" w:type="dxa"/>
          </w:tcPr>
          <w:p w:rsidR="00EC1116" w14:paraId="56D3D0C1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C2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199" w:type="dxa"/>
          </w:tcPr>
          <w:p w:rsidR="00EC1116" w14:paraId="56D3D0C3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C4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14:paraId="56D3D0D6" w14:textId="77777777" w:rsidTr="00653701">
        <w:tblPrEx>
          <w:tblW w:w="10315" w:type="dxa"/>
          <w:tblInd w:w="-714" w:type="dxa"/>
          <w:tblLook w:val="04A0"/>
        </w:tblPrEx>
        <w:trPr>
          <w:trHeight w:val="392"/>
        </w:trPr>
        <w:tc>
          <w:tcPr>
            <w:tcW w:w="2841" w:type="dxa"/>
            <w:vAlign w:val="center"/>
          </w:tcPr>
          <w:p w:rsidR="00EC1116" w14:paraId="56D3D0C6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2nd line therapy</w:t>
            </w:r>
          </w:p>
          <w:p w:rsidR="00EC1116" w14:paraId="56D3D0C7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ICI</w:t>
            </w:r>
          </w:p>
          <w:p w:rsidR="00EC1116" w14:paraId="56D3D0C8" w14:textId="77777777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TKI</w:t>
            </w:r>
          </w:p>
        </w:tc>
        <w:tc>
          <w:tcPr>
            <w:tcW w:w="1189" w:type="dxa"/>
            <w:vAlign w:val="center"/>
          </w:tcPr>
          <w:p w:rsidR="00EC1116" w14:paraId="56D3D0C9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0CA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  <w:p w:rsidR="00EC1116" w14:paraId="56D3D0CB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1.09</w:t>
            </w:r>
          </w:p>
        </w:tc>
        <w:tc>
          <w:tcPr>
            <w:tcW w:w="1504" w:type="dxa"/>
            <w:vAlign w:val="center"/>
          </w:tcPr>
          <w:p w:rsidR="00EC1116" w14:paraId="56D3D0CC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CD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CE" w14:textId="6B5691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0.62</w:t>
            </w:r>
            <w:r w:rsidR="00AC70C9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1.91</w:t>
            </w:r>
          </w:p>
        </w:tc>
        <w:tc>
          <w:tcPr>
            <w:tcW w:w="1094" w:type="dxa"/>
            <w:vAlign w:val="center"/>
          </w:tcPr>
          <w:p w:rsidR="00EC1116" w14:paraId="56D3D0CF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0.76</w:t>
            </w:r>
          </w:p>
        </w:tc>
        <w:tc>
          <w:tcPr>
            <w:tcW w:w="1284" w:type="dxa"/>
          </w:tcPr>
          <w:p w:rsidR="00EC1116" w14:paraId="56D3D0D0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D1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203" w:type="dxa"/>
          </w:tcPr>
          <w:p w:rsidR="00EC1116" w14:paraId="56D3D0D2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D3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199" w:type="dxa"/>
          </w:tcPr>
          <w:p w:rsidR="00EC1116" w14:paraId="56D3D0D4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D5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14:paraId="56D3D0DE" w14:textId="77777777" w:rsidTr="00653701">
        <w:tblPrEx>
          <w:tblW w:w="10315" w:type="dxa"/>
          <w:tblInd w:w="-714" w:type="dxa"/>
          <w:tblLook w:val="04A0"/>
        </w:tblPrEx>
        <w:trPr>
          <w:trHeight w:val="404"/>
        </w:trPr>
        <w:tc>
          <w:tcPr>
            <w:tcW w:w="2841" w:type="dxa"/>
          </w:tcPr>
          <w:p w:rsidR="00EC1116" w14:paraId="56D3D0D7" w14:textId="77777777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Bone modifying agents</w:t>
            </w:r>
          </w:p>
        </w:tc>
        <w:tc>
          <w:tcPr>
            <w:tcW w:w="1189" w:type="dxa"/>
            <w:vAlign w:val="center"/>
          </w:tcPr>
          <w:p w:rsidR="00EC1116" w14:paraId="56D3D0D8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1.23</w:t>
            </w:r>
          </w:p>
        </w:tc>
        <w:tc>
          <w:tcPr>
            <w:tcW w:w="1504" w:type="dxa"/>
            <w:vAlign w:val="center"/>
          </w:tcPr>
          <w:p w:rsidR="00EC1116" w14:paraId="56D3D0D9" w14:textId="45546F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0.66</w:t>
            </w:r>
            <w:r w:rsidR="00AC70C9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2.28</w:t>
            </w:r>
          </w:p>
        </w:tc>
        <w:tc>
          <w:tcPr>
            <w:tcW w:w="1094" w:type="dxa"/>
            <w:vAlign w:val="center"/>
          </w:tcPr>
          <w:p w:rsidR="00EC1116" w14:paraId="56D3D0DA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0.51</w:t>
            </w:r>
          </w:p>
        </w:tc>
        <w:tc>
          <w:tcPr>
            <w:tcW w:w="1284" w:type="dxa"/>
            <w:vAlign w:val="center"/>
          </w:tcPr>
          <w:p w:rsidR="00EC1116" w14:paraId="56D3D0DB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203" w:type="dxa"/>
            <w:vAlign w:val="center"/>
          </w:tcPr>
          <w:p w:rsidR="00EC1116" w14:paraId="56D3D0DC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199" w:type="dxa"/>
            <w:vAlign w:val="center"/>
          </w:tcPr>
          <w:p w:rsidR="00EC1116" w14:paraId="56D3D0DD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14:paraId="56D3D0F1" w14:textId="77777777" w:rsidTr="00653701">
        <w:tblPrEx>
          <w:tblW w:w="10315" w:type="dxa"/>
          <w:tblInd w:w="-714" w:type="dxa"/>
          <w:tblLook w:val="04A0"/>
        </w:tblPrEx>
        <w:trPr>
          <w:trHeight w:val="274"/>
        </w:trPr>
        <w:tc>
          <w:tcPr>
            <w:tcW w:w="2841" w:type="dxa"/>
          </w:tcPr>
          <w:p w:rsidR="00EC1116" w14:paraId="56D3D0DF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ALP (U/L)</w:t>
            </w:r>
          </w:p>
          <w:p w:rsidR="00EC1116" w14:paraId="56D3D0E0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Low (&lt;288)</w:t>
            </w:r>
          </w:p>
          <w:p w:rsidR="00EC1116" w14:paraId="56D3D0E1" w14:textId="2EC3AC15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High (</w:t>
            </w:r>
            <w:r w:rsidR="00AC70C9">
              <w:rPr>
                <w:rFonts w:ascii="MS Mincho" w:eastAsia="MS Mincho" w:hAnsi="MS Mincho" w:cs="MS Mincho" w:hint="eastAsia"/>
                <w:color w:val="000000"/>
                <w:sz w:val="24"/>
              </w:rPr>
              <w:t>≥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288)</w:t>
            </w:r>
          </w:p>
        </w:tc>
        <w:tc>
          <w:tcPr>
            <w:tcW w:w="1189" w:type="dxa"/>
            <w:vAlign w:val="center"/>
          </w:tcPr>
          <w:p w:rsidR="00EC1116" w14:paraId="56D3D0E2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0E3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  <w:p w:rsidR="00EC1116" w14:paraId="56D3D0E4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2.23</w:t>
            </w:r>
          </w:p>
        </w:tc>
        <w:tc>
          <w:tcPr>
            <w:tcW w:w="1504" w:type="dxa"/>
            <w:vAlign w:val="center"/>
          </w:tcPr>
          <w:p w:rsidR="00EC1116" w14:paraId="56D3D0E5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E6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E7" w14:textId="6D0919C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1.32</w:t>
            </w:r>
            <w:r w:rsidR="00AC70C9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3.77</w:t>
            </w:r>
          </w:p>
        </w:tc>
        <w:tc>
          <w:tcPr>
            <w:tcW w:w="1094" w:type="dxa"/>
            <w:vAlign w:val="center"/>
          </w:tcPr>
          <w:p w:rsidR="00EC1116" w14:paraId="56D3D0E8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&lt;0.01</w:t>
            </w:r>
          </w:p>
        </w:tc>
        <w:tc>
          <w:tcPr>
            <w:tcW w:w="1284" w:type="dxa"/>
          </w:tcPr>
          <w:p w:rsidR="00EC1116" w14:paraId="56D3D0E9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EA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Reference</w:t>
            </w:r>
          </w:p>
          <w:p w:rsidR="00EC1116" w14:paraId="56D3D0EB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1.96</w:t>
            </w:r>
          </w:p>
        </w:tc>
        <w:tc>
          <w:tcPr>
            <w:tcW w:w="1203" w:type="dxa"/>
          </w:tcPr>
          <w:p w:rsidR="00EC1116" w14:paraId="56D3D0EC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ED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EE" w14:textId="11101DB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1.14</w:t>
            </w:r>
            <w:r w:rsidR="00AC70C9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3.38</w:t>
            </w:r>
          </w:p>
        </w:tc>
        <w:tc>
          <w:tcPr>
            <w:tcW w:w="1199" w:type="dxa"/>
          </w:tcPr>
          <w:p w:rsidR="00EC1116" w14:paraId="56D3D0EF" w14:textId="777777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F0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0.015</w:t>
            </w:r>
          </w:p>
        </w:tc>
      </w:tr>
      <w:tr w14:paraId="56D3D104" w14:textId="77777777" w:rsidTr="00653701">
        <w:tblPrEx>
          <w:tblW w:w="10315" w:type="dxa"/>
          <w:tblInd w:w="-714" w:type="dxa"/>
          <w:tblLook w:val="04A0"/>
        </w:tblPrEx>
        <w:trPr>
          <w:trHeight w:val="274"/>
        </w:trPr>
        <w:tc>
          <w:tcPr>
            <w:tcW w:w="2841" w:type="dxa"/>
          </w:tcPr>
          <w:p w:rsidR="00EC1116" w14:paraId="56D3D0F2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LDH (U/L)</w:t>
            </w:r>
          </w:p>
          <w:p w:rsidR="00EC1116" w14:paraId="56D3D0F3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Low (&lt;215)</w:t>
            </w:r>
          </w:p>
          <w:p w:rsidR="00EC1116" w14:paraId="56D3D0F4" w14:textId="6DCBFDA8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High (</w:t>
            </w:r>
            <w:r w:rsidR="00AC70C9">
              <w:rPr>
                <w:rFonts w:ascii="MS Mincho" w:eastAsia="MS Mincho" w:hAnsi="MS Mincho" w:cs="MS Mincho" w:hint="eastAsia"/>
              </w:rPr>
              <w:t>≥</w:t>
            </w:r>
            <w:r>
              <w:rPr>
                <w:rFonts w:ascii="Times New Roman" w:eastAsia="Times New Roman" w:hAnsi="Times New Roman" w:cs="Times New Roman"/>
              </w:rPr>
              <w:t>215)</w:t>
            </w:r>
          </w:p>
        </w:tc>
        <w:tc>
          <w:tcPr>
            <w:tcW w:w="1189" w:type="dxa"/>
            <w:vAlign w:val="center"/>
          </w:tcPr>
          <w:p w:rsidR="00EC1116" w14:paraId="56D3D0F5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0F6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  <w:p w:rsidR="00EC1116" w14:paraId="56D3D0F7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1.54</w:t>
            </w:r>
          </w:p>
        </w:tc>
        <w:tc>
          <w:tcPr>
            <w:tcW w:w="1504" w:type="dxa"/>
            <w:vAlign w:val="center"/>
          </w:tcPr>
          <w:p w:rsidR="00EC1116" w14:paraId="56D3D0F8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F9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FA" w14:textId="68ACE2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0.93</w:t>
            </w:r>
            <w:r w:rsidR="00AC70C9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2.57</w:t>
            </w:r>
          </w:p>
        </w:tc>
        <w:tc>
          <w:tcPr>
            <w:tcW w:w="1094" w:type="dxa"/>
            <w:vAlign w:val="center"/>
          </w:tcPr>
          <w:p w:rsidR="00EC1116" w14:paraId="56D3D0FB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0.097</w:t>
            </w:r>
          </w:p>
        </w:tc>
        <w:tc>
          <w:tcPr>
            <w:tcW w:w="1284" w:type="dxa"/>
          </w:tcPr>
          <w:p w:rsidR="00EC1116" w14:paraId="56D3D0FC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0FD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Reference</w:t>
            </w:r>
          </w:p>
          <w:p w:rsidR="00EC1116" w14:paraId="56D3D0FE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1.24</w:t>
            </w:r>
          </w:p>
        </w:tc>
        <w:tc>
          <w:tcPr>
            <w:tcW w:w="1203" w:type="dxa"/>
          </w:tcPr>
          <w:p w:rsidR="00EC1116" w14:paraId="56D3D0FF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100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101" w14:textId="0C25F68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0.74</w:t>
            </w:r>
            <w:r w:rsidR="00AC70C9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2.11</w:t>
            </w:r>
          </w:p>
        </w:tc>
        <w:tc>
          <w:tcPr>
            <w:tcW w:w="1199" w:type="dxa"/>
          </w:tcPr>
          <w:p w:rsidR="00EC1116" w14:paraId="56D3D102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103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0.42</w:t>
            </w:r>
          </w:p>
        </w:tc>
      </w:tr>
      <w:tr w14:paraId="56D3D116" w14:textId="77777777" w:rsidTr="00653701">
        <w:tblPrEx>
          <w:tblW w:w="10315" w:type="dxa"/>
          <w:tblInd w:w="-714" w:type="dxa"/>
          <w:tblLook w:val="04A0"/>
        </w:tblPrEx>
        <w:trPr>
          <w:trHeight w:val="143"/>
        </w:trPr>
        <w:tc>
          <w:tcPr>
            <w:tcW w:w="2841" w:type="dxa"/>
          </w:tcPr>
          <w:p w:rsidR="00EC1116" w14:paraId="56D3D105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NLR</w:t>
            </w:r>
          </w:p>
          <w:p w:rsidR="00EC1116" w14:paraId="56D3D106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Low (&lt;3.5)</w:t>
            </w:r>
          </w:p>
          <w:p w:rsidR="00EC1116" w14:paraId="56D3D107" w14:textId="29BE6C4B">
            <w:pPr>
              <w:pStyle w:val="NormalWeb"/>
              <w:spacing w:before="0" w:beforeAutospacing="0" w:after="0" w:afterAutospacing="0"/>
              <w:ind w:firstLine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 (</w:t>
            </w:r>
            <w:r w:rsidR="00AC70C9">
              <w:rPr>
                <w:rFonts w:ascii="MS Mincho" w:eastAsia="MS Mincho" w:hAnsi="MS Mincho" w:cs="MS Mincho" w:hint="eastAsia"/>
              </w:rPr>
              <w:t>≥</w:t>
            </w:r>
            <w:r>
              <w:rPr>
                <w:rFonts w:ascii="Times New Roman" w:eastAsia="Times New Roman" w:hAnsi="Times New Roman" w:cs="Times New Roman"/>
              </w:rPr>
              <w:t>3.5)</w:t>
            </w:r>
          </w:p>
        </w:tc>
        <w:tc>
          <w:tcPr>
            <w:tcW w:w="1189" w:type="dxa"/>
            <w:vAlign w:val="center"/>
          </w:tcPr>
          <w:p w:rsidR="00EC1116" w14:paraId="56D3D108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109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Reference</w:t>
            </w:r>
          </w:p>
          <w:p w:rsidR="00EC1116" w14:paraId="56D3D10A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1.27</w:t>
            </w:r>
          </w:p>
        </w:tc>
        <w:tc>
          <w:tcPr>
            <w:tcW w:w="1504" w:type="dxa"/>
            <w:vAlign w:val="center"/>
          </w:tcPr>
          <w:p w:rsidR="00EC1116" w14:paraId="56D3D10B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10C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10D" w14:textId="0CE82F4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0.76</w:t>
            </w:r>
            <w:r w:rsidR="00AC70C9"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2.12</w:t>
            </w:r>
          </w:p>
        </w:tc>
        <w:tc>
          <w:tcPr>
            <w:tcW w:w="1094" w:type="dxa"/>
            <w:vAlign w:val="center"/>
          </w:tcPr>
          <w:p w:rsidR="00EC1116" w14:paraId="56D3D10E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10F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</w:t>
            </w:r>
          </w:p>
        </w:tc>
        <w:tc>
          <w:tcPr>
            <w:tcW w:w="1284" w:type="dxa"/>
            <w:vAlign w:val="center"/>
          </w:tcPr>
          <w:p w:rsidR="00EC1116" w14:paraId="56D3D110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111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203" w:type="dxa"/>
            <w:vAlign w:val="center"/>
          </w:tcPr>
          <w:p w:rsidR="00EC1116" w14:paraId="56D3D112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113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199" w:type="dxa"/>
            <w:vAlign w:val="center"/>
          </w:tcPr>
          <w:p w:rsidR="00EC1116" w14:paraId="56D3D114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1116" w14:paraId="56D3D115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</w:tbl>
    <w:p w:rsidR="00EC1116" w14:paraId="56D3D117" w14:textId="2A520810">
      <w:pPr>
        <w:pStyle w:val="EndNoteBibliography"/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CSS</w:t>
      </w:r>
      <w:r w:rsidR="00D84677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cancer</w:t>
      </w:r>
      <w:r w:rsidR="00D84677">
        <w:rPr>
          <w:rFonts w:ascii="Times New Roman" w:eastAsia="Times New Roman" w:hAnsi="Times New Roman" w:cs="Times New Roman"/>
          <w:sz w:val="24"/>
        </w:rPr>
        <w:t>-</w:t>
      </w:r>
      <w:r>
        <w:rPr>
          <w:rFonts w:ascii="Times New Roman" w:eastAsia="Times New Roman" w:hAnsi="Times New Roman" w:cs="Times New Roman"/>
          <w:sz w:val="24"/>
        </w:rPr>
        <w:t>specific survival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i/>
          <w:sz w:val="24"/>
        </w:rPr>
        <w:t xml:space="preserve"> HR</w:t>
      </w:r>
      <w:r w:rsidR="00D84677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hazard ratio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i/>
          <w:sz w:val="24"/>
        </w:rPr>
        <w:t xml:space="preserve"> TKI</w:t>
      </w:r>
      <w:r w:rsidR="00D84677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tyrosine kinase inhibitor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IMDC</w:t>
      </w:r>
      <w:r w:rsidR="00D84677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I</w:t>
      </w:r>
      <w:r>
        <w:rPr>
          <w:rFonts w:ascii="Times New Roman" w:eastAsia="Times New Roman" w:hAnsi="Times New Roman" w:cs="Times New Roman"/>
          <w:sz w:val="24"/>
        </w:rPr>
        <w:t xml:space="preserve">nternational </w:t>
      </w:r>
      <w:r>
        <w:rPr>
          <w:rFonts w:ascii="Times New Roman" w:eastAsia="Times New Roman" w:hAnsi="Times New Roman" w:cs="Times New Roman"/>
          <w:sz w:val="24"/>
        </w:rPr>
        <w:t>M</w:t>
      </w:r>
      <w:r>
        <w:rPr>
          <w:rFonts w:ascii="Times New Roman" w:eastAsia="Times New Roman" w:hAnsi="Times New Roman" w:cs="Times New Roman"/>
          <w:sz w:val="24"/>
        </w:rPr>
        <w:t xml:space="preserve">etastatic </w:t>
      </w:r>
      <w:r>
        <w:rPr>
          <w:rFonts w:ascii="Times New Roman" w:eastAsia="Times New Roman" w:hAnsi="Times New Roman" w:cs="Times New Roman"/>
          <w:sz w:val="24"/>
        </w:rPr>
        <w:t>D</w:t>
      </w:r>
      <w:r>
        <w:rPr>
          <w:rFonts w:ascii="Times New Roman" w:eastAsia="Times New Roman" w:hAnsi="Times New Roman" w:cs="Times New Roman"/>
          <w:sz w:val="24"/>
        </w:rPr>
        <w:t xml:space="preserve">atabase </w:t>
      </w:r>
      <w:r>
        <w:rPr>
          <w:rFonts w:ascii="Times New Roman" w:eastAsia="Times New Roman" w:hAnsi="Times New Roman" w:cs="Times New Roman"/>
          <w:sz w:val="24"/>
        </w:rPr>
        <w:t>C</w:t>
      </w:r>
      <w:r>
        <w:rPr>
          <w:rFonts w:ascii="Times New Roman" w:eastAsia="Times New Roman" w:hAnsi="Times New Roman" w:cs="Times New Roman"/>
          <w:sz w:val="24"/>
        </w:rPr>
        <w:t>onsortium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BM</w:t>
      </w:r>
      <w:r w:rsidR="00D84677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bone metastasis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ICI</w:t>
      </w:r>
      <w:r w:rsidR="00F45D46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immune checkpoint inhibitor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ALP</w:t>
      </w:r>
      <w:r w:rsidR="00F45D46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alkaline phosphatase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LDH</w:t>
      </w:r>
      <w:r w:rsidR="00F45D46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lactate dehydrogenase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NLR</w:t>
      </w:r>
      <w:r w:rsidR="00F45D46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neutrophil/lymphocyte ratio.</w:t>
      </w:r>
    </w:p>
    <w:p w:rsidR="00EC1116" w14:paraId="56D3D118" w14:textId="77777777"/>
    <w:p w:rsidR="00EC1116" w14:paraId="56D3D119" w14:textId="77777777"/>
    <w:p w:rsidR="00EC1116" w14:paraId="56D3D11A" w14:textId="77777777"/>
    <w:p w:rsidR="00EC1116" w14:paraId="56D3D11B" w14:textId="77777777"/>
    <w:p w:rsidR="00EC1116" w14:paraId="56D3D11C" w14:textId="77777777"/>
    <w:p w:rsidR="00EC1116" w14:paraId="56D3D11D" w14:textId="77777777"/>
    <w:p w:rsidR="00EC1116" w14:paraId="56D3D11E" w14:textId="5A183844">
      <w:pPr>
        <w:pStyle w:val="EndNoteBibliography"/>
        <w:spacing w:line="480" w:lineRule="auto"/>
        <w:rPr>
          <w:rFonts w:ascii="Times New Roman" w:eastAsia="Times New Roman" w:hAnsi="Times New Roman" w:cs="Times New Roman"/>
          <w:b/>
          <w:color w:val="FF0000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Supplementary Table S2.</w:t>
      </w:r>
      <w:r>
        <w:rPr>
          <w:rFonts w:ascii="Times New Roman" w:eastAsia="Times New Roman" w:hAnsi="Times New Roman" w:cs="Times New Roman"/>
          <w:sz w:val="24"/>
        </w:rPr>
        <w:t xml:space="preserve"> Background of patients </w:t>
      </w:r>
      <w:r>
        <w:rPr>
          <w:rFonts w:ascii="Times New Roman" w:eastAsia="Times New Roman" w:hAnsi="Times New Roman" w:cs="Times New Roman"/>
          <w:sz w:val="24"/>
        </w:rPr>
        <w:t>with</w:t>
      </w:r>
      <w:r>
        <w:rPr>
          <w:rFonts w:ascii="Times New Roman" w:eastAsia="Times New Roman" w:hAnsi="Times New Roman" w:cs="Times New Roman"/>
          <w:sz w:val="24"/>
        </w:rPr>
        <w:t xml:space="preserve"> locally untreated </w:t>
      </w:r>
      <w:r w:rsidR="000C1A3C">
        <w:rPr>
          <w:rFonts w:ascii="Times New Roman" w:eastAsia="Times New Roman" w:hAnsi="Times New Roman" w:cs="Times New Roman"/>
          <w:sz w:val="24"/>
        </w:rPr>
        <w:t>bone metastasis</w:t>
      </w:r>
      <w:r>
        <w:rPr>
          <w:rFonts w:ascii="Times New Roman" w:eastAsia="Times New Roman" w:hAnsi="Times New Roman" w:cs="Times New Roman"/>
          <w:sz w:val="24"/>
        </w:rPr>
        <w:t>.</w:t>
      </w:r>
    </w:p>
    <w:tbl>
      <w:tblPr>
        <w:tblStyle w:val="TableGrid"/>
        <w:tblW w:w="87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4"/>
        <w:gridCol w:w="2126"/>
        <w:gridCol w:w="2268"/>
        <w:gridCol w:w="1276"/>
      </w:tblGrid>
      <w:tr w14:paraId="56D3D125" w14:textId="77777777" w:rsidTr="00653701">
        <w:tblPrEx>
          <w:tblW w:w="87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09"/>
        </w:trPr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1116" w14:paraId="56D3D11F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1116" w:rsidRPr="00653701" w14:paraId="56D3D120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Nivolumab</w:t>
            </w:r>
          </w:p>
          <w:p w:rsidR="00EC1116" w:rsidRPr="00653701" w14:paraId="56D3D121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(n = 24)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1116" w:rsidRPr="00653701" w14:paraId="56D3D122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TKI</w:t>
            </w:r>
          </w:p>
          <w:p w:rsidR="00EC1116" w:rsidRPr="00653701" w14:paraId="56D3D123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(n = 48)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1116" w:rsidRPr="00653701" w14:paraId="56D3D124" w14:textId="14A7FC3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653701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</w:rPr>
              <w:t>P</w:t>
            </w:r>
            <w:r w:rsidRPr="006537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-</w:t>
            </w:r>
            <w:r w:rsidRPr="00653701" w:rsidR="005465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</w:rPr>
              <w:t>value</w:t>
            </w:r>
          </w:p>
        </w:tc>
      </w:tr>
      <w:tr w14:paraId="56D3D12A" w14:textId="77777777" w:rsidTr="00653701">
        <w:tblPrEx>
          <w:tblW w:w="8784" w:type="dxa"/>
          <w:tblLook w:val="04A0"/>
        </w:tblPrEx>
        <w:trPr>
          <w:trHeight w:val="539"/>
        </w:trPr>
        <w:tc>
          <w:tcPr>
            <w:tcW w:w="3114" w:type="dxa"/>
            <w:tcBorders>
              <w:top w:val="single" w:sz="4" w:space="0" w:color="auto"/>
            </w:tcBorders>
            <w:vAlign w:val="center"/>
          </w:tcPr>
          <w:p w:rsidR="00EC1116" w14:paraId="56D3D126" w14:textId="7777777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Age (years)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EC1116" w14:paraId="56D3D127" w14:textId="0952021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65 (29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87)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EC1116" w14:paraId="56D3D128" w14:textId="78EF62F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68 (33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</w:rPr>
              <w:t>84)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EC1116" w14:paraId="56D3D129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0.80</w:t>
            </w:r>
          </w:p>
        </w:tc>
      </w:tr>
      <w:tr w14:paraId="56D3D12F" w14:textId="77777777" w:rsidTr="00653701">
        <w:tblPrEx>
          <w:tblW w:w="8784" w:type="dxa"/>
          <w:tblLook w:val="04A0"/>
        </w:tblPrEx>
        <w:trPr>
          <w:trHeight w:val="255"/>
        </w:trPr>
        <w:tc>
          <w:tcPr>
            <w:tcW w:w="3114" w:type="dxa"/>
          </w:tcPr>
          <w:p w:rsidR="00EC1116" w14:paraId="56D3D12B" w14:textId="3EB76B7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Sex, Male</w:t>
            </w:r>
            <w:r>
              <w:rPr>
                <w:rFonts w:ascii="Times New Roman" w:eastAsia="Times New Roman" w:hAnsi="Times New Roman" w:cs="Times New Roman"/>
                <w:sz w:val="24"/>
              </w:rPr>
              <w:t>: Female</w:t>
            </w:r>
          </w:p>
        </w:tc>
        <w:tc>
          <w:tcPr>
            <w:tcW w:w="2126" w:type="dxa"/>
            <w:vAlign w:val="center"/>
          </w:tcPr>
          <w:p w:rsidR="00EC1116" w14:paraId="56D3D12C" w14:textId="4DE9CCA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21 (88%</w:t>
            </w:r>
            <w:r w:rsidR="00C90B1D">
              <w:rPr>
                <w:rFonts w:ascii="Times New Roman" w:eastAsia="Times New Roman" w:hAnsi="Times New Roman" w:cs="Times New Roman"/>
                <w:sz w:val="24"/>
              </w:rPr>
              <w:t>):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3 (13%)</w:t>
            </w:r>
          </w:p>
        </w:tc>
        <w:tc>
          <w:tcPr>
            <w:tcW w:w="2268" w:type="dxa"/>
            <w:vAlign w:val="center"/>
          </w:tcPr>
          <w:p w:rsidR="00EC1116" w14:paraId="56D3D12D" w14:textId="1A3196A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38 (79%)</w:t>
            </w:r>
            <w:r>
              <w:rPr>
                <w:rFonts w:ascii="Times New Roman" w:eastAsia="Times New Roman" w:hAnsi="Times New Roman" w:cs="Times New Roman"/>
                <w:sz w:val="24"/>
              </w:rPr>
              <w:t>: 10 (21%)</w:t>
            </w:r>
          </w:p>
        </w:tc>
        <w:tc>
          <w:tcPr>
            <w:tcW w:w="1276" w:type="dxa"/>
            <w:vAlign w:val="center"/>
          </w:tcPr>
          <w:p w:rsidR="00EC1116" w14:paraId="56D3D12E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0.52</w:t>
            </w:r>
          </w:p>
        </w:tc>
      </w:tr>
      <w:tr w14:paraId="56D3D140" w14:textId="77777777" w:rsidTr="00653701">
        <w:tblPrEx>
          <w:tblW w:w="8784" w:type="dxa"/>
          <w:tblLook w:val="04A0"/>
        </w:tblPrEx>
        <w:trPr>
          <w:trHeight w:val="539"/>
        </w:trPr>
        <w:tc>
          <w:tcPr>
            <w:tcW w:w="3114" w:type="dxa"/>
          </w:tcPr>
          <w:p w:rsidR="00EC1116" w14:paraId="56D3D130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Histopathology</w:t>
            </w:r>
          </w:p>
          <w:p w:rsidR="00EC1116" w14:paraId="56D3D131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Clear cell RCC</w:t>
            </w:r>
          </w:p>
          <w:p w:rsidR="00EC1116" w14:paraId="56D3D132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Papillary RCC</w:t>
            </w:r>
          </w:p>
          <w:p w:rsidR="00EC1116" w14:paraId="56D3D133" w14:textId="77777777">
            <w:pPr>
              <w:pStyle w:val="NormalWeb"/>
              <w:spacing w:before="0" w:beforeAutospacing="0" w:after="0" w:afterAutospacing="0"/>
              <w:ind w:firstLine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Others/unknown</w:t>
            </w:r>
          </w:p>
        </w:tc>
        <w:tc>
          <w:tcPr>
            <w:tcW w:w="2126" w:type="dxa"/>
            <w:vAlign w:val="center"/>
          </w:tcPr>
          <w:p w:rsidR="00EC1116" w14:paraId="56D3D134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135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 (83%)</w:t>
            </w:r>
          </w:p>
          <w:p w:rsidR="00EC1116" w14:paraId="56D3D136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(4%)</w:t>
            </w:r>
          </w:p>
          <w:p w:rsidR="00EC1116" w14:paraId="56D3D137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 (13%)</w:t>
            </w:r>
          </w:p>
        </w:tc>
        <w:tc>
          <w:tcPr>
            <w:tcW w:w="2268" w:type="dxa"/>
            <w:vAlign w:val="center"/>
          </w:tcPr>
          <w:p w:rsidR="00EC1116" w14:paraId="56D3D138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139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 (83%)</w:t>
            </w:r>
          </w:p>
          <w:p w:rsidR="00EC1116" w14:paraId="56D3D13A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(4%)</w:t>
            </w:r>
          </w:p>
          <w:p w:rsidR="00EC1116" w14:paraId="56D3D13B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 (13%)</w:t>
            </w:r>
          </w:p>
        </w:tc>
        <w:tc>
          <w:tcPr>
            <w:tcW w:w="1276" w:type="dxa"/>
            <w:vAlign w:val="center"/>
          </w:tcPr>
          <w:p w:rsidR="00EC1116" w14:paraId="56D3D13C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13D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</w:t>
            </w:r>
          </w:p>
          <w:p w:rsidR="00EC1116" w14:paraId="56D3D13E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</w:t>
            </w:r>
          </w:p>
          <w:p w:rsidR="00EC1116" w14:paraId="56D3D13F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1.0</w:t>
            </w:r>
          </w:p>
        </w:tc>
      </w:tr>
      <w:tr w14:paraId="56D3D14B" w14:textId="77777777" w:rsidTr="00653701">
        <w:tblPrEx>
          <w:tblW w:w="8784" w:type="dxa"/>
          <w:tblLook w:val="04A0"/>
        </w:tblPrEx>
        <w:trPr>
          <w:trHeight w:val="1197"/>
        </w:trPr>
        <w:tc>
          <w:tcPr>
            <w:tcW w:w="3114" w:type="dxa"/>
          </w:tcPr>
          <w:p w:rsidR="00EC1116" w14:paraId="56D3D141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IMDC risk</w:t>
            </w:r>
          </w:p>
          <w:p w:rsidR="00EC1116" w14:paraId="56D3D142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Favorable / Intermediate</w:t>
            </w:r>
          </w:p>
          <w:p w:rsidR="00EC1116" w14:paraId="56D3D143" w14:textId="7777777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Poor</w:t>
            </w:r>
          </w:p>
        </w:tc>
        <w:tc>
          <w:tcPr>
            <w:tcW w:w="2126" w:type="dxa"/>
            <w:vAlign w:val="center"/>
          </w:tcPr>
          <w:p w:rsidR="00EC1116" w14:paraId="56D3D144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145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 (58%)</w:t>
            </w:r>
          </w:p>
          <w:p w:rsidR="00EC1116" w14:paraId="56D3D146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 (42%)</w:t>
            </w:r>
          </w:p>
        </w:tc>
        <w:tc>
          <w:tcPr>
            <w:tcW w:w="2268" w:type="dxa"/>
            <w:vAlign w:val="center"/>
          </w:tcPr>
          <w:p w:rsidR="00EC1116" w14:paraId="56D3D147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148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 (73%)</w:t>
            </w:r>
          </w:p>
          <w:p w:rsidR="00EC1116" w14:paraId="56D3D149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 (27%)</w:t>
            </w:r>
          </w:p>
        </w:tc>
        <w:tc>
          <w:tcPr>
            <w:tcW w:w="1276" w:type="dxa"/>
            <w:vAlign w:val="center"/>
          </w:tcPr>
          <w:p w:rsidR="00EC1116" w14:paraId="56D3D14A" w14:textId="777777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0.28</w:t>
            </w:r>
          </w:p>
        </w:tc>
      </w:tr>
      <w:tr w14:paraId="56D3D150" w14:textId="77777777" w:rsidTr="00653701">
        <w:tblPrEx>
          <w:tblW w:w="8784" w:type="dxa"/>
          <w:tblLook w:val="04A0"/>
        </w:tblPrEx>
        <w:trPr>
          <w:trHeight w:val="539"/>
        </w:trPr>
        <w:tc>
          <w:tcPr>
            <w:tcW w:w="3114" w:type="dxa"/>
          </w:tcPr>
          <w:p w:rsidR="00EC1116" w14:paraId="56D3D14C" w14:textId="7777777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Previous partial or total nephrectomy</w:t>
            </w:r>
          </w:p>
        </w:tc>
        <w:tc>
          <w:tcPr>
            <w:tcW w:w="2126" w:type="dxa"/>
            <w:vAlign w:val="center"/>
          </w:tcPr>
          <w:p w:rsidR="00EC1116" w14:paraId="56D3D14D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 (83%)</w:t>
            </w:r>
          </w:p>
        </w:tc>
        <w:tc>
          <w:tcPr>
            <w:tcW w:w="2268" w:type="dxa"/>
            <w:vAlign w:val="center"/>
          </w:tcPr>
          <w:p w:rsidR="00EC1116" w14:paraId="56D3D14E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37 (77%)</w:t>
            </w:r>
          </w:p>
        </w:tc>
        <w:tc>
          <w:tcPr>
            <w:tcW w:w="1276" w:type="dxa"/>
            <w:vAlign w:val="center"/>
          </w:tcPr>
          <w:p w:rsidR="00EC1116" w14:paraId="56D3D14F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0.76</w:t>
            </w:r>
          </w:p>
        </w:tc>
      </w:tr>
      <w:tr w14:paraId="56D3D155" w14:textId="77777777" w:rsidTr="00653701">
        <w:tblPrEx>
          <w:tblW w:w="8784" w:type="dxa"/>
          <w:tblLook w:val="04A0"/>
        </w:tblPrEx>
        <w:trPr>
          <w:trHeight w:val="539"/>
        </w:trPr>
        <w:tc>
          <w:tcPr>
            <w:tcW w:w="3114" w:type="dxa"/>
          </w:tcPr>
          <w:p w:rsidR="00EC1116" w14:paraId="56D3D151" w14:textId="7777777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Patients with metastasis other than bone</w:t>
            </w:r>
          </w:p>
        </w:tc>
        <w:tc>
          <w:tcPr>
            <w:tcW w:w="2126" w:type="dxa"/>
            <w:vAlign w:val="center"/>
          </w:tcPr>
          <w:p w:rsidR="00EC1116" w14:paraId="56D3D152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21 (88%)</w:t>
            </w:r>
          </w:p>
        </w:tc>
        <w:tc>
          <w:tcPr>
            <w:tcW w:w="2268" w:type="dxa"/>
            <w:vAlign w:val="center"/>
          </w:tcPr>
          <w:p w:rsidR="00EC1116" w14:paraId="56D3D153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41 (85%)</w:t>
            </w:r>
          </w:p>
        </w:tc>
        <w:tc>
          <w:tcPr>
            <w:tcW w:w="1276" w:type="dxa"/>
            <w:vAlign w:val="center"/>
          </w:tcPr>
          <w:p w:rsidR="00EC1116" w14:paraId="56D3D154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1.0</w:t>
            </w:r>
          </w:p>
        </w:tc>
      </w:tr>
      <w:tr w14:paraId="56D3D171" w14:textId="77777777" w:rsidTr="00653701">
        <w:tblPrEx>
          <w:tblW w:w="8784" w:type="dxa"/>
          <w:tblLook w:val="04A0"/>
        </w:tblPrEx>
        <w:trPr>
          <w:trHeight w:val="509"/>
        </w:trPr>
        <w:tc>
          <w:tcPr>
            <w:tcW w:w="3114" w:type="dxa"/>
          </w:tcPr>
          <w:p w:rsidR="00EC1116" w14:paraId="56D3D156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BM sites not treated by local therapy</w:t>
            </w:r>
          </w:p>
          <w:p w:rsidR="00EC1116" w14:paraId="56D3D157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Spine</w:t>
            </w:r>
          </w:p>
          <w:p w:rsidR="00EC1116" w14:paraId="56D3D158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Pelvic bone</w:t>
            </w:r>
          </w:p>
          <w:p w:rsidR="00EC1116" w14:paraId="56D3D159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Rib bone</w:t>
            </w:r>
          </w:p>
          <w:p w:rsidR="00EC1116" w14:paraId="56D3D15A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Cranial bone</w:t>
            </w:r>
          </w:p>
          <w:p w:rsidR="00EC1116" w14:paraId="56D3D15B" w14:textId="77777777">
            <w:pPr>
              <w:widowControl w:val="0"/>
              <w:spacing w:line="24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Others</w:t>
            </w:r>
          </w:p>
        </w:tc>
        <w:tc>
          <w:tcPr>
            <w:tcW w:w="2126" w:type="dxa"/>
            <w:vAlign w:val="center"/>
          </w:tcPr>
          <w:p w:rsidR="00EC1116" w14:paraId="56D3D15C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C1116" w14:paraId="56D3D15D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C1116" w14:paraId="56D3D15E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 (58%)</w:t>
            </w:r>
          </w:p>
          <w:p w:rsidR="00EC1116" w14:paraId="56D3D15F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 (29%)</w:t>
            </w:r>
          </w:p>
          <w:p w:rsidR="00EC1116" w14:paraId="56D3D160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 (25%)</w:t>
            </w:r>
          </w:p>
          <w:p w:rsidR="00EC1116" w14:paraId="56D3D161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(8%)</w:t>
            </w:r>
          </w:p>
          <w:p w:rsidR="00EC1116" w14:paraId="56D3D162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 (38%)</w:t>
            </w:r>
          </w:p>
        </w:tc>
        <w:tc>
          <w:tcPr>
            <w:tcW w:w="2268" w:type="dxa"/>
            <w:vAlign w:val="center"/>
          </w:tcPr>
          <w:p w:rsidR="00EC1116" w14:paraId="56D3D163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C1116" w14:paraId="56D3D164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C1116" w14:paraId="56D3D165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 (50%)</w:t>
            </w:r>
          </w:p>
          <w:p w:rsidR="00EC1116" w14:paraId="56D3D166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 (38%)</w:t>
            </w:r>
          </w:p>
          <w:p w:rsidR="00EC1116" w14:paraId="56D3D167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 (48%)</w:t>
            </w:r>
          </w:p>
          <w:p w:rsidR="00EC1116" w14:paraId="56D3D168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(2%)</w:t>
            </w:r>
          </w:p>
          <w:p w:rsidR="00EC1116" w14:paraId="56D3D169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 (23%)</w:t>
            </w:r>
          </w:p>
        </w:tc>
        <w:tc>
          <w:tcPr>
            <w:tcW w:w="1276" w:type="dxa"/>
            <w:vAlign w:val="center"/>
          </w:tcPr>
          <w:p w:rsidR="00EC1116" w14:paraId="56D3D16A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C1116" w14:paraId="56D3D16B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C1116" w14:paraId="56D3D16C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0.62</w:t>
            </w:r>
          </w:p>
          <w:p w:rsidR="00EC1116" w14:paraId="56D3D16D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  <w:p w:rsidR="00EC1116" w14:paraId="56D3D16E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0.077</w:t>
            </w:r>
          </w:p>
          <w:p w:rsidR="00EC1116" w14:paraId="56D3D16F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  <w:p w:rsidR="00EC1116" w14:paraId="56D3D170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0.26</w:t>
            </w:r>
          </w:p>
        </w:tc>
      </w:tr>
      <w:tr w14:paraId="56D3D18A" w14:textId="77777777" w:rsidTr="00653701">
        <w:tblPrEx>
          <w:tblW w:w="8784" w:type="dxa"/>
          <w:tblLook w:val="04A0"/>
        </w:tblPrEx>
        <w:trPr>
          <w:trHeight w:val="509"/>
        </w:trPr>
        <w:tc>
          <w:tcPr>
            <w:tcW w:w="3114" w:type="dxa"/>
          </w:tcPr>
          <w:p w:rsidR="00EC1116" w14:paraId="56D3D172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Prior 1st line treatment</w:t>
            </w:r>
          </w:p>
          <w:p w:rsidR="00EC1116" w14:paraId="56D3D173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TKI</w:t>
            </w:r>
          </w:p>
          <w:p w:rsidR="00EC1116" w14:paraId="56D3D174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ICI+TKI</w:t>
            </w:r>
          </w:p>
          <w:p w:rsidR="00EC1116" w14:paraId="56D3D175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ICI+ICI</w:t>
            </w:r>
          </w:p>
          <w:p w:rsidR="00EC1116" w14:paraId="56D3D176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Interferon-α</w:t>
            </w:r>
          </w:p>
          <w:p w:rsidR="00EC1116" w14:paraId="56D3D177" w14:textId="77777777">
            <w:pPr>
              <w:widowControl w:val="0"/>
              <w:spacing w:line="24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Others</w:t>
            </w:r>
          </w:p>
        </w:tc>
        <w:tc>
          <w:tcPr>
            <w:tcW w:w="2126" w:type="dxa"/>
            <w:vAlign w:val="center"/>
          </w:tcPr>
          <w:p w:rsidR="00EC1116" w14:paraId="56D3D178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C1116" w14:paraId="56D3D179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 (92%)</w:t>
            </w:r>
          </w:p>
          <w:p w:rsidR="00EC1116" w14:paraId="56D3D17A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(8%)</w:t>
            </w:r>
          </w:p>
          <w:p w:rsidR="00EC1116" w14:paraId="56D3D17B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  <w:p w:rsidR="00EC1116" w14:paraId="56D3D17C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  <w:p w:rsidR="00EC1116" w14:paraId="56D3D17D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 w:rsidR="00EC1116" w14:paraId="56D3D17E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C1116" w14:paraId="56D3D17F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 (48%)</w:t>
            </w:r>
          </w:p>
          <w:p w:rsidR="00EC1116" w14:paraId="56D3D180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 (19%)</w:t>
            </w:r>
          </w:p>
          <w:p w:rsidR="00EC1116" w14:paraId="56D3D181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 (8%)</w:t>
            </w:r>
          </w:p>
          <w:p w:rsidR="00EC1116" w14:paraId="56D3D182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 (13%)</w:t>
            </w:r>
          </w:p>
          <w:p w:rsidR="00EC1116" w14:paraId="56D3D183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 (13%)</w:t>
            </w:r>
          </w:p>
        </w:tc>
        <w:tc>
          <w:tcPr>
            <w:tcW w:w="1276" w:type="dxa"/>
            <w:vAlign w:val="center"/>
          </w:tcPr>
          <w:p w:rsidR="00EC1116" w14:paraId="56D3D184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C1116" w14:paraId="56D3D185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&lt;0.01</w:t>
            </w:r>
          </w:p>
          <w:p w:rsidR="00EC1116" w14:paraId="56D3D186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  <w:p w:rsidR="00EC1116" w14:paraId="56D3D187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  <w:p w:rsidR="00EC1116" w14:paraId="56D3D188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  <w:p w:rsidR="00EC1116" w14:paraId="56D3D189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0.17</w:t>
            </w:r>
          </w:p>
        </w:tc>
      </w:tr>
      <w:tr w14:paraId="56D3D198" w14:textId="77777777" w:rsidTr="00653701">
        <w:tblPrEx>
          <w:tblW w:w="8784" w:type="dxa"/>
          <w:tblLook w:val="04A0"/>
        </w:tblPrEx>
        <w:trPr>
          <w:trHeight w:val="539"/>
        </w:trPr>
        <w:tc>
          <w:tcPr>
            <w:tcW w:w="3114" w:type="dxa"/>
          </w:tcPr>
          <w:p w:rsidR="00EC1116" w14:paraId="56D3D18B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Type of 2nd line TKI treatment</w:t>
            </w:r>
          </w:p>
          <w:p w:rsidR="00EC1116" w14:paraId="56D3D18C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Axitinib</w:t>
            </w:r>
          </w:p>
          <w:p w:rsidR="00EC1116" w14:paraId="56D3D18D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Cabozantinib</w:t>
            </w:r>
          </w:p>
          <w:p w:rsidR="00EC1116" w14:paraId="56D3D18E" w14:textId="77777777">
            <w:pPr>
              <w:pStyle w:val="NormalWeb"/>
              <w:spacing w:before="0" w:beforeAutospacing="0" w:after="0" w:afterAutospacing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Sorafenib</w:t>
            </w:r>
          </w:p>
          <w:p w:rsidR="00EC1116" w14:paraId="56D3D18F" w14:textId="77777777">
            <w:pPr>
              <w:widowControl w:val="0"/>
              <w:spacing w:line="24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Sunitinib</w:t>
            </w:r>
          </w:p>
        </w:tc>
        <w:tc>
          <w:tcPr>
            <w:tcW w:w="2126" w:type="dxa"/>
            <w:vAlign w:val="center"/>
          </w:tcPr>
          <w:p w:rsidR="00EC1116" w14:paraId="56D3D190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2268" w:type="dxa"/>
            <w:vAlign w:val="center"/>
          </w:tcPr>
          <w:p w:rsidR="00EC1116" w14:paraId="56D3D191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C1116" w14:paraId="56D3D192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C1116" w14:paraId="56D3D193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 (67%)</w:t>
            </w:r>
          </w:p>
          <w:p w:rsidR="00EC1116" w14:paraId="56D3D194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(21%)</w:t>
            </w:r>
          </w:p>
          <w:p w:rsidR="00EC1116" w14:paraId="56D3D195" w14:textId="77777777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(6%)</w:t>
            </w:r>
          </w:p>
          <w:p w:rsidR="00EC1116" w14:paraId="56D3D196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 (6%)</w:t>
            </w:r>
          </w:p>
        </w:tc>
        <w:tc>
          <w:tcPr>
            <w:tcW w:w="1276" w:type="dxa"/>
            <w:vAlign w:val="center"/>
          </w:tcPr>
          <w:p w:rsidR="00EC1116" w14:paraId="56D3D197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</w:tr>
      <w:tr w14:paraId="56D3D19D" w14:textId="77777777" w:rsidTr="00653701">
        <w:tblPrEx>
          <w:tblW w:w="8784" w:type="dxa"/>
          <w:tblLook w:val="04A0"/>
        </w:tblPrEx>
        <w:trPr>
          <w:trHeight w:val="539"/>
        </w:trPr>
        <w:tc>
          <w:tcPr>
            <w:tcW w:w="3114" w:type="dxa"/>
          </w:tcPr>
          <w:p w:rsidR="00EC1116" w14:paraId="56D3D199" w14:textId="7777777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Bone modifying agents</w:t>
            </w:r>
          </w:p>
        </w:tc>
        <w:tc>
          <w:tcPr>
            <w:tcW w:w="2126" w:type="dxa"/>
            <w:vAlign w:val="center"/>
          </w:tcPr>
          <w:p w:rsidR="00EC1116" w14:paraId="56D3D19A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16 (67%)</w:t>
            </w:r>
          </w:p>
        </w:tc>
        <w:tc>
          <w:tcPr>
            <w:tcW w:w="2268" w:type="dxa"/>
            <w:vAlign w:val="center"/>
          </w:tcPr>
          <w:p w:rsidR="00EC1116" w14:paraId="56D3D19B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39 (81%)</w:t>
            </w:r>
          </w:p>
        </w:tc>
        <w:tc>
          <w:tcPr>
            <w:tcW w:w="1276" w:type="dxa"/>
            <w:vAlign w:val="center"/>
          </w:tcPr>
          <w:p w:rsidR="00EC1116" w14:paraId="56D3D19C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0.24</w:t>
            </w:r>
          </w:p>
        </w:tc>
      </w:tr>
      <w:tr w14:paraId="56D3D1A2" w14:textId="77777777" w:rsidTr="00653701">
        <w:tblPrEx>
          <w:tblW w:w="8784" w:type="dxa"/>
          <w:tblLook w:val="04A0"/>
        </w:tblPrEx>
        <w:trPr>
          <w:trHeight w:val="509"/>
        </w:trPr>
        <w:tc>
          <w:tcPr>
            <w:tcW w:w="3114" w:type="dxa"/>
          </w:tcPr>
          <w:p w:rsidR="00EC1116" w14:paraId="56D3D19E" w14:textId="7777777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ALP (U/L)</w:t>
            </w:r>
          </w:p>
        </w:tc>
        <w:tc>
          <w:tcPr>
            <w:tcW w:w="2126" w:type="dxa"/>
            <w:vAlign w:val="center"/>
          </w:tcPr>
          <w:p w:rsidR="00EC1116" w14:paraId="56D3D19F" w14:textId="7919C4B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279 (153</w:t>
            </w:r>
            <w:r w:rsidR="00C90B1D">
              <w:rPr>
                <w:rFonts w:ascii="Times New Roman" w:eastAsia="Times New Roman" w:hAnsi="Times New Roman" w:cs="Times New Roman"/>
                <w:color w:val="000000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1632)</w:t>
            </w:r>
          </w:p>
        </w:tc>
        <w:tc>
          <w:tcPr>
            <w:tcW w:w="2268" w:type="dxa"/>
            <w:vAlign w:val="center"/>
          </w:tcPr>
          <w:p w:rsidR="00EC1116" w14:paraId="56D3D1A0" w14:textId="478E4D1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286 (135</w:t>
            </w:r>
            <w:r w:rsidR="00C90B1D">
              <w:rPr>
                <w:rFonts w:ascii="Times New Roman" w:eastAsia="Times New Roman" w:hAnsi="Times New Roman" w:cs="Times New Roman"/>
                <w:color w:val="000000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3406)</w:t>
            </w:r>
          </w:p>
        </w:tc>
        <w:tc>
          <w:tcPr>
            <w:tcW w:w="1276" w:type="dxa"/>
            <w:vAlign w:val="center"/>
          </w:tcPr>
          <w:p w:rsidR="00EC1116" w14:paraId="56D3D1A1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0.41</w:t>
            </w:r>
          </w:p>
        </w:tc>
      </w:tr>
      <w:tr w14:paraId="56D3D1A7" w14:textId="77777777" w:rsidTr="00653701">
        <w:tblPrEx>
          <w:tblW w:w="8784" w:type="dxa"/>
          <w:tblLook w:val="04A0"/>
        </w:tblPrEx>
        <w:trPr>
          <w:trHeight w:val="509"/>
        </w:trPr>
        <w:tc>
          <w:tcPr>
            <w:tcW w:w="3114" w:type="dxa"/>
          </w:tcPr>
          <w:p w:rsidR="00EC1116" w14:paraId="56D3D1A3" w14:textId="7777777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LDH (U/L)</w:t>
            </w:r>
          </w:p>
        </w:tc>
        <w:tc>
          <w:tcPr>
            <w:tcW w:w="2126" w:type="dxa"/>
            <w:vAlign w:val="center"/>
          </w:tcPr>
          <w:p w:rsidR="00EC1116" w14:paraId="56D3D1A4" w14:textId="1E02A06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215 (125</w:t>
            </w:r>
            <w:r w:rsidR="00C90B1D">
              <w:rPr>
                <w:rFonts w:ascii="Times New Roman" w:eastAsia="Times New Roman" w:hAnsi="Times New Roman" w:cs="Times New Roman"/>
                <w:color w:val="000000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602)</w:t>
            </w:r>
          </w:p>
        </w:tc>
        <w:tc>
          <w:tcPr>
            <w:tcW w:w="2268" w:type="dxa"/>
            <w:vAlign w:val="center"/>
          </w:tcPr>
          <w:p w:rsidR="00EC1116" w14:paraId="56D3D1A5" w14:textId="5C85C5C9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213 (97</w:t>
            </w:r>
            <w:r w:rsidR="00C90B1D">
              <w:rPr>
                <w:rFonts w:ascii="Times New Roman" w:eastAsia="Times New Roman" w:hAnsi="Times New Roman" w:cs="Times New Roman"/>
                <w:color w:val="000000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1152)</w:t>
            </w:r>
          </w:p>
        </w:tc>
        <w:tc>
          <w:tcPr>
            <w:tcW w:w="1276" w:type="dxa"/>
            <w:vAlign w:val="center"/>
          </w:tcPr>
          <w:p w:rsidR="00EC1116" w14:paraId="56D3D1A6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0.83</w:t>
            </w:r>
          </w:p>
        </w:tc>
      </w:tr>
      <w:tr w14:paraId="56D3D1AC" w14:textId="77777777" w:rsidTr="00653701">
        <w:tblPrEx>
          <w:tblW w:w="8784" w:type="dxa"/>
          <w:tblLook w:val="04A0"/>
        </w:tblPrEx>
        <w:trPr>
          <w:trHeight w:val="509"/>
        </w:trPr>
        <w:tc>
          <w:tcPr>
            <w:tcW w:w="3114" w:type="dxa"/>
          </w:tcPr>
          <w:p w:rsidR="00EC1116" w14:paraId="56D3D1A8" w14:textId="7777777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NLR</w:t>
            </w:r>
          </w:p>
        </w:tc>
        <w:tc>
          <w:tcPr>
            <w:tcW w:w="2126" w:type="dxa"/>
            <w:vAlign w:val="center"/>
          </w:tcPr>
          <w:p w:rsidR="00EC1116" w14:paraId="56D3D1A9" w14:textId="706AB5F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3.2 (1.4</w:t>
            </w:r>
            <w:r w:rsidR="00C90B1D">
              <w:rPr>
                <w:rFonts w:ascii="Times New Roman" w:eastAsia="Times New Roman" w:hAnsi="Times New Roman" w:cs="Times New Roman"/>
                <w:color w:val="000000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32.5)</w:t>
            </w:r>
          </w:p>
        </w:tc>
        <w:tc>
          <w:tcPr>
            <w:tcW w:w="2268" w:type="dxa"/>
            <w:vAlign w:val="center"/>
          </w:tcPr>
          <w:p w:rsidR="00EC1116" w14:paraId="56D3D1AA" w14:textId="46EFF5E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3.3 (1.3</w:t>
            </w:r>
            <w:r w:rsidR="00C90B1D">
              <w:rPr>
                <w:rFonts w:ascii="Times New Roman" w:eastAsia="Times New Roman" w:hAnsi="Times New Roman" w:cs="Times New Roman"/>
                <w:color w:val="000000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16.1)</w:t>
            </w:r>
          </w:p>
        </w:tc>
        <w:tc>
          <w:tcPr>
            <w:tcW w:w="1276" w:type="dxa"/>
            <w:vAlign w:val="center"/>
          </w:tcPr>
          <w:p w:rsidR="00EC1116" w14:paraId="56D3D1AB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0.94</w:t>
            </w:r>
          </w:p>
        </w:tc>
      </w:tr>
      <w:tr w14:paraId="56D3D1B1" w14:textId="77777777" w:rsidTr="00653701">
        <w:tblPrEx>
          <w:tblW w:w="8784" w:type="dxa"/>
          <w:tblLook w:val="04A0"/>
        </w:tblPrEx>
        <w:trPr>
          <w:trHeight w:val="509"/>
        </w:trPr>
        <w:tc>
          <w:tcPr>
            <w:tcW w:w="3114" w:type="dxa"/>
            <w:tcBorders>
              <w:bottom w:val="single" w:sz="4" w:space="0" w:color="auto"/>
            </w:tcBorders>
          </w:tcPr>
          <w:p w:rsidR="00EC1116" w14:paraId="56D3D1AD" w14:textId="32E5FB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Observation period from the </w:t>
            </w:r>
            <w:r w:rsidR="000114D9">
              <w:rPr>
                <w:rFonts w:ascii="Times New Roman" w:eastAsia="Times New Roman" w:hAnsi="Times New Roman" w:cs="Times New Roman"/>
                <w:sz w:val="24"/>
              </w:rPr>
              <w:t>second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-line therapy </w:t>
            </w:r>
            <w:r>
              <w:rPr>
                <w:rFonts w:ascii="Times New Roman" w:eastAsia="Times New Roman" w:hAnsi="Times New Roman" w:cs="Times New Roman"/>
                <w:sz w:val="24"/>
              </w:rPr>
              <w:t>(months)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C1116" w14:paraId="56D3D1AE" w14:textId="56F2F03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15.0 (1</w:t>
            </w:r>
            <w:r w:rsidR="00C90B1D">
              <w:rPr>
                <w:rFonts w:ascii="Times New Roman" w:eastAsia="Times New Roman" w:hAnsi="Times New Roman" w:cs="Times New Roman"/>
                <w:color w:val="000000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73)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EC1116" w14:paraId="56D3D1AF" w14:textId="732ABC4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11.0 (1</w:t>
            </w:r>
            <w:r w:rsidR="00C90B1D">
              <w:rPr>
                <w:rFonts w:ascii="Times New Roman" w:eastAsia="Times New Roman" w:hAnsi="Times New Roman" w:cs="Times New Roman"/>
                <w:color w:val="000000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91)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EC1116" w14:paraId="56D3D1B0" w14:textId="7777777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0.85</w:t>
            </w:r>
          </w:p>
        </w:tc>
      </w:tr>
    </w:tbl>
    <w:p w:rsidR="00EC1116" w14:paraId="56D3D1B2" w14:textId="2F3EF466">
      <w:pPr>
        <w:pStyle w:val="EndNoteBibliography"/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BM</w:t>
      </w:r>
      <w:r w:rsidR="000114D9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bone metastasis</w:t>
      </w:r>
      <w:r>
        <w:rPr>
          <w:rFonts w:ascii="Times New Roman" w:eastAsia="Times New Roman" w:hAnsi="Times New Roman" w:cs="Times New Roman"/>
          <w:sz w:val="24"/>
        </w:rPr>
        <w:t>;</w:t>
      </w:r>
      <w:r w:rsidR="000114D9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TKI</w:t>
      </w:r>
      <w:r w:rsidR="000114D9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tyrosine kinase inhibitor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RCC</w:t>
      </w:r>
      <w:r w:rsidR="000114D9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renal cell carcinoma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IMDC</w:t>
      </w:r>
      <w:r w:rsidR="0032148D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I</w:t>
      </w:r>
      <w:r>
        <w:rPr>
          <w:rFonts w:ascii="Times New Roman" w:eastAsia="Times New Roman" w:hAnsi="Times New Roman" w:cs="Times New Roman"/>
          <w:sz w:val="24"/>
        </w:rPr>
        <w:t xml:space="preserve">nternational </w:t>
      </w:r>
      <w:r>
        <w:rPr>
          <w:rFonts w:ascii="Times New Roman" w:eastAsia="Times New Roman" w:hAnsi="Times New Roman" w:cs="Times New Roman"/>
          <w:sz w:val="24"/>
        </w:rPr>
        <w:t>M</w:t>
      </w:r>
      <w:r>
        <w:rPr>
          <w:rFonts w:ascii="Times New Roman" w:eastAsia="Times New Roman" w:hAnsi="Times New Roman" w:cs="Times New Roman"/>
          <w:sz w:val="24"/>
        </w:rPr>
        <w:t xml:space="preserve">etastatic </w:t>
      </w:r>
      <w:r>
        <w:rPr>
          <w:rFonts w:ascii="Times New Roman" w:eastAsia="Times New Roman" w:hAnsi="Times New Roman" w:cs="Times New Roman"/>
          <w:sz w:val="24"/>
        </w:rPr>
        <w:t>D</w:t>
      </w:r>
      <w:r>
        <w:rPr>
          <w:rFonts w:ascii="Times New Roman" w:eastAsia="Times New Roman" w:hAnsi="Times New Roman" w:cs="Times New Roman"/>
          <w:sz w:val="24"/>
        </w:rPr>
        <w:t xml:space="preserve">atabase </w:t>
      </w:r>
      <w:r>
        <w:rPr>
          <w:rFonts w:ascii="Times New Roman" w:eastAsia="Times New Roman" w:hAnsi="Times New Roman" w:cs="Times New Roman"/>
          <w:sz w:val="24"/>
        </w:rPr>
        <w:t>C</w:t>
      </w:r>
      <w:r>
        <w:rPr>
          <w:rFonts w:ascii="Times New Roman" w:eastAsia="Times New Roman" w:hAnsi="Times New Roman" w:cs="Times New Roman"/>
          <w:sz w:val="24"/>
        </w:rPr>
        <w:t>onsortium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ICI</w:t>
      </w:r>
      <w:r w:rsidR="0032148D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immune checkpoint inhibitor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ALP</w:t>
      </w:r>
      <w:r w:rsidR="0032148D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alkaline phosphatase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LDH</w:t>
      </w:r>
      <w:r w:rsidR="0032148D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lactate dehydrogenase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NLR</w:t>
      </w:r>
      <w:r w:rsidR="004835F1">
        <w:rPr>
          <w:rFonts w:ascii="Times New Roman" w:eastAsia="Times New Roman" w:hAnsi="Times New Roman" w:cs="Times New Roman"/>
          <w:i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neutrophil</w:t>
      </w:r>
      <w:r>
        <w:rPr>
          <w:rFonts w:ascii="Times New Roman" w:eastAsia="Times New Roman" w:hAnsi="Times New Roman" w:cs="Times New Roman"/>
          <w:sz w:val="24"/>
        </w:rPr>
        <w:t>-to-</w:t>
      </w:r>
      <w:r>
        <w:rPr>
          <w:rFonts w:ascii="Times New Roman" w:eastAsia="Times New Roman" w:hAnsi="Times New Roman" w:cs="Times New Roman"/>
          <w:sz w:val="24"/>
        </w:rPr>
        <w:t>lymphocyte ratio.</w:t>
      </w:r>
    </w:p>
    <w:sectPr>
      <w:pgSz w:w="11906" w:h="16838"/>
      <w:pgMar w:top="709" w:right="851" w:bottom="567" w:left="1134" w:header="284" w:footer="624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trackRevisions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116"/>
    <w:rsid w:val="000114D9"/>
    <w:rsid w:val="000C1A3C"/>
    <w:rsid w:val="0032148D"/>
    <w:rsid w:val="004835F1"/>
    <w:rsid w:val="0054653C"/>
    <w:rsid w:val="005D1E8A"/>
    <w:rsid w:val="00651FB2"/>
    <w:rsid w:val="00653701"/>
    <w:rsid w:val="00AC70C9"/>
    <w:rsid w:val="00BA7830"/>
    <w:rsid w:val="00C90B1D"/>
    <w:rsid w:val="00D84677"/>
    <w:rsid w:val="00E8286E"/>
    <w:rsid w:val="00EC1116"/>
    <w:rsid w:val="00F374E3"/>
    <w:rsid w:val="00F45D46"/>
    <w:rsid w:val="00FE2B8E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D3D058"/>
  <w15:docId w15:val="{DE8ECB44-86E1-46CC-B8A1-18EDE86B4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1">
    <w:name w:val="TOC 1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Normal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Normal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Normal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DefaultParagraphFont"/>
    <w:rPr>
      <w:sz w:val="16"/>
    </w:rPr>
  </w:style>
  <w:style w:type="character" w:customStyle="1" w:styleId="EndnoteReference1">
    <w:name w:val="Endnote Reference1"/>
    <w:basedOn w:val="DefaultParagraphFont"/>
    <w:rPr>
      <w:vertAlign w:val="superscript"/>
    </w:rPr>
  </w:style>
  <w:style w:type="character" w:customStyle="1" w:styleId="FootnoteReference1">
    <w:name w:val="Footnote Reference1"/>
    <w:basedOn w:val="DefaultParagraphFont"/>
    <w:rPr>
      <w:vertAlign w:val="superscript"/>
    </w:rPr>
  </w:style>
  <w:style w:type="paragraph" w:styleId="Header">
    <w:name w:val="header"/>
    <w:basedOn w:val="Normal"/>
    <w:pPr>
      <w:tabs>
        <w:tab w:val="center" w:pos="4252"/>
        <w:tab w:val="right" w:pos="8504"/>
      </w:tabs>
      <w:snapToGrid w:val="0"/>
    </w:pPr>
  </w:style>
  <w:style w:type="paragraph" w:styleId="Footer">
    <w:name w:val="footer"/>
    <w:basedOn w:val="Normal"/>
    <w:pPr>
      <w:tabs>
        <w:tab w:val="center" w:pos="4252"/>
        <w:tab w:val="right" w:pos="8504"/>
      </w:tabs>
      <w:snapToGrid w:val="0"/>
    </w:pPr>
  </w:style>
  <w:style w:type="paragraph" w:customStyle="1" w:styleId="EndNoteBibliography">
    <w:name w:val="EndNote Bibliography"/>
    <w:basedOn w:val="Normal"/>
    <w:pPr>
      <w:spacing w:line="240" w:lineRule="auto"/>
    </w:pPr>
    <w:rPr>
      <w:rFonts w:ascii="Century" w:eastAsia="Century" w:hAnsi="Century" w:cs="Century"/>
      <w:sz w:val="20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</w:rPr>
  </w:style>
  <w:style w:type="paragraph" w:customStyle="1" w:styleId="TableList">
    <w:name w:val="Table List"/>
    <w:basedOn w:val="Normal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DefaultParagraphFont"/>
    <w:rPr>
      <w:shd w:val="clear" w:color="auto" w:fill="D0FCE2"/>
    </w:rPr>
  </w:style>
  <w:style w:type="character" w:customStyle="1" w:styleId="FamilyName">
    <w:name w:val="Family Name"/>
    <w:basedOn w:val="DefaultParagraphFont"/>
    <w:rPr>
      <w:shd w:val="clear" w:color="auto" w:fill="88F4BE"/>
    </w:rPr>
  </w:style>
  <w:style w:type="paragraph" w:customStyle="1" w:styleId="List8">
    <w:name w:val="List 8"/>
    <w:basedOn w:val="Normal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DefaultParagraphFont"/>
    <w:rPr>
      <w:shd w:val="clear" w:color="auto" w:fill="FFE3C9"/>
    </w:rPr>
  </w:style>
  <w:style w:type="character" w:customStyle="1" w:styleId="Postcode">
    <w:name w:val="Postcode"/>
    <w:basedOn w:val="DefaultParagraphFont"/>
    <w:rPr>
      <w:shd w:val="clear" w:color="auto" w:fill="BEBEBE"/>
    </w:rPr>
  </w:style>
  <w:style w:type="paragraph" w:customStyle="1" w:styleId="Authors">
    <w:name w:val="Authors"/>
    <w:basedOn w:val="Normal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DefaultParagraphFont"/>
    <w:rPr>
      <w:shd w:val="clear" w:color="auto" w:fill="DDA5FF"/>
    </w:rPr>
  </w:style>
  <w:style w:type="paragraph" w:customStyle="1" w:styleId="Annotation">
    <w:name w:val="Annotation"/>
    <w:basedOn w:val="Normal"/>
    <w:pPr>
      <w:spacing w:after="160" w:line="360" w:lineRule="auto"/>
      <w:ind w:left="400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Normal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Normal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Normal"/>
    <w:rPr>
      <w:rFonts w:ascii="Calibri" w:eastAsia="Calibri" w:hAnsi="Calibri" w:cs="Calibri"/>
    </w:rPr>
  </w:style>
  <w:style w:type="paragraph" w:customStyle="1" w:styleId="Formula">
    <w:name w:val="Formula"/>
    <w:basedOn w:val="Normal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Normal"/>
    <w:pPr>
      <w:spacing w:after="160" w:line="360" w:lineRule="auto"/>
      <w:ind w:left="1440" w:right="1440"/>
      <w:jc w:val="both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Normal"/>
    <w:pPr>
      <w:spacing w:after="320"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DefaultParagraphFont"/>
    <w:rPr>
      <w:shd w:val="clear" w:color="auto" w:fill="FFC391"/>
      <w:vertAlign w:val="baseline"/>
    </w:rPr>
  </w:style>
  <w:style w:type="paragraph" w:customStyle="1" w:styleId="Keywords">
    <w:name w:val="Keywords"/>
    <w:basedOn w:val="Normal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DefaultParagraphFont"/>
    <w:rPr>
      <w:shd w:val="clear" w:color="auto" w:fill="D1FFB5"/>
    </w:rPr>
  </w:style>
  <w:style w:type="paragraph" w:styleId="List2">
    <w:name w:val="List 2"/>
    <w:basedOn w:val="Normal"/>
    <w:pPr>
      <w:spacing w:line="360" w:lineRule="auto"/>
      <w:ind w:left="800" w:hanging="400"/>
      <w:jc w:val="both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DefaultParagraphFont"/>
    <w:rPr>
      <w:shd w:val="clear" w:color="auto" w:fill="FFCFD7"/>
    </w:rPr>
  </w:style>
  <w:style w:type="paragraph" w:customStyle="1" w:styleId="EndnoteText1">
    <w:name w:val="Endnote Text1"/>
    <w:basedOn w:val="Normal"/>
    <w:rPr>
      <w:rFonts w:ascii="Calibri" w:eastAsia="Calibri" w:hAnsi="Calibri" w:cs="Calibri"/>
    </w:rPr>
  </w:style>
  <w:style w:type="paragraph" w:styleId="BlockText">
    <w:name w:val="Block Text"/>
    <w:basedOn w:val="Normal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DefaultParagraphFont"/>
    <w:qFormat/>
    <w:rPr>
      <w:shd w:val="clear" w:color="auto" w:fill="E9F9FF"/>
    </w:rPr>
  </w:style>
  <w:style w:type="character" w:customStyle="1" w:styleId="City">
    <w:name w:val="City"/>
    <w:basedOn w:val="DefaultParagraphFont"/>
    <w:rPr>
      <w:shd w:val="clear" w:color="auto" w:fill="D7D7D7"/>
    </w:rPr>
  </w:style>
  <w:style w:type="character" w:styleId="Hyperlink">
    <w:name w:val="Hyperlink"/>
    <w:basedOn w:val="DefaultParagraphFont"/>
    <w:rPr>
      <w:color w:val="0563C1"/>
    </w:rPr>
  </w:style>
  <w:style w:type="character" w:customStyle="1" w:styleId="Region">
    <w:name w:val="Region"/>
    <w:basedOn w:val="DefaultParagraphFont"/>
    <w:rPr>
      <w:shd w:val="clear" w:color="auto" w:fill="D8E9EE"/>
    </w:rPr>
  </w:style>
  <w:style w:type="paragraph" w:customStyle="1" w:styleId="Correspondence">
    <w:name w:val="Correspondence"/>
    <w:basedOn w:val="Normal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DefaultParagraphFont"/>
    <w:rPr>
      <w:shd w:val="clear" w:color="auto" w:fill="AFBEFF"/>
    </w:rPr>
  </w:style>
  <w:style w:type="paragraph" w:styleId="List4">
    <w:name w:val="List 4"/>
    <w:basedOn w:val="Normal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Normal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Normal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Normal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DefaultParagraphFont"/>
    <w:rPr>
      <w:shd w:val="clear" w:color="auto" w:fill="97C5D1"/>
    </w:rPr>
  </w:style>
  <w:style w:type="paragraph" w:customStyle="1" w:styleId="Acknowledgements">
    <w:name w:val="Acknowledgements"/>
    <w:basedOn w:val="Normal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DefaultParagraphFont"/>
    <w:rPr>
      <w:shd w:val="clear" w:color="auto" w:fill="FFEDF0"/>
    </w:rPr>
  </w:style>
  <w:style w:type="paragraph" w:styleId="NormalIndent">
    <w:name w:val="Normal Indent"/>
    <w:basedOn w:val="Normal"/>
    <w:qFormat/>
    <w:pPr>
      <w:ind w:firstLine="480"/>
    </w:pPr>
    <w:rPr>
      <w:sz w:val="22"/>
    </w:rPr>
  </w:style>
  <w:style w:type="paragraph" w:customStyle="1" w:styleId="Affiliation">
    <w:name w:val="Affiliation"/>
    <w:basedOn w:val="Normal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DefaultParagraphFont"/>
    <w:rPr>
      <w:shd w:val="clear" w:color="auto" w:fill="EDF0FF"/>
    </w:rPr>
  </w:style>
  <w:style w:type="character" w:customStyle="1" w:styleId="GeneSequence">
    <w:name w:val="Gene Sequence"/>
    <w:basedOn w:val="DefaultParagraphFont"/>
    <w:rPr>
      <w:shd w:val="clear" w:color="auto" w:fill="FFCDF2"/>
    </w:rPr>
  </w:style>
  <w:style w:type="paragraph" w:styleId="BalloonText">
    <w:name w:val="Balloon Text"/>
    <w:basedOn w:val="Normal"/>
    <w:rPr>
      <w:rFonts w:ascii="Calibri" w:eastAsia="Calibri" w:hAnsi="Calibri" w:cs="Calibri"/>
      <w:color w:val="000000"/>
      <w:sz w:val="16"/>
    </w:rPr>
  </w:style>
  <w:style w:type="character" w:customStyle="1" w:styleId="IssueNumber">
    <w:name w:val="Issue Number"/>
    <w:basedOn w:val="DefaultParagraphFont"/>
    <w:rPr>
      <w:shd w:val="clear" w:color="auto" w:fill="CDD5FF"/>
    </w:rPr>
  </w:style>
  <w:style w:type="paragraph" w:styleId="List">
    <w:name w:val="List"/>
    <w:basedOn w:val="Normal"/>
    <w:pPr>
      <w:spacing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DefaultParagraphFont"/>
    <w:rPr>
      <w:shd w:val="clear" w:color="auto" w:fill="FFF6A4"/>
    </w:rPr>
  </w:style>
  <w:style w:type="paragraph" w:customStyle="1" w:styleId="Biography">
    <w:name w:val="Biography"/>
    <w:basedOn w:val="Normal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List3">
    <w:name w:val="List 3"/>
    <w:basedOn w:val="Normal"/>
    <w:pPr>
      <w:spacing w:line="360" w:lineRule="auto"/>
      <w:ind w:left="1200" w:hanging="400"/>
      <w:jc w:val="both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DefaultParagraphFont"/>
    <w:rPr>
      <w:shd w:val="clear" w:color="auto" w:fill="FFAFBC"/>
    </w:rPr>
  </w:style>
  <w:style w:type="paragraph" w:customStyle="1" w:styleId="Surtitle">
    <w:name w:val="Surtitle"/>
    <w:basedOn w:val="Normal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Normal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DefaultParagraphFont"/>
    <w:rPr>
      <w:shd w:val="clear" w:color="auto" w:fill="F0F0F0"/>
    </w:rPr>
  </w:style>
  <w:style w:type="paragraph" w:customStyle="1" w:styleId="List6">
    <w:name w:val="List 6"/>
    <w:basedOn w:val="Normal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DefaultParagraphFont"/>
    <w:rPr>
      <w:color w:val="5B89C1"/>
    </w:rPr>
  </w:style>
  <w:style w:type="character" w:customStyle="1" w:styleId="Source">
    <w:name w:val="Source"/>
    <w:basedOn w:val="DefaultParagraphFont"/>
    <w:rPr>
      <w:shd w:val="clear" w:color="auto" w:fill="C1EDFF"/>
    </w:rPr>
  </w:style>
  <w:style w:type="paragraph" w:styleId="Subtitle">
    <w:name w:val="Subtitle"/>
    <w:basedOn w:val="Normal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DefaultParagraphFont"/>
    <w:rPr>
      <w:shd w:val="clear" w:color="auto" w:fill="91E0FF"/>
    </w:rPr>
  </w:style>
  <w:style w:type="paragraph" w:customStyle="1" w:styleId="Statement">
    <w:name w:val="Statement"/>
    <w:basedOn w:val="Normal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Normal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Normal"/>
    <w:pPr>
      <w:spacing w:after="160" w:line="360" w:lineRule="auto"/>
      <w:ind w:left="1200" w:right="1200"/>
      <w:jc w:val="both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Normal"/>
    <w:rPr>
      <w:rFonts w:ascii="Calibri" w:eastAsia="Calibri" w:hAnsi="Calibri" w:cs="Calibri"/>
      <w:sz w:val="18"/>
    </w:rPr>
  </w:style>
  <w:style w:type="character" w:customStyle="1" w:styleId="Year">
    <w:name w:val="Year"/>
    <w:basedOn w:val="DefaultParagraphFont"/>
    <w:rPr>
      <w:shd w:val="clear" w:color="auto" w:fill="FFF9C9"/>
    </w:rPr>
  </w:style>
  <w:style w:type="paragraph" w:customStyle="1" w:styleId="TableBody">
    <w:name w:val="Table Body"/>
    <w:basedOn w:val="Normal"/>
    <w:pPr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DefaultParagraphFont"/>
    <w:rPr>
      <w:shd w:val="clear" w:color="auto" w:fill="F9EDFF"/>
    </w:rPr>
  </w:style>
  <w:style w:type="paragraph" w:customStyle="1" w:styleId="ChapterNumber">
    <w:name w:val="Chapter Number"/>
    <w:basedOn w:val="Normal"/>
    <w:rPr>
      <w:rFonts w:ascii="Calibri" w:eastAsia="Calibri" w:hAnsi="Calibri" w:cs="Calibri"/>
    </w:rPr>
  </w:style>
  <w:style w:type="paragraph" w:styleId="List5">
    <w:name w:val="List 5"/>
    <w:basedOn w:val="Normal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1">
    <w:name w:val="Comment Text1"/>
    <w:basedOn w:val="Normal"/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DefaultParagraphFont"/>
    <w:rPr>
      <w:shd w:val="clear" w:color="auto" w:fill="F2DDFF"/>
    </w:rPr>
  </w:style>
  <w:style w:type="paragraph" w:customStyle="1" w:styleId="Caption1">
    <w:name w:val="Caption1"/>
    <w:basedOn w:val="Normal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Normal"/>
    <w:pPr>
      <w:ind w:left="1200" w:hanging="600"/>
      <w:jc w:val="both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Normal"/>
    <w:pPr>
      <w:ind w:left="1200" w:hanging="600"/>
      <w:jc w:val="both"/>
    </w:pPr>
    <w:rPr>
      <w:rFonts w:ascii="Times New Roman" w:eastAsia="Times New Roman" w:hAnsi="Times New Roman" w:cs="Times New Roman"/>
      <w:sz w:val="22"/>
    </w:rPr>
  </w:style>
  <w:style w:type="paragraph" w:styleId="Revision">
    <w:name w:val="Revision"/>
    <w:hidden/>
    <w:uiPriority w:val="99"/>
    <w:semiHidden/>
    <w:rsid w:val="00F374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microsoft.com/office/2011/relationships/people" Target="people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3</Pages>
  <Words>450</Words>
  <Characters>2567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Author</cp:lastModifiedBy>
  <cp:revision>14</cp:revision>
  <dcterms:created xsi:type="dcterms:W3CDTF">2024-08-16T20:37:00Z</dcterms:created>
  <dcterms:modified xsi:type="dcterms:W3CDTF">2024-08-17T08:22:00Z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GrammarlyDocumentId">
    <vt:lpwstr>3ef070664276b29a075df4854edec95455e53457b7a1228bebb6084b7a90e67f</vt:lpwstr>
  </property>
  <property fmtid="{D5CDD505-2E9C-101B-9397-08002B2CF9AE}" pid="6" name="JournalID">
    <vt:lpwstr/>
  </property>
  <property fmtid="{D5CDD505-2E9C-101B-9397-08002B2CF9AE}" pid="7" name="Merops -Original extension">
    <vt:lpwstr>docx</vt:lpwstr>
  </property>
  <property fmtid="{D5CDD505-2E9C-101B-9397-08002B2CF9AE}" pid="8" name="Merops change count">
    <vt:lpwstr>0</vt:lpwstr>
  </property>
  <property fmtid="{D5CDD505-2E9C-101B-9397-08002B2CF9AE}" pid="9" name="Merops client version">
    <vt:lpwstr/>
  </property>
  <property fmtid="{D5CDD505-2E9C-101B-9397-08002B2CF9AE}" pid="10" name="Merops comment count">
    <vt:lpwstr>0</vt:lpwstr>
  </property>
  <property fmtid="{D5CDD505-2E9C-101B-9397-08002B2CF9AE}" pid="11" name="Merops DOI links count">
    <vt:lpwstr>0</vt:lpwstr>
  </property>
  <property fmtid="{D5CDD505-2E9C-101B-9397-08002B2CF9AE}" pid="12" name="Merops email addresses count">
    <vt:lpwstr>0</vt:lpwstr>
  </property>
  <property fmtid="{D5CDD505-2E9C-101B-9397-08002B2CF9AE}" pid="13" name="Merops figures count">
    <vt:lpwstr>0</vt:lpwstr>
  </property>
  <property fmtid="{D5CDD505-2E9C-101B-9397-08002B2CF9AE}" pid="14" name="Merops footnotes/endnotes count">
    <vt:lpwstr>0</vt:lpwstr>
  </property>
  <property fmtid="{D5CDD505-2E9C-101B-9397-08002B2CF9AE}" pid="15" name="Merops graphics count">
    <vt:lpwstr>0</vt:lpwstr>
  </property>
  <property fmtid="{D5CDD505-2E9C-101B-9397-08002B2CF9AE}" pid="16" name="Merops input file path">
    <vt:lpwstr>crm_93d54599-db55-4b06-9d97-5700ded8532e.docx</vt:lpwstr>
  </property>
  <property fmtid="{D5CDD505-2E9C-101B-9397-08002B2CF9AE}" pid="17" name="Merops intra-document links count">
    <vt:lpwstr>0</vt:lpwstr>
  </property>
  <property fmtid="{D5CDD505-2E9C-101B-9397-08002B2CF9AE}" pid="18" name="Merops item path">
    <vt:lpwstr>MG-Session/On-20240815/I:024b547e-f91b-4c38-94bb-c37497ba1e42</vt:lpwstr>
  </property>
  <property fmtid="{D5CDD505-2E9C-101B-9397-08002B2CF9AE}" pid="19" name="Merops processed date">
    <vt:lpwstr>2024/08/15 12:12:36 PM</vt:lpwstr>
  </property>
  <property fmtid="{D5CDD505-2E9C-101B-9397-08002B2CF9AE}" pid="20" name="Merops PubMed links count">
    <vt:lpwstr>0</vt:lpwstr>
  </property>
  <property fmtid="{D5CDD505-2E9C-101B-9397-08002B2CF9AE}" pid="21" name="Merops references count">
    <vt:lpwstr>0</vt:lpwstr>
  </property>
  <property fmtid="{D5CDD505-2E9C-101B-9397-08002B2CF9AE}" pid="22" name="Merops Scopus links count">
    <vt:lpwstr>0</vt:lpwstr>
  </property>
  <property fmtid="{D5CDD505-2E9C-101B-9397-08002B2CF9AE}" pid="23" name="Merops server path">
    <vt:lpwstr/>
  </property>
  <property fmtid="{D5CDD505-2E9C-101B-9397-08002B2CF9AE}" pid="24" name="Merops Standard Set">
    <vt:lpwstr>merops/preset-v1/scientific-reports</vt:lpwstr>
  </property>
  <property fmtid="{D5CDD505-2E9C-101B-9397-08002B2CF9AE}" pid="25" name="Merops Standard Set modified">
    <vt:lpwstr/>
  </property>
  <property fmtid="{D5CDD505-2E9C-101B-9397-08002B2CF9AE}" pid="26" name="Merops tables count">
    <vt:lpwstr>2</vt:lpwstr>
  </property>
  <property fmtid="{D5CDD505-2E9C-101B-9397-08002B2CF9AE}" pid="27" name="Merops word count">
    <vt:lpwstr>427</vt:lpwstr>
  </property>
  <property fmtid="{D5CDD505-2E9C-101B-9397-08002B2CF9AE}" pid="28" name="Merops WorldCat links count">
    <vt:lpwstr>0</vt:lpwstr>
  </property>
  <property fmtid="{D5CDD505-2E9C-101B-9397-08002B2CF9AE}" pid="29" name="ppub">
    <vt:lpwstr/>
  </property>
  <property fmtid="{D5CDD505-2E9C-101B-9397-08002B2CF9AE}" pid="30" name="Publisher">
    <vt:lpwstr/>
  </property>
  <property fmtid="{D5CDD505-2E9C-101B-9397-08002B2CF9AE}" pid="31" name="Publisher-location">
    <vt:lpwstr/>
  </property>
  <property fmtid="{D5CDD505-2E9C-101B-9397-08002B2CF9AE}" pid="32" name="ReceivedDate">
    <vt:lpwstr/>
  </property>
  <property fmtid="{D5CDD505-2E9C-101B-9397-08002B2CF9AE}" pid="33" name="Reference citation style">
    <vt:lpwstr>numerical</vt:lpwstr>
  </property>
  <property fmtid="{D5CDD505-2E9C-101B-9397-08002B2CF9AE}" pid="34" name="Source">
    <vt:lpwstr/>
  </property>
  <property fmtid="{D5CDD505-2E9C-101B-9397-08002B2CF9AE}" pid="35" name="Source-abbreviated">
    <vt:lpwstr/>
  </property>
  <property fmtid="{D5CDD505-2E9C-101B-9397-08002B2CF9AE}" pid="36" name="Source-short">
    <vt:lpwstr/>
  </property>
  <property fmtid="{D5CDD505-2E9C-101B-9397-08002B2CF9AE}" pid="37" name="Subject">
    <vt:lpwstr/>
  </property>
</Properties>
</file>